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580" w:lineRule="exact"/>
        <w:jc w:val="center"/>
        <w:rPr>
          <w:rFonts w:ascii="Times New Roman" w:hAnsi="Times New Roman" w:eastAsia="黑体"/>
          <w:w w:val="95"/>
          <w:sz w:val="44"/>
          <w:szCs w:val="44"/>
        </w:rPr>
      </w:pPr>
    </w:p>
    <w:p>
      <w:pPr>
        <w:spacing w:line="240" w:lineRule="auto"/>
        <w:jc w:val="center"/>
        <w:rPr>
          <w:rFonts w:ascii="Times New Roman" w:hAnsi="Times New Roman" w:eastAsia="方正小标宋简体" w:cs="方正小标宋简体"/>
          <w:sz w:val="48"/>
          <w:szCs w:val="48"/>
        </w:rPr>
      </w:pPr>
      <w:r>
        <w:rPr>
          <w:rFonts w:hint="eastAsia" w:ascii="Times New Roman" w:hAnsi="Times New Roman" w:eastAsia="方正小标宋简体" w:cs="方正小标宋简体"/>
          <w:sz w:val="48"/>
          <w:szCs w:val="48"/>
        </w:rPr>
        <w:t>中共天津市津南区委党校</w:t>
      </w:r>
    </w:p>
    <w:p>
      <w:pPr>
        <w:spacing w:line="240" w:lineRule="auto"/>
        <w:jc w:val="center"/>
        <w:rPr>
          <w:rFonts w:ascii="Times New Roman" w:hAnsi="Times New Roman" w:eastAsia="方正小标宋简体" w:cs="方正小标宋简体"/>
          <w:w w:val="95"/>
          <w:sz w:val="48"/>
          <w:szCs w:val="48"/>
        </w:rPr>
      </w:pPr>
      <w:r>
        <w:rPr>
          <w:rFonts w:hint="eastAsia" w:ascii="Times New Roman" w:hAnsi="Times New Roman" w:eastAsia="方正小标宋简体" w:cs="方正小标宋简体"/>
          <w:sz w:val="48"/>
          <w:szCs w:val="48"/>
        </w:rPr>
        <w:t>2024年度部门决算</w:t>
      </w: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30"/>
          <w:szCs w:val="30"/>
        </w:rPr>
      </w:pPr>
    </w:p>
    <w:p>
      <w:pPr>
        <w:spacing w:line="58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sectPr>
          <w:pgSz w:w="11906" w:h="16838"/>
          <w:pgMar w:top="1440" w:right="1800" w:bottom="1440" w:left="1800" w:header="851" w:footer="992" w:gutter="0"/>
          <w:pgNumType w:start="1"/>
          <w:cols w:space="720" w:num="1"/>
          <w:docGrid w:type="lines" w:linePitch="312" w:charSpace="0"/>
        </w:sectPr>
      </w:pPr>
    </w:p>
    <w:p>
      <w:pPr>
        <w:spacing w:line="60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pPr>
      <w:r>
        <w:rPr>
          <w:rFonts w:hint="eastAsia" w:ascii="Times New Roman" w:hAnsi="Times New Roman" w:eastAsia="黑体"/>
          <w:sz w:val="44"/>
          <w:szCs w:val="44"/>
        </w:rPr>
        <w:t>目   录</w:t>
      </w:r>
    </w:p>
    <w:p>
      <w:pPr>
        <w:spacing w:line="600" w:lineRule="exact"/>
        <w:rPr>
          <w:rFonts w:ascii="Times New Roman" w:hAnsi="Times New Roman" w:eastAsia="黑体"/>
          <w:sz w:val="30"/>
          <w:szCs w:val="30"/>
        </w:rPr>
      </w:pP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fldChar w:fldCharType="begin"/>
      </w:r>
      <w:r>
        <w:instrText xml:space="preserve"> HYPERLINK \l "_Toc15895" </w:instrText>
      </w:r>
      <w:r>
        <w:fldChar w:fldCharType="separate"/>
      </w:r>
      <w:r>
        <w:rPr>
          <w:rFonts w:hint="eastAsia" w:ascii="Times New Roman" w:hAnsi="Times New Roman" w:eastAsia="方正小标宋简体" w:cs="方正小标宋简体"/>
          <w:sz w:val="30"/>
          <w:szCs w:val="30"/>
        </w:rPr>
        <w:t>第一部分  概 况</w:t>
      </w:r>
      <w:r>
        <w:rPr>
          <w:rFonts w:hint="eastAsia" w:ascii="Times New Roman" w:hAnsi="Times New Roman" w:eastAsia="方正小标宋简体" w:cs="方正小标宋简体"/>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"_Toc28346" </w:instrText>
      </w:r>
      <w:r>
        <w:fldChar w:fldCharType="separate"/>
      </w:r>
      <w:r>
        <w:rPr>
          <w:rFonts w:hint="eastAsia" w:ascii="Times New Roman" w:hAnsi="Times New Roman" w:eastAsia="仿宋_GB2312" w:cs="仿宋_GB2312"/>
          <w:bCs w:val="0"/>
          <w:sz w:val="30"/>
          <w:szCs w:val="30"/>
        </w:rPr>
        <w:t>一、主要职责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_Toc28346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"_Toc25737" </w:instrText>
      </w:r>
      <w:r>
        <w:fldChar w:fldCharType="separate"/>
      </w:r>
      <w:r>
        <w:rPr>
          <w:rFonts w:hint="eastAsia" w:ascii="Times New Roman" w:hAnsi="Times New Roman" w:eastAsia="仿宋_GB2312" w:cs="仿宋_GB2312"/>
          <w:sz w:val="30"/>
          <w:szCs w:val="30"/>
        </w:rPr>
        <w:t>二、机构设置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_Toc25737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"_Toc25448" </w:instrText>
      </w:r>
      <w:r>
        <w:fldChar w:fldCharType="separate"/>
      </w:r>
      <w:r>
        <w:rPr>
          <w:rFonts w:hint="eastAsia" w:ascii="Times New Roman" w:hAnsi="Times New Roman" w:eastAsia="方正小标宋简体" w:cs="方正小标宋简体"/>
          <w:sz w:val="30"/>
          <w:szCs w:val="30"/>
        </w:rPr>
        <w:t>第二部分  2024年度部门决算表</w:t>
      </w:r>
      <w:r>
        <w:rPr>
          <w:rFonts w:hint="eastAsia" w:ascii="Times New Roman" w:hAnsi="Times New Roman" w:eastAsia="方正小标宋简体" w:cs="方正小标宋简体"/>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"_Toc8089" </w:instrText>
      </w:r>
      <w:r>
        <w:fldChar w:fldCharType="separate"/>
      </w:r>
      <w:r>
        <w:rPr>
          <w:rFonts w:hint="eastAsia" w:ascii="Times New Roman" w:hAnsi="Times New Roman" w:eastAsia="仿宋_GB2312" w:cs="仿宋_GB2312"/>
          <w:sz w:val="30"/>
          <w:szCs w:val="30"/>
        </w:rPr>
        <w:t>一、《收入支出决算总表》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_Toc8089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"_Toc29574" </w:instrText>
      </w:r>
      <w:r>
        <w:fldChar w:fldCharType="separate"/>
      </w:r>
      <w:r>
        <w:rPr>
          <w:rFonts w:hint="eastAsia" w:ascii="Times New Roman" w:hAnsi="Times New Roman" w:eastAsia="仿宋_GB2312" w:cs="仿宋_GB2312"/>
          <w:sz w:val="30"/>
          <w:szCs w:val="30"/>
        </w:rPr>
        <w:t>二、《收入决算表（按功能分类列示）》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_Toc29574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"_Toc1392" </w:instrText>
      </w:r>
      <w:r>
        <w:fldChar w:fldCharType="separate"/>
      </w:r>
      <w:r>
        <w:rPr>
          <w:rFonts w:hint="eastAsia" w:ascii="Times New Roman" w:hAnsi="Times New Roman" w:eastAsia="仿宋_GB2312" w:cs="仿宋_GB2312"/>
          <w:sz w:val="30"/>
          <w:szCs w:val="30"/>
        </w:rPr>
        <w:t>三、《收入决算表（按单位列示）》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_Toc1392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"_Toc28946" </w:instrText>
      </w:r>
      <w:r>
        <w:fldChar w:fldCharType="separate"/>
      </w:r>
      <w:r>
        <w:rPr>
          <w:rFonts w:hint="eastAsia" w:ascii="Times New Roman" w:hAnsi="Times New Roman" w:eastAsia="仿宋_GB2312" w:cs="仿宋_GB2312"/>
          <w:sz w:val="30"/>
          <w:szCs w:val="30"/>
        </w:rPr>
        <w:t>四、《支出决算表》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_Toc28946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"_Toc10939" </w:instrText>
      </w:r>
      <w:r>
        <w:fldChar w:fldCharType="separate"/>
      </w:r>
      <w:r>
        <w:rPr>
          <w:rFonts w:hint="eastAsia" w:ascii="Times New Roman" w:hAnsi="Times New Roman" w:eastAsia="仿宋_GB2312" w:cs="仿宋_GB2312"/>
          <w:sz w:val="30"/>
          <w:szCs w:val="30"/>
        </w:rPr>
        <w:t>五、《财政拨款收入支出决算总表》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_Toc10939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"_Toc9732" </w:instrText>
      </w:r>
      <w:r>
        <w:fldChar w:fldCharType="separate"/>
      </w:r>
      <w:r>
        <w:rPr>
          <w:rFonts w:hint="eastAsia" w:ascii="Times New Roman" w:hAnsi="Times New Roman" w:eastAsia="仿宋_GB2312" w:cs="仿宋_GB2312"/>
          <w:sz w:val="30"/>
          <w:szCs w:val="30"/>
        </w:rPr>
        <w:t>六、《一般公共预算财政拨款支出决算表》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_Toc9732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"_Toc8588" </w:instrText>
      </w:r>
      <w:r>
        <w:fldChar w:fldCharType="separate"/>
      </w:r>
      <w:r>
        <w:rPr>
          <w:rFonts w:hint="eastAsia" w:ascii="Times New Roman" w:hAnsi="Times New Roman" w:eastAsia="仿宋_GB2312" w:cs="仿宋_GB2312"/>
          <w:sz w:val="30"/>
          <w:szCs w:val="30"/>
        </w:rPr>
        <w:t>七、《一般公共预算财政拨款基本支出决算表》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_Toc8588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"_Toc29750" </w:instrText>
      </w:r>
      <w:r>
        <w:fldChar w:fldCharType="separate"/>
      </w:r>
      <w:r>
        <w:rPr>
          <w:rFonts w:hint="eastAsia" w:ascii="Times New Roman" w:hAnsi="Times New Roman" w:eastAsia="仿宋_GB2312" w:cs="仿宋_GB2312"/>
          <w:sz w:val="30"/>
          <w:szCs w:val="30"/>
        </w:rPr>
        <w:t>八、《政府性基金预算财政拨款收入支出决算表》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_Toc29750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"_Toc17443" </w:instrText>
      </w:r>
      <w:r>
        <w:fldChar w:fldCharType="separate"/>
      </w:r>
      <w:r>
        <w:rPr>
          <w:rFonts w:hint="eastAsia" w:ascii="Times New Roman" w:hAnsi="Times New Roman" w:eastAsia="仿宋_GB2312" w:cs="仿宋_GB2312"/>
          <w:sz w:val="30"/>
          <w:szCs w:val="30"/>
        </w:rPr>
        <w:t>九、《国有资本经营预算财政拨款收入支出决算表》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_Toc17443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"_Toc30096" </w:instrText>
      </w:r>
      <w:r>
        <w:fldChar w:fldCharType="separate"/>
      </w:r>
      <w:r>
        <w:rPr>
          <w:rFonts w:hint="eastAsia" w:ascii="Times New Roman" w:hAnsi="Times New Roman" w:eastAsia="仿宋_GB2312" w:cs="仿宋_GB2312"/>
          <w:sz w:val="30"/>
          <w:szCs w:val="30"/>
        </w:rPr>
        <w:t>十、《财政拨款“三公”经费支出决算表》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_Toc30096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"_Toc21214" </w:instrText>
      </w:r>
      <w:r>
        <w:fldChar w:fldCharType="separate"/>
      </w:r>
      <w:r>
        <w:rPr>
          <w:rFonts w:hint="eastAsia" w:ascii="Times New Roman" w:hAnsi="Times New Roman" w:eastAsia="仿宋_GB2312" w:cs="仿宋_GB2312"/>
          <w:sz w:val="30"/>
          <w:szCs w:val="30"/>
        </w:rPr>
        <w:t>十一、《项目支出决算表》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_Toc21214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"_Toc9893" </w:instrText>
      </w:r>
      <w:r>
        <w:fldChar w:fldCharType="separate"/>
      </w:r>
      <w:r>
        <w:rPr>
          <w:rFonts w:hint="eastAsia" w:ascii="Times New Roman" w:hAnsi="Times New Roman" w:eastAsia="仿宋_GB2312" w:cs="仿宋_GB2312"/>
          <w:sz w:val="30"/>
          <w:szCs w:val="30"/>
        </w:rPr>
        <w:t>十二、关于空表的说明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_Toc9893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br w:type="page"/>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"_Toc26351" </w:instrText>
      </w:r>
      <w:r>
        <w:fldChar w:fldCharType="separate"/>
      </w:r>
      <w:r>
        <w:rPr>
          <w:rFonts w:hint="eastAsia" w:ascii="Times New Roman" w:hAnsi="Times New Roman" w:eastAsia="方正小标宋简体" w:cs="方正小标宋简体"/>
          <w:sz w:val="30"/>
          <w:szCs w:val="30"/>
        </w:rPr>
        <w:t>第三部分  2024年度部门决算情况说明</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_Toc26351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4</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"_Toc14113" </w:instrText>
      </w:r>
      <w:r>
        <w:fldChar w:fldCharType="separate"/>
      </w:r>
      <w:r>
        <w:rPr>
          <w:rFonts w:hint="eastAsia" w:ascii="Times New Roman" w:hAnsi="Times New Roman" w:eastAsia="仿宋_GB2312" w:cs="仿宋_GB2312"/>
          <w:sz w:val="30"/>
          <w:szCs w:val="30"/>
        </w:rPr>
        <w:t>一、收入支出决算总体情况说明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_Toc14113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"_Toc1931" </w:instrText>
      </w:r>
      <w:r>
        <w:fldChar w:fldCharType="separate"/>
      </w:r>
      <w:r>
        <w:rPr>
          <w:rFonts w:hint="eastAsia" w:ascii="Times New Roman" w:hAnsi="Times New Roman" w:eastAsia="仿宋_GB2312" w:cs="仿宋_GB2312"/>
          <w:sz w:val="30"/>
          <w:szCs w:val="30"/>
        </w:rPr>
        <w:t>二、收入决算情况说明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_Toc1931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"_Toc14007" </w:instrText>
      </w:r>
      <w:r>
        <w:fldChar w:fldCharType="separate"/>
      </w:r>
      <w:r>
        <w:rPr>
          <w:rFonts w:hint="eastAsia" w:ascii="Times New Roman" w:hAnsi="Times New Roman" w:eastAsia="仿宋_GB2312" w:cs="仿宋_GB2312"/>
          <w:sz w:val="30"/>
          <w:szCs w:val="30"/>
        </w:rPr>
        <w:t>三、支出决算情况说明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_Toc14007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"_Toc23974" </w:instrText>
      </w:r>
      <w:r>
        <w:fldChar w:fldCharType="separate"/>
      </w:r>
      <w:r>
        <w:rPr>
          <w:rFonts w:hint="eastAsia" w:ascii="Times New Roman" w:hAnsi="Times New Roman" w:eastAsia="仿宋_GB2312" w:cs="仿宋_GB2312"/>
          <w:sz w:val="30"/>
          <w:szCs w:val="30"/>
        </w:rPr>
        <w:t>四、财政拨款收支决算总体情况说明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_Toc23974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"_Toc19057" </w:instrText>
      </w:r>
      <w:r>
        <w:fldChar w:fldCharType="separate"/>
      </w:r>
      <w:r>
        <w:rPr>
          <w:rFonts w:hint="eastAsia" w:ascii="Times New Roman" w:hAnsi="Times New Roman" w:eastAsia="仿宋_GB2312" w:cs="仿宋_GB2312"/>
          <w:sz w:val="30"/>
          <w:szCs w:val="30"/>
        </w:rPr>
        <w:t>五、一般公共预算财政拨款支出决算情况说明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_Toc19057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"_Toc8826" </w:instrText>
      </w:r>
      <w:r>
        <w:fldChar w:fldCharType="separate"/>
      </w:r>
      <w:r>
        <w:rPr>
          <w:rFonts w:hint="eastAsia" w:ascii="Times New Roman" w:hAnsi="Times New Roman" w:eastAsia="仿宋_GB2312" w:cs="仿宋_GB2312"/>
          <w:sz w:val="30"/>
          <w:szCs w:val="30"/>
        </w:rPr>
        <w:t>六、一般公共预算财政拨款基本支出决算情况说明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_Toc8826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"_Toc13712" </w:instrText>
      </w:r>
      <w:r>
        <w:fldChar w:fldCharType="separate"/>
      </w:r>
      <w:r>
        <w:rPr>
          <w:rFonts w:hint="eastAsia" w:ascii="Times New Roman" w:hAnsi="Times New Roman" w:eastAsia="仿宋_GB2312" w:cs="仿宋_GB2312"/>
          <w:sz w:val="30"/>
          <w:szCs w:val="30"/>
        </w:rPr>
        <w:t>七、政府性基金预算财政拨款收支决算情况说明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_Toc13712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"_Toc1902" </w:instrText>
      </w:r>
      <w:r>
        <w:fldChar w:fldCharType="separate"/>
      </w:r>
      <w:r>
        <w:rPr>
          <w:rFonts w:hint="eastAsia" w:ascii="Times New Roman" w:hAnsi="Times New Roman" w:eastAsia="仿宋_GB2312" w:cs="仿宋_GB2312"/>
          <w:sz w:val="30"/>
          <w:szCs w:val="30"/>
        </w:rPr>
        <w:t>八、国有资本经营预算财政拨款收支决算情况说明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9</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"_Toc6751" </w:instrText>
      </w:r>
      <w:r>
        <w:fldChar w:fldCharType="separate"/>
      </w:r>
      <w:r>
        <w:rPr>
          <w:rFonts w:hint="eastAsia" w:ascii="Times New Roman" w:hAnsi="Times New Roman" w:eastAsia="仿宋_GB2312" w:cs="仿宋_GB2312"/>
          <w:sz w:val="30"/>
          <w:szCs w:val="30"/>
        </w:rPr>
        <w:t>九、财政拨款“三公”经费支出决算情况说明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_Toc6751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9</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"_Toc2589" </w:instrText>
      </w:r>
      <w:r>
        <w:fldChar w:fldCharType="separate"/>
      </w:r>
      <w:r>
        <w:rPr>
          <w:rFonts w:hint="eastAsia" w:ascii="Times New Roman" w:hAnsi="Times New Roman" w:eastAsia="仿宋_GB2312" w:cs="仿宋_GB2312"/>
          <w:sz w:val="30"/>
          <w:szCs w:val="30"/>
        </w:rPr>
        <w:t>十、机关运行经费支出情况说明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"_Toc15010" </w:instrText>
      </w:r>
      <w:r>
        <w:fldChar w:fldCharType="separate"/>
      </w:r>
      <w:r>
        <w:rPr>
          <w:rFonts w:hint="eastAsia" w:ascii="Times New Roman" w:hAnsi="Times New Roman" w:eastAsia="仿宋_GB2312" w:cs="仿宋_GB2312"/>
          <w:sz w:val="30"/>
          <w:szCs w:val="30"/>
        </w:rPr>
        <w:t>十一、政府采购支出情况说明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_Toc15010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"_Toc32128" </w:instrText>
      </w:r>
      <w:r>
        <w:fldChar w:fldCharType="separate"/>
      </w:r>
      <w:r>
        <w:rPr>
          <w:rFonts w:hint="eastAsia" w:ascii="Times New Roman" w:hAnsi="Times New Roman" w:eastAsia="仿宋_GB2312" w:cs="仿宋_GB2312"/>
          <w:sz w:val="30"/>
          <w:szCs w:val="30"/>
        </w:rPr>
        <w:t>十二、国有资产占有使用情况说明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_Toc32128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"_Toc31889" </w:instrText>
      </w:r>
      <w:r>
        <w:fldChar w:fldCharType="separate"/>
      </w:r>
      <w:r>
        <w:rPr>
          <w:rFonts w:hint="eastAsia" w:ascii="Times New Roman" w:hAnsi="Times New Roman" w:eastAsia="仿宋_GB2312" w:cs="仿宋_GB2312"/>
          <w:sz w:val="30"/>
          <w:szCs w:val="30"/>
        </w:rPr>
        <w:t>十三、预算绩效情况说明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_Toc31889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bCs w:val="0"/>
          <w:sz w:val="30"/>
          <w:szCs w:val="30"/>
        </w:rPr>
      </w:pPr>
      <w:r>
        <w:fldChar w:fldCharType="begin"/>
      </w:r>
      <w:r>
        <w:instrText xml:space="preserve"> HYPERLINK \l "_Toc6543" </w:instrText>
      </w:r>
      <w:r>
        <w:fldChar w:fldCharType="separate"/>
      </w:r>
      <w:r>
        <w:rPr>
          <w:rFonts w:hint="eastAsia" w:ascii="Times New Roman" w:hAnsi="Times New Roman" w:eastAsia="仿宋_GB2312" w:cs="仿宋_GB2312"/>
          <w:sz w:val="30"/>
          <w:szCs w:val="30"/>
        </w:rPr>
        <w:t>十四、教育、医疗卫生、社会保障和就业、住房保障、涉农补贴等民生支出情况说明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_Toc6543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"_Toc24691" </w:instrText>
      </w:r>
      <w:r>
        <w:fldChar w:fldCharType="separate"/>
      </w:r>
      <w:r>
        <w:rPr>
          <w:rFonts w:hint="eastAsia" w:ascii="Times New Roman" w:hAnsi="Times New Roman" w:eastAsia="方正小标宋简体" w:cs="方正小标宋简体"/>
          <w:sz w:val="30"/>
          <w:szCs w:val="30"/>
        </w:rPr>
        <w:t>第四部分  名词解释</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_Toc24691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12</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pPr>
        <w:pStyle w:val="10"/>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hAnsi="Times New Roman" w:eastAsia="仿宋_GB2312"/>
          <w:sz w:val="32"/>
          <w:szCs w:val="32"/>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szCs w:val="30"/>
        </w:rPr>
        <w:fldChar w:fldCharType="end"/>
      </w:r>
    </w:p>
    <w:p>
      <w:pPr>
        <w:rPr>
          <w:rFonts w:ascii="Times New Roman" w:hAnsi="Times New Roman"/>
        </w:rPr>
      </w:pPr>
    </w:p>
    <w:p>
      <w:pPr>
        <w:pStyle w:val="2"/>
        <w:spacing w:before="0" w:after="0" w:line="600" w:lineRule="exact"/>
        <w:jc w:val="center"/>
        <w:rPr>
          <w:rFonts w:ascii="Times New Roman" w:hAnsi="Times New Roman" w:eastAsia="方正小标宋简体" w:cs="方正小标宋简体"/>
          <w:b w:val="0"/>
          <w:sz w:val="48"/>
          <w:szCs w:val="48"/>
        </w:rPr>
      </w:pPr>
    </w:p>
    <w:p>
      <w:pPr>
        <w:pStyle w:val="2"/>
        <w:spacing w:before="0" w:after="0" w:line="600" w:lineRule="exact"/>
        <w:jc w:val="center"/>
        <w:rPr>
          <w:rFonts w:ascii="Times New Roman" w:hAnsi="Times New Roman" w:eastAsia="方正小标宋简体" w:cs="方正小标宋简体"/>
          <w:b w:val="0"/>
        </w:rPr>
      </w:pPr>
      <w:bookmarkStart w:id="0" w:name="_Toc15895"/>
      <w:r>
        <w:rPr>
          <w:rFonts w:hint="eastAsia" w:ascii="Times New Roman" w:hAnsi="Times New Roman" w:eastAsia="方正小标宋简体" w:cs="方正小标宋简体"/>
          <w:b w:val="0"/>
        </w:rPr>
        <w:t>第一部分  概 况</w:t>
      </w:r>
      <w:bookmarkEnd w:id="0"/>
    </w:p>
    <w:p>
      <w:pPr>
        <w:spacing w:line="600" w:lineRule="exact"/>
        <w:rPr>
          <w:rFonts w:ascii="Times New Roman" w:hAnsi="Times New Roman"/>
        </w:rPr>
      </w:pPr>
    </w:p>
    <w:p>
      <w:pPr>
        <w:pStyle w:val="3"/>
        <w:spacing w:before="0" w:after="0" w:line="600" w:lineRule="exact"/>
        <w:ind w:firstLine="600" w:firstLineChars="200"/>
        <w:rPr>
          <w:rFonts w:ascii="Times New Roman" w:hAnsi="Times New Roman" w:eastAsia="黑体"/>
          <w:b w:val="0"/>
          <w:bCs w:val="0"/>
          <w:sz w:val="30"/>
          <w:szCs w:val="30"/>
        </w:rPr>
      </w:pPr>
      <w:bookmarkStart w:id="1" w:name="_Toc28346"/>
      <w:r>
        <w:rPr>
          <w:rFonts w:hint="eastAsia" w:ascii="Times New Roman" w:hAnsi="Times New Roman" w:eastAsia="黑体"/>
          <w:b w:val="0"/>
          <w:bCs w:val="0"/>
          <w:sz w:val="30"/>
          <w:szCs w:val="30"/>
        </w:rPr>
        <w:t>一、主要职责</w:t>
      </w:r>
      <w:bookmarkEnd w:id="1"/>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sz w:val="30"/>
          <w:szCs w:val="30"/>
        </w:rPr>
        <w:t>开设进修班、培训班、研修班等主体班次，为本区党政干部提供培训服务，为基层支部书记、入党积极分子提供短期培训。</w:t>
      </w:r>
    </w:p>
    <w:p>
      <w:pPr>
        <w:pStyle w:val="3"/>
        <w:spacing w:before="0" w:after="0" w:line="600" w:lineRule="exact"/>
        <w:ind w:firstLine="600" w:firstLineChars="200"/>
        <w:rPr>
          <w:rFonts w:ascii="Times New Roman" w:hAnsi="Times New Roman" w:eastAsia="黑体"/>
          <w:b w:val="0"/>
          <w:bCs w:val="0"/>
          <w:sz w:val="30"/>
          <w:szCs w:val="30"/>
        </w:rPr>
      </w:pPr>
      <w:bookmarkStart w:id="2" w:name="_Toc25737"/>
      <w:r>
        <w:rPr>
          <w:rFonts w:hint="eastAsia" w:ascii="Times New Roman" w:hAnsi="Times New Roman" w:eastAsia="黑体"/>
          <w:b w:val="0"/>
          <w:bCs w:val="0"/>
          <w:sz w:val="30"/>
          <w:szCs w:val="30"/>
        </w:rPr>
        <w:t>二、机构设置</w:t>
      </w:r>
      <w:bookmarkEnd w:id="2"/>
    </w:p>
    <w:p>
      <w:pPr>
        <w:spacing w:line="600" w:lineRule="exact"/>
        <w:ind w:firstLine="600" w:firstLineChars="200"/>
        <w:rPr>
          <w:rFonts w:ascii="Times New Roman" w:hAnsi="Times New Roman" w:eastAsia="楷体_GB2312"/>
          <w:b/>
          <w:sz w:val="30"/>
          <w:szCs w:val="30"/>
        </w:rPr>
      </w:pPr>
      <w:r>
        <w:rPr>
          <w:rFonts w:hint="eastAsia" w:ascii="Times New Roman" w:hAnsi="Times New Roman" w:eastAsia="仿宋_GB2312"/>
          <w:sz w:val="30"/>
          <w:szCs w:val="30"/>
        </w:rPr>
        <w:t>中共天津市津南区委党校内设7个职能科室。纳入中共天津市津南区委党校2024年度部门决算编制范围的单位包括：</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中共天津市津南区委党校</w:t>
      </w:r>
      <w:r>
        <w:rPr>
          <w:rFonts w:hint="eastAsia" w:eastAsia="仿宋_GB2312"/>
          <w:sz w:val="30"/>
          <w:szCs w:val="30"/>
          <w:lang w:eastAsia="zh-CN"/>
        </w:rPr>
        <w:t>。</w:t>
      </w:r>
      <w:r>
        <w:rPr>
          <w:rFonts w:ascii="Times New Roman" w:hAnsi="Times New Roman" w:eastAsia="楷体_GB2312"/>
          <w:b/>
          <w:sz w:val="30"/>
          <w:szCs w:val="30"/>
        </w:rPr>
        <w:br w:type="page"/>
      </w:r>
    </w:p>
    <w:p>
      <w:pPr>
        <w:pStyle w:val="2"/>
        <w:spacing w:before="0" w:after="0" w:line="600" w:lineRule="exact"/>
        <w:jc w:val="center"/>
        <w:rPr>
          <w:rFonts w:ascii="Times New Roman" w:hAnsi="Times New Roman" w:eastAsia="方正小标宋简体" w:cs="方正小标宋简体"/>
          <w:b w:val="0"/>
        </w:rPr>
      </w:pPr>
      <w:bookmarkStart w:id="3" w:name="_Toc25448"/>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二</w:t>
      </w:r>
      <w:r>
        <w:rPr>
          <w:rFonts w:ascii="Times New Roman" w:hAnsi="Times New Roman" w:eastAsia="方正小标宋简体" w:cs="方正小标宋简体"/>
          <w:b w:val="0"/>
        </w:rPr>
        <w:t xml:space="preserve">部分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表</w:t>
      </w:r>
      <w:bookmarkEnd w:id="3"/>
    </w:p>
    <w:p>
      <w:pPr>
        <w:spacing w:line="600" w:lineRule="exact"/>
        <w:rPr>
          <w:rFonts w:ascii="Times New Roman" w:hAnsi="Times New Roman"/>
        </w:rPr>
      </w:pPr>
    </w:p>
    <w:p>
      <w:pPr>
        <w:pStyle w:val="3"/>
        <w:spacing w:before="0" w:after="0" w:line="800" w:lineRule="exact"/>
        <w:ind w:firstLine="600" w:firstLineChars="200"/>
        <w:rPr>
          <w:rFonts w:ascii="Times New Roman" w:hAnsi="Times New Roman" w:eastAsia="黑体"/>
          <w:b w:val="0"/>
          <w:sz w:val="30"/>
          <w:szCs w:val="30"/>
        </w:rPr>
      </w:pPr>
      <w:bookmarkStart w:id="4" w:name="_Toc8089"/>
      <w:r>
        <w:rPr>
          <w:rFonts w:ascii="Times New Roman" w:hAnsi="Times New Roman" w:eastAsia="黑体"/>
          <w:b w:val="0"/>
          <w:sz w:val="30"/>
          <w:szCs w:val="30"/>
        </w:rPr>
        <w:t>一</w:t>
      </w:r>
      <w:r>
        <w:rPr>
          <w:rFonts w:hint="eastAsia" w:ascii="Times New Roman" w:hAnsi="Times New Roman" w:eastAsia="黑体"/>
          <w:b w:val="0"/>
          <w:sz w:val="30"/>
          <w:szCs w:val="30"/>
        </w:rPr>
        <w:t>、</w:t>
      </w:r>
      <w:r>
        <w:rPr>
          <w:rFonts w:ascii="Times New Roman" w:hAnsi="Times New Roman" w:eastAsia="黑体"/>
          <w:b w:val="0"/>
          <w:sz w:val="30"/>
          <w:szCs w:val="30"/>
        </w:rPr>
        <w:t>《</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4"/>
    </w:p>
    <w:p>
      <w:pPr>
        <w:pStyle w:val="3"/>
        <w:spacing w:before="0" w:after="0" w:line="800" w:lineRule="exact"/>
        <w:ind w:firstLine="600" w:firstLineChars="200"/>
        <w:rPr>
          <w:rFonts w:ascii="Times New Roman" w:hAnsi="Times New Roman" w:eastAsia="黑体"/>
          <w:b w:val="0"/>
          <w:sz w:val="30"/>
          <w:szCs w:val="30"/>
        </w:rPr>
      </w:pPr>
      <w:bookmarkStart w:id="5" w:name="_Toc29574"/>
      <w:r>
        <w:rPr>
          <w:rFonts w:ascii="Times New Roman" w:hAnsi="Times New Roman" w:eastAsia="黑体"/>
          <w:b w:val="0"/>
          <w:sz w:val="30"/>
          <w:szCs w:val="30"/>
        </w:rPr>
        <w:t>二、《收入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（按功能分类列示）</w:t>
      </w:r>
      <w:r>
        <w:rPr>
          <w:rFonts w:ascii="Times New Roman" w:hAnsi="Times New Roman" w:eastAsia="黑体"/>
          <w:b w:val="0"/>
          <w:sz w:val="30"/>
          <w:szCs w:val="30"/>
        </w:rPr>
        <w:t>》</w:t>
      </w:r>
      <w:bookmarkEnd w:id="5"/>
    </w:p>
    <w:p>
      <w:pPr>
        <w:pStyle w:val="3"/>
        <w:spacing w:before="0" w:after="0" w:line="800" w:lineRule="exact"/>
        <w:ind w:firstLine="600" w:firstLineChars="200"/>
        <w:rPr>
          <w:rFonts w:ascii="Times New Roman" w:hAnsi="Times New Roman" w:eastAsia="黑体"/>
          <w:b w:val="0"/>
          <w:sz w:val="30"/>
          <w:szCs w:val="30"/>
        </w:rPr>
      </w:pPr>
      <w:bookmarkStart w:id="6" w:name="_Toc1392"/>
      <w:r>
        <w:rPr>
          <w:rFonts w:hint="eastAsia" w:ascii="Times New Roman" w:hAnsi="Times New Roman" w:eastAsia="黑体"/>
          <w:b w:val="0"/>
          <w:sz w:val="30"/>
          <w:szCs w:val="30"/>
        </w:rPr>
        <w:t>三</w:t>
      </w:r>
      <w:r>
        <w:rPr>
          <w:rFonts w:ascii="Times New Roman" w:hAnsi="Times New Roman" w:eastAsia="黑体"/>
          <w:b w:val="0"/>
          <w:sz w:val="30"/>
          <w:szCs w:val="30"/>
        </w:rPr>
        <w:t>、《收入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（按单位列示）</w:t>
      </w:r>
      <w:r>
        <w:rPr>
          <w:rFonts w:ascii="Times New Roman" w:hAnsi="Times New Roman" w:eastAsia="黑体"/>
          <w:b w:val="0"/>
          <w:sz w:val="30"/>
          <w:szCs w:val="30"/>
        </w:rPr>
        <w:t>》</w:t>
      </w:r>
      <w:bookmarkEnd w:id="6"/>
    </w:p>
    <w:p>
      <w:pPr>
        <w:pStyle w:val="3"/>
        <w:spacing w:before="0" w:after="0" w:line="800" w:lineRule="exact"/>
        <w:ind w:firstLine="600" w:firstLineChars="200"/>
        <w:rPr>
          <w:rFonts w:ascii="Times New Roman" w:hAnsi="Times New Roman" w:eastAsia="黑体"/>
          <w:b w:val="0"/>
          <w:sz w:val="30"/>
          <w:szCs w:val="30"/>
        </w:rPr>
      </w:pPr>
      <w:bookmarkStart w:id="7" w:name="_Toc28946"/>
      <w:r>
        <w:rPr>
          <w:rFonts w:hint="eastAsia" w:ascii="Times New Roman" w:hAnsi="Times New Roman" w:eastAsia="黑体"/>
          <w:b w:val="0"/>
          <w:sz w:val="30"/>
          <w:szCs w:val="30"/>
        </w:rPr>
        <w:t>四、</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7"/>
    </w:p>
    <w:p>
      <w:pPr>
        <w:pStyle w:val="3"/>
        <w:spacing w:before="0" w:after="0" w:line="800" w:lineRule="exact"/>
        <w:ind w:firstLine="600" w:firstLineChars="200"/>
        <w:rPr>
          <w:rFonts w:ascii="Times New Roman" w:hAnsi="Times New Roman" w:eastAsia="黑体"/>
          <w:b w:val="0"/>
          <w:sz w:val="30"/>
          <w:szCs w:val="30"/>
        </w:rPr>
      </w:pPr>
      <w:bookmarkStart w:id="8" w:name="_Toc10939"/>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8"/>
    </w:p>
    <w:p>
      <w:pPr>
        <w:pStyle w:val="3"/>
        <w:spacing w:before="0" w:after="0" w:line="800" w:lineRule="exact"/>
        <w:ind w:firstLine="600" w:firstLineChars="200"/>
        <w:rPr>
          <w:rFonts w:ascii="Times New Roman" w:hAnsi="Times New Roman" w:eastAsia="黑体"/>
          <w:b w:val="0"/>
          <w:sz w:val="30"/>
          <w:szCs w:val="30"/>
        </w:rPr>
      </w:pPr>
      <w:bookmarkStart w:id="9" w:name="_Toc9732"/>
      <w:r>
        <w:rPr>
          <w:rFonts w:ascii="Times New Roman" w:hAnsi="Times New Roman" w:eastAsia="黑体"/>
          <w:b w:val="0"/>
          <w:sz w:val="30"/>
          <w:szCs w:val="30"/>
        </w:rPr>
        <w:t>六</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9"/>
    </w:p>
    <w:p>
      <w:pPr>
        <w:pStyle w:val="3"/>
        <w:spacing w:before="0" w:after="0" w:line="800" w:lineRule="exact"/>
        <w:ind w:firstLine="600" w:firstLineChars="200"/>
        <w:rPr>
          <w:rFonts w:ascii="Times New Roman" w:hAnsi="Times New Roman" w:eastAsia="黑体"/>
          <w:b w:val="0"/>
          <w:sz w:val="30"/>
          <w:szCs w:val="30"/>
        </w:rPr>
      </w:pPr>
      <w:bookmarkStart w:id="10" w:name="_Toc8588"/>
      <w:r>
        <w:rPr>
          <w:rFonts w:ascii="Times New Roman" w:hAnsi="Times New Roman" w:eastAsia="黑体"/>
          <w:b w:val="0"/>
          <w:sz w:val="30"/>
          <w:szCs w:val="30"/>
        </w:rPr>
        <w:t>七</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《一般公共预算财政拨款基本支出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0"/>
    </w:p>
    <w:p>
      <w:pPr>
        <w:pStyle w:val="3"/>
        <w:spacing w:before="0" w:after="0" w:line="800" w:lineRule="exact"/>
        <w:ind w:firstLine="600" w:firstLineChars="200"/>
        <w:rPr>
          <w:rFonts w:ascii="Times New Roman" w:hAnsi="Times New Roman" w:eastAsia="黑体"/>
          <w:b w:val="0"/>
          <w:sz w:val="30"/>
          <w:szCs w:val="30"/>
        </w:rPr>
      </w:pPr>
      <w:bookmarkStart w:id="11" w:name="_Toc29750"/>
      <w:r>
        <w:rPr>
          <w:rFonts w:hint="eastAsia" w:ascii="Times New Roman" w:hAnsi="Times New Roman" w:eastAsia="黑体"/>
          <w:b w:val="0"/>
          <w:sz w:val="30"/>
          <w:szCs w:val="30"/>
        </w:rPr>
        <w:t>八、</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1"/>
    </w:p>
    <w:p>
      <w:pPr>
        <w:pStyle w:val="3"/>
        <w:spacing w:before="0" w:after="0" w:line="800" w:lineRule="exact"/>
        <w:ind w:firstLine="600" w:firstLineChars="200"/>
        <w:rPr>
          <w:rFonts w:ascii="Times New Roman" w:hAnsi="Times New Roman" w:eastAsia="黑体"/>
          <w:b w:val="0"/>
          <w:sz w:val="30"/>
          <w:szCs w:val="30"/>
        </w:rPr>
      </w:pPr>
      <w:bookmarkStart w:id="12" w:name="_Toc17443"/>
      <w:r>
        <w:rPr>
          <w:rFonts w:hint="eastAsia" w:ascii="Times New Roman" w:hAnsi="Times New Roman" w:eastAsia="黑体"/>
          <w:b w:val="0"/>
          <w:sz w:val="30"/>
          <w:szCs w:val="30"/>
        </w:rPr>
        <w:t>九、</w:t>
      </w:r>
      <w:r>
        <w:rPr>
          <w:rFonts w:ascii="Times New Roman" w:hAnsi="Times New Roman" w:eastAsia="黑体"/>
          <w:b w:val="0"/>
          <w:sz w:val="30"/>
          <w:szCs w:val="30"/>
        </w:rPr>
        <w:t>《国有资本经营预算财政拨款</w:t>
      </w:r>
      <w:r>
        <w:rPr>
          <w:rFonts w:hint="eastAsia" w:ascii="Times New Roman" w:hAnsi="Times New Roman" w:eastAsia="黑体"/>
          <w:b w:val="0"/>
          <w:sz w:val="30"/>
          <w:szCs w:val="30"/>
        </w:rPr>
        <w:t>收入支出决算</w:t>
      </w:r>
      <w:r>
        <w:rPr>
          <w:rFonts w:ascii="Times New Roman" w:hAnsi="Times New Roman" w:eastAsia="黑体"/>
          <w:b w:val="0"/>
          <w:sz w:val="30"/>
          <w:szCs w:val="30"/>
        </w:rPr>
        <w:t>表》</w:t>
      </w:r>
      <w:bookmarkEnd w:id="12"/>
    </w:p>
    <w:p>
      <w:pPr>
        <w:pStyle w:val="3"/>
        <w:spacing w:before="0" w:after="0" w:line="800" w:lineRule="exact"/>
        <w:ind w:firstLine="600" w:firstLineChars="200"/>
        <w:rPr>
          <w:rFonts w:ascii="Times New Roman" w:hAnsi="Times New Roman" w:eastAsia="黑体"/>
          <w:b w:val="0"/>
          <w:sz w:val="30"/>
          <w:szCs w:val="30"/>
        </w:rPr>
      </w:pPr>
      <w:bookmarkStart w:id="13" w:name="_Toc30096"/>
      <w:r>
        <w:rPr>
          <w:rFonts w:hint="eastAsia" w:ascii="Times New Roman" w:hAnsi="Times New Roman" w:eastAsia="黑体"/>
          <w:b w:val="0"/>
          <w:sz w:val="30"/>
          <w:szCs w:val="30"/>
        </w:rPr>
        <w:t>十、</w:t>
      </w:r>
      <w:r>
        <w:rPr>
          <w:rFonts w:ascii="Times New Roman" w:hAnsi="Times New Roman" w:eastAsia="黑体"/>
          <w:b w:val="0"/>
          <w:sz w:val="30"/>
          <w:szCs w:val="30"/>
        </w:rPr>
        <w:t>《财政拨款“三公”经费支出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3"/>
    </w:p>
    <w:p>
      <w:pPr>
        <w:pStyle w:val="3"/>
        <w:spacing w:before="0" w:after="0" w:line="800" w:lineRule="exact"/>
        <w:ind w:firstLine="600" w:firstLineChars="200"/>
        <w:rPr>
          <w:rFonts w:ascii="Times New Roman" w:hAnsi="Times New Roman" w:eastAsia="黑体"/>
          <w:b w:val="0"/>
          <w:sz w:val="30"/>
          <w:szCs w:val="30"/>
        </w:rPr>
      </w:pPr>
      <w:bookmarkStart w:id="14" w:name="_Toc21214"/>
      <w:r>
        <w:rPr>
          <w:rFonts w:ascii="Times New Roman" w:hAnsi="Times New Roman" w:eastAsia="黑体"/>
          <w:b w:val="0"/>
          <w:sz w:val="30"/>
          <w:szCs w:val="30"/>
        </w:rPr>
        <w:t>十</w:t>
      </w:r>
      <w:r>
        <w:rPr>
          <w:rFonts w:hint="eastAsia" w:ascii="Times New Roman" w:hAnsi="Times New Roman" w:eastAsia="黑体"/>
          <w:b w:val="0"/>
          <w:sz w:val="30"/>
          <w:szCs w:val="30"/>
        </w:rPr>
        <w:t>一、</w:t>
      </w:r>
      <w:r>
        <w:rPr>
          <w:rFonts w:ascii="Times New Roman" w:hAnsi="Times New Roman" w:eastAsia="黑体"/>
          <w:b w:val="0"/>
          <w:sz w:val="30"/>
          <w:szCs w:val="30"/>
        </w:rPr>
        <w:t>《项目支出决算表》</w:t>
      </w:r>
      <w:bookmarkEnd w:id="14"/>
    </w:p>
    <w:p>
      <w:pPr>
        <w:spacing w:line="800" w:lineRule="exact"/>
        <w:ind w:left="600" w:hanging="600" w:hangingChars="200"/>
        <w:rPr>
          <w:rFonts w:hint="eastAsia" w:ascii="Times New Roman" w:hAnsi="Times New Roman" w:eastAsia="楷体"/>
          <w:sz w:val="30"/>
          <w:szCs w:val="30"/>
        </w:rPr>
      </w:pPr>
      <w:r>
        <w:rPr>
          <w:rFonts w:hint="eastAsia" w:ascii="Times New Roman" w:hAnsi="Times New Roman" w:eastAsia="楷体"/>
          <w:sz w:val="30"/>
          <w:szCs w:val="30"/>
        </w:rPr>
        <w:t>注：以上决算公开表均作为附表，附于决算公开说明文档后。</w:t>
      </w:r>
    </w:p>
    <w:p>
      <w:pPr>
        <w:pStyle w:val="3"/>
        <w:spacing w:before="0" w:after="0" w:line="800" w:lineRule="exact"/>
        <w:ind w:firstLine="600" w:firstLineChars="200"/>
        <w:rPr>
          <w:rFonts w:ascii="Times New Roman" w:hAnsi="Times New Roman" w:eastAsia="黑体"/>
          <w:b w:val="0"/>
          <w:sz w:val="30"/>
          <w:szCs w:val="30"/>
        </w:rPr>
      </w:pPr>
      <w:bookmarkStart w:id="15" w:name="_Toc9893"/>
      <w:r>
        <w:rPr>
          <w:rFonts w:hint="eastAsia" w:ascii="Times New Roman" w:hAnsi="Times New Roman" w:eastAsia="黑体"/>
          <w:b w:val="0"/>
          <w:sz w:val="30"/>
          <w:szCs w:val="30"/>
        </w:rPr>
        <w:t>十二、关于空表的说明</w:t>
      </w:r>
      <w:bookmarkEnd w:id="15"/>
    </w:p>
    <w:p>
      <w:pPr>
        <w:spacing w:line="600" w:lineRule="exact"/>
        <w:ind w:firstLine="600" w:firstLineChars="200"/>
        <w:jc w:val="both"/>
        <w:rPr>
          <w:rFonts w:ascii="Times New Roman" w:hAnsi="Times New Roman" w:eastAsia="仿宋_GB2312"/>
          <w:sz w:val="30"/>
          <w:szCs w:val="30"/>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仿宋_GB2312"/>
          <w:sz w:val="30"/>
          <w:szCs w:val="30"/>
        </w:rPr>
        <w:t>1.中共天津市津南区委党校2024年度政府性基金预算财政拨款收入支出决算表为空表。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2.中共天津市津南区委党校2024年度国有资本经营预算财政拨款收入支出决算表为空表。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3.中共天津市津南区委党校2024年度财政拨款“三公”经费支出决算表为空表。</w:t>
      </w:r>
    </w:p>
    <w:p>
      <w:pPr>
        <w:spacing w:line="600" w:lineRule="exact"/>
        <w:rPr>
          <w:rFonts w:ascii="Times New Roman" w:hAnsi="Times New Roman" w:eastAsia="仿宋_GB2312"/>
          <w:sz w:val="30"/>
          <w:szCs w:val="30"/>
        </w:rPr>
      </w:pPr>
    </w:p>
    <w:p>
      <w:pPr>
        <w:pStyle w:val="2"/>
        <w:spacing w:before="0" w:after="0" w:line="600" w:lineRule="exact"/>
        <w:jc w:val="center"/>
        <w:rPr>
          <w:rFonts w:ascii="Times New Roman" w:hAnsi="Times New Roman" w:eastAsia="方正小标宋简体" w:cs="方正小标宋简体"/>
          <w:b w:val="0"/>
        </w:rPr>
      </w:pPr>
      <w:bookmarkStart w:id="16" w:name="_Toc26351"/>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三</w:t>
      </w:r>
      <w:r>
        <w:rPr>
          <w:rFonts w:ascii="Times New Roman" w:hAnsi="Times New Roman" w:eastAsia="方正小标宋简体" w:cs="方正小标宋简体"/>
          <w:b w:val="0"/>
        </w:rPr>
        <w:t xml:space="preserve">部分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情况</w:t>
      </w:r>
      <w:r>
        <w:rPr>
          <w:rFonts w:ascii="Times New Roman" w:hAnsi="Times New Roman" w:eastAsia="方正小标宋简体" w:cs="方正小标宋简体"/>
          <w:b w:val="0"/>
        </w:rPr>
        <w:t>说明</w:t>
      </w:r>
      <w:bookmarkEnd w:id="16"/>
    </w:p>
    <w:p>
      <w:pPr>
        <w:spacing w:line="600" w:lineRule="exact"/>
        <w:ind w:firstLine="600" w:firstLineChars="200"/>
        <w:rPr>
          <w:rFonts w:ascii="Times New Roman" w:hAnsi="Times New Roman" w:eastAsia="黑体"/>
          <w:sz w:val="30"/>
          <w:szCs w:val="30"/>
        </w:rPr>
      </w:pPr>
    </w:p>
    <w:p>
      <w:pPr>
        <w:pStyle w:val="3"/>
        <w:spacing w:before="0" w:after="0" w:line="600" w:lineRule="exact"/>
        <w:ind w:firstLine="600" w:firstLineChars="200"/>
        <w:rPr>
          <w:rFonts w:ascii="Times New Roman" w:hAnsi="Times New Roman" w:eastAsia="黑体"/>
          <w:b w:val="0"/>
          <w:sz w:val="30"/>
          <w:szCs w:val="30"/>
        </w:rPr>
      </w:pPr>
      <w:bookmarkStart w:id="17" w:name="_Toc14113"/>
      <w:r>
        <w:rPr>
          <w:rFonts w:hint="eastAsia" w:ascii="Times New Roman" w:hAnsi="Times New Roman" w:eastAsia="黑体"/>
          <w:b w:val="0"/>
          <w:sz w:val="30"/>
          <w:szCs w:val="30"/>
        </w:rPr>
        <w:t>一、收入支出决算总体情况说明</w:t>
      </w:r>
      <w:bookmarkEnd w:id="17"/>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中共天津市津南区委党校2024年度收入、支出决算总计9,418,625.05元。与2023年度相比，收、支总计各减少1,067,931.53元，下降10.2%，主要原因是本年度公用经费和项目支出较上年减少。</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收入包括：一般公共预算财政拨款收入9,306,020.96元。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支出包括：教育支出（类）支出7,656,210.33元、社会保障和就业支出（类）支出783,787.68元、卫生健康支出（类）支出382,688.1元、住房保障支出（类）支出483,228元。</w:t>
      </w:r>
    </w:p>
    <w:p>
      <w:pPr>
        <w:pStyle w:val="3"/>
        <w:spacing w:before="0" w:after="0" w:line="600" w:lineRule="exact"/>
        <w:ind w:firstLine="600" w:firstLineChars="200"/>
        <w:rPr>
          <w:rFonts w:ascii="Times New Roman" w:hAnsi="Times New Roman" w:eastAsia="黑体" w:cs="仿宋_GB2312"/>
          <w:b w:val="0"/>
          <w:sz w:val="30"/>
          <w:szCs w:val="30"/>
        </w:rPr>
      </w:pPr>
      <w:bookmarkStart w:id="18" w:name="_Toc1931"/>
      <w:r>
        <w:rPr>
          <w:rFonts w:hint="eastAsia" w:ascii="Times New Roman" w:hAnsi="Times New Roman" w:eastAsia="黑体" w:cs="仿宋_GB2312"/>
          <w:b w:val="0"/>
          <w:sz w:val="30"/>
          <w:szCs w:val="30"/>
        </w:rPr>
        <w:t>二、收入决算情况说明</w:t>
      </w:r>
      <w:bookmarkEnd w:id="18"/>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中共天津市津南区委党校2024年度本年收入合计9,306,020.96元。与2023年度相比减少1,081,185.93元，主要原因是本年度项目支出收入和公用经费收入较上年减少。其中：一般公共预算财政拨款收入9,306,020.96元，占100%。</w:t>
      </w:r>
    </w:p>
    <w:p>
      <w:pPr>
        <w:pStyle w:val="3"/>
        <w:spacing w:before="0" w:after="0" w:line="600" w:lineRule="exact"/>
        <w:ind w:firstLine="600" w:firstLineChars="200"/>
        <w:rPr>
          <w:rFonts w:ascii="Times New Roman" w:hAnsi="Times New Roman" w:eastAsia="黑体" w:cs="仿宋_GB2312"/>
          <w:b w:val="0"/>
          <w:sz w:val="30"/>
          <w:szCs w:val="30"/>
        </w:rPr>
      </w:pPr>
      <w:bookmarkStart w:id="19" w:name="_Toc14007"/>
      <w:r>
        <w:rPr>
          <w:rFonts w:hint="eastAsia" w:ascii="Times New Roman" w:hAnsi="Times New Roman" w:eastAsia="黑体" w:cs="仿宋_GB2312"/>
          <w:b w:val="0"/>
          <w:sz w:val="30"/>
          <w:szCs w:val="30"/>
        </w:rPr>
        <w:t>三、</w:t>
      </w:r>
      <w:r>
        <w:rPr>
          <w:rFonts w:ascii="Times New Roman" w:hAnsi="Times New Roman" w:eastAsia="黑体" w:cs="仿宋_GB2312"/>
          <w:b w:val="0"/>
          <w:sz w:val="30"/>
          <w:szCs w:val="30"/>
        </w:rPr>
        <w:t>支出</w:t>
      </w:r>
      <w:r>
        <w:rPr>
          <w:rFonts w:hint="eastAsia" w:ascii="Times New Roman" w:hAnsi="Times New Roman" w:eastAsia="黑体" w:cs="仿宋_GB2312"/>
          <w:b w:val="0"/>
          <w:sz w:val="30"/>
          <w:szCs w:val="30"/>
        </w:rPr>
        <w:t>决算</w:t>
      </w:r>
      <w:r>
        <w:rPr>
          <w:rFonts w:ascii="Times New Roman" w:hAnsi="Times New Roman" w:eastAsia="黑体" w:cs="仿宋_GB2312"/>
          <w:b w:val="0"/>
          <w:sz w:val="30"/>
          <w:szCs w:val="30"/>
        </w:rPr>
        <w:t>情况</w:t>
      </w:r>
      <w:r>
        <w:rPr>
          <w:rFonts w:hint="eastAsia" w:ascii="Times New Roman" w:hAnsi="Times New Roman" w:eastAsia="黑体" w:cs="仿宋_GB2312"/>
          <w:b w:val="0"/>
          <w:sz w:val="30"/>
          <w:szCs w:val="30"/>
        </w:rPr>
        <w:t>说明</w:t>
      </w:r>
      <w:bookmarkEnd w:id="19"/>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本年支出合计9,305,914.11元。与2023年度相比减少1,080,996.78元，主要原因是本年度公用经费支出和项目支出较上年减少。其中：基本支出7,760,080.72元，占83.4%；项目支出1,545,833.39元，占16.6%。</w:t>
      </w:r>
    </w:p>
    <w:p>
      <w:pPr>
        <w:pStyle w:val="3"/>
        <w:spacing w:before="0" w:after="0" w:line="600" w:lineRule="exact"/>
        <w:ind w:firstLine="600" w:firstLineChars="200"/>
        <w:rPr>
          <w:rFonts w:ascii="Times New Roman" w:hAnsi="Times New Roman" w:eastAsia="黑体"/>
          <w:b w:val="0"/>
          <w:sz w:val="30"/>
          <w:szCs w:val="30"/>
        </w:rPr>
      </w:pPr>
      <w:bookmarkStart w:id="20" w:name="_Toc23974"/>
      <w:r>
        <w:rPr>
          <w:rFonts w:hint="eastAsia" w:ascii="Times New Roman" w:hAnsi="Times New Roman" w:eastAsia="黑体"/>
          <w:b w:val="0"/>
          <w:sz w:val="30"/>
          <w:szCs w:val="30"/>
        </w:rPr>
        <w:t>四、财政拨款收支决算总体情况说明</w:t>
      </w:r>
      <w:bookmarkEnd w:id="20"/>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中共天津市津南区委党校2024年度财政拨款收入、支出决算总计9,418,625.05元。与2023年度相比，财政拨款收、支总计各减少1,067,931.53元，下降10.2%，主要原因是本年度公用经费和项目支出较上年减少。</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收入包括：一般公共预算财政拨款收入9,306,020.96元、年初财政拨款结转和结余112,604.09元。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支出包括：教育支出（类）支出7,656,210.33元、社会保障和就业支出（类）支出783,787.68元、卫生健康支出（类）支出382,688.1元、住房保障支出（类）支出483,228元。</w:t>
      </w:r>
    </w:p>
    <w:p>
      <w:pPr>
        <w:pStyle w:val="3"/>
        <w:spacing w:before="0" w:after="0" w:line="600" w:lineRule="exact"/>
        <w:ind w:firstLine="600" w:firstLineChars="200"/>
        <w:rPr>
          <w:rFonts w:ascii="Times New Roman" w:hAnsi="Times New Roman" w:eastAsia="黑体"/>
          <w:b w:val="0"/>
          <w:sz w:val="30"/>
          <w:szCs w:val="30"/>
        </w:rPr>
      </w:pPr>
      <w:bookmarkStart w:id="21" w:name="_Toc19057"/>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一般公共预算财政拨款支出决算情况</w:t>
      </w:r>
      <w:r>
        <w:rPr>
          <w:rFonts w:hint="eastAsia" w:ascii="Times New Roman" w:hAnsi="Times New Roman" w:eastAsia="黑体"/>
          <w:b w:val="0"/>
          <w:sz w:val="30"/>
          <w:szCs w:val="30"/>
        </w:rPr>
        <w:t>说明</w:t>
      </w:r>
      <w:bookmarkEnd w:id="21"/>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部门决算一般公共预算财政拨款支出合计9,305,914.11元，占本年支出合计的100%。与2023年度相比，一般公共预算财政拨款支出减少1,080,996.78元，下降10.4%，主要原因是本年度公用经费和项目支出较上年减少。</w:t>
      </w:r>
    </w:p>
    <w:p>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2024年度一般公共预算财政拨款支出9,305,914.11元，主要用于以下方面：</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教育支出（类）支出7,656,210.33元，占82.3%；</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社会保障和就业支出（类）支出783,787.68元，占8.4%；</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卫生健康支出（类）支出382,688.1元，占4.1%；</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住房保障支出（类）支出483,228元，占5.2%。</w:t>
      </w:r>
    </w:p>
    <w:p>
      <w:pPr>
        <w:numPr>
          <w:ilvl w:val="0"/>
          <w:numId w:val="1"/>
        </w:numPr>
        <w:spacing w:line="600" w:lineRule="exact"/>
        <w:ind w:firstLine="602" w:firstLineChars="200"/>
        <w:rPr>
          <w:rFonts w:ascii="Times New Roman" w:hAnsi="Times New Roman" w:eastAsia="楷体" w:cs="仿宋_GB2312"/>
          <w:b/>
          <w:sz w:val="30"/>
          <w:szCs w:val="30"/>
        </w:rPr>
      </w:pPr>
      <w:r>
        <w:rPr>
          <w:rFonts w:ascii="Times New Roman" w:hAnsi="Times New Roman" w:eastAsia="楷体" w:cs="仿宋_GB2312"/>
          <w:b/>
          <w:sz w:val="30"/>
          <w:szCs w:val="30"/>
        </w:rPr>
        <w:t>具体情况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2024年度一般公共预算财政拨款支出年初预算为7,292,812.17元，支出决算为9,305,914.11元，完成年初预算的127.6%。其中：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1.教育支出（类）进修及培训（款）干部教育（项）年初预算为5,608,158.21元，支出决算为7,607,510.33元，完成年初预算的135.7%，决算数大于年初预算数的主要原因是本年预算执行过程中，结合单位实际情况，追加项目支出和人员经费，故决算数大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2.教育支出（类）进修及培训（款）其他进修及培训（项）年初预算为0元，支出决算为48,700元，完成年初预算的0%，决算数大于年初预算数的主要原因是本年度津南财行指【2024】10号追加抚恤金48700元。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3.社会保障和就业支出（类）行政事业单位养老支出（款）机关事业单位基本养老保险缴费支出（项）年初预算为530,739.84元，支出决算为522,525.12元，完成年初预算的98.5%，决算数小于年初预算数的主要原因是本年人员变动，该项预算根据实际情况调减，故决算数小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4.社会保障和就业支出（类）行政事业单位养老支出（款）机关事业单位职业年金缴费支出（项）年初预算为265,369.44元，支出决算为261,262.56元，完成年初预算的98.5%，决算数小于年初预算数的主要原因是本年人员变动，该项预算根据实际情况调减，故决算数小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5.卫生健康支出（类）行政事业单位医疗（款）行政单位医疗（项）年初预算为198,609.24元，支出决算为181,035.54元，完成年初预算的91.2%，决算数小于年初预算数的主要原因是本年人员变动，该项预算根据实际情况调减，故决算数小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6.卫生健康支出（类）行政事业单位医疗（款）事业单位医疗（项）年初预算为149,689.08元，支出决算为145,544.64元，完成年初预算的97.2%，决算数小于年初预算数的主要原因是本年人员变动，该项预算根据实际情况调减，故决算数小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7.卫生健康支出（类）行政事业单位医疗（款）公务员医疗补助（项）年初预算为37,830.36元，支出决算为34,257.92元，完成年初预算的90.6%，决算数小于年初预算数的主要原因是本年人员变动，该项预算根据实际情况调减，故决算数小于年初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8.卫生健康支出（类）行政事业单位医疗（款）其他行政事业单位医疗支出（项）年初预算为21,600元，支出决算为21,850元，完成年初预算的101.2%，决算数大于年初预算数的主要原因是本年度人员社保缴费信息变动，增加1人缴纳补充医疗，故决算数大于预算数。</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9.住房保障支出（类）住房改革支出（款）住房公积金（项）年初预算为480,816元，支出决算为483,228元，完成年初预算的100.5%，决算数大于年初预算数的主要原因是本年度因住房公积金基数调整，故决算数大于年初预算数。</w:t>
      </w:r>
    </w:p>
    <w:p>
      <w:pPr>
        <w:pStyle w:val="3"/>
        <w:spacing w:before="0" w:after="0" w:line="600" w:lineRule="exact"/>
        <w:ind w:firstLine="600" w:firstLineChars="200"/>
        <w:rPr>
          <w:rFonts w:ascii="Times New Roman" w:hAnsi="Times New Roman" w:eastAsia="黑体"/>
          <w:b w:val="0"/>
          <w:sz w:val="30"/>
          <w:szCs w:val="30"/>
        </w:rPr>
      </w:pPr>
      <w:bookmarkStart w:id="22" w:name="_Toc8826"/>
      <w:r>
        <w:rPr>
          <w:rFonts w:ascii="Times New Roman" w:hAnsi="Times New Roman" w:eastAsia="黑体"/>
          <w:b w:val="0"/>
          <w:sz w:val="30"/>
          <w:szCs w:val="30"/>
        </w:rPr>
        <w:t>六、一般公共预算财政拨款基本支出决算情况</w:t>
      </w:r>
      <w:r>
        <w:rPr>
          <w:rFonts w:hint="eastAsia" w:ascii="Times New Roman" w:hAnsi="Times New Roman" w:eastAsia="黑体"/>
          <w:b w:val="0"/>
          <w:sz w:val="30"/>
          <w:szCs w:val="30"/>
        </w:rPr>
        <w:t>说明</w:t>
      </w:r>
      <w:bookmarkEnd w:id="22"/>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中共天津市津南区委党校2024年度部门决算一般公共预算财政拨款基本支出合计7,760,080.72元，与2023年度相比减少864,622.48元，主要原因是本年度有人员变动，同时公用经费减少。其中：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人员经费7,387,148.35元，主要包括基本工资、津贴补贴、奖金、绩效工资、机关事业单位养老保险缴费、职业年金缴费、职工基本医疗保险缴费、公务员医疗补助缴费、其他社会保障缴费、住房公积金、其他工资福利支出、退休费、生活补助、其他对个人和家庭补助；</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公用经费372,932.37元，主要包括办公费、手续费、邮电费、差旅费、维修（护）费、培训费、委托物业费、工会经费、福利费、其他交通费用、其他商品和服务支出。</w:t>
      </w:r>
    </w:p>
    <w:p>
      <w:pPr>
        <w:pStyle w:val="3"/>
        <w:spacing w:before="0" w:after="0" w:line="600" w:lineRule="exact"/>
        <w:ind w:firstLine="600" w:firstLineChars="200"/>
        <w:rPr>
          <w:rFonts w:ascii="Times New Roman" w:hAnsi="Times New Roman" w:eastAsia="楷体" w:cs="仿宋_GB2312"/>
          <w:b w:val="0"/>
          <w:sz w:val="30"/>
          <w:szCs w:val="30"/>
        </w:rPr>
      </w:pPr>
      <w:bookmarkStart w:id="23" w:name="_Toc13712"/>
      <w:r>
        <w:rPr>
          <w:rFonts w:hint="eastAsia" w:ascii="Times New Roman" w:hAnsi="Times New Roman" w:eastAsia="黑体"/>
          <w:b w:val="0"/>
          <w:sz w:val="30"/>
          <w:szCs w:val="30"/>
        </w:rPr>
        <w:t>七</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收支决算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3"/>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中共天津市津南区委党校2024年度无政府性基金预算财政拨款收入、支出和结转结余。</w:t>
      </w:r>
    </w:p>
    <w:p>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pPr>
        <w:pStyle w:val="3"/>
        <w:spacing w:before="0" w:after="0" w:line="600" w:lineRule="exact"/>
        <w:ind w:firstLine="600" w:firstLineChars="200"/>
        <w:rPr>
          <w:rFonts w:ascii="Times New Roman" w:hAnsi="Times New Roman" w:eastAsia="黑体"/>
          <w:b w:val="0"/>
          <w:sz w:val="30"/>
          <w:szCs w:val="30"/>
        </w:rPr>
      </w:pPr>
      <w:bookmarkStart w:id="24" w:name="_Toc1902"/>
      <w:r>
        <w:rPr>
          <w:rFonts w:hint="eastAsia" w:ascii="Times New Roman" w:hAnsi="Times New Roman" w:eastAsia="黑体"/>
          <w:b w:val="0"/>
          <w:sz w:val="30"/>
          <w:szCs w:val="30"/>
        </w:rPr>
        <w:t>八、国有资本经营预算财政拨款收支决算情况</w:t>
      </w:r>
      <w:r>
        <w:rPr>
          <w:rFonts w:hint="eastAsia" w:ascii="Times New Roman" w:hAnsi="Times New Roman" w:eastAsia="黑体"/>
          <w:b w:val="0"/>
          <w:bCs w:val="0"/>
          <w:sz w:val="30"/>
          <w:szCs w:val="30"/>
        </w:rPr>
        <w:t>说明</w:t>
      </w:r>
      <w:bookmarkEnd w:id="24"/>
    </w:p>
    <w:p>
      <w:pPr>
        <w:spacing w:line="600" w:lineRule="exact"/>
        <w:ind w:firstLine="602" w:firstLineChars="200"/>
        <w:rPr>
          <w:rFonts w:ascii="Times New Roman" w:hAnsi="Times New Roman" w:eastAsia="仿宋_GB2312"/>
          <w:sz w:val="30"/>
          <w:szCs w:val="30"/>
        </w:rPr>
      </w:pPr>
      <w:r>
        <w:rPr>
          <w:rFonts w:hint="eastAsia" w:ascii="Times New Roman" w:hAnsi="Times New Roman" w:eastAsia="楷体" w:cs="仿宋_GB2312"/>
          <w:b/>
          <w:sz w:val="30"/>
          <w:szCs w:val="30"/>
        </w:rPr>
        <w:t>（一）总体情况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中共天津市津南区委党校2024年度无国有资本经营预算财政拨款收入、支出和结转结余。</w:t>
      </w:r>
    </w:p>
    <w:p>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pPr>
        <w:pStyle w:val="3"/>
        <w:spacing w:before="0" w:after="0" w:line="600" w:lineRule="exact"/>
        <w:ind w:firstLine="600" w:firstLineChars="200"/>
        <w:rPr>
          <w:rFonts w:ascii="Times New Roman" w:hAnsi="Times New Roman" w:eastAsia="黑体"/>
          <w:b w:val="0"/>
          <w:sz w:val="30"/>
          <w:szCs w:val="30"/>
        </w:rPr>
      </w:pPr>
      <w:bookmarkStart w:id="25" w:name="_Toc6751"/>
      <w:r>
        <w:rPr>
          <w:rFonts w:hint="eastAsia" w:ascii="Times New Roman" w:hAnsi="Times New Roman" w:eastAsia="黑体"/>
          <w:b w:val="0"/>
          <w:sz w:val="30"/>
          <w:szCs w:val="30"/>
        </w:rPr>
        <w:t>九、</w:t>
      </w:r>
      <w:r>
        <w:rPr>
          <w:rFonts w:ascii="Times New Roman" w:hAnsi="Times New Roman" w:eastAsia="黑体"/>
          <w:b w:val="0"/>
          <w:sz w:val="30"/>
          <w:szCs w:val="30"/>
        </w:rPr>
        <w:t>财政拨款“三公”经费</w:t>
      </w:r>
      <w:r>
        <w:rPr>
          <w:rFonts w:hint="eastAsia" w:ascii="Times New Roman" w:hAnsi="Times New Roman" w:eastAsia="黑体"/>
          <w:b w:val="0"/>
          <w:sz w:val="30"/>
          <w:szCs w:val="30"/>
        </w:rPr>
        <w:t>支出决算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5"/>
    </w:p>
    <w:p>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（一）总体情况</w:t>
      </w:r>
    </w:p>
    <w:p>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财政拨款“三公”经费预算0元，支出决算0元（去年同期0元），支出决算与2024年预算相比持平；支出决算较上年持平。因本年及去年同期均未使用财政拨款列支“三公”经费，故本年支出决算与本年预算、上年支出决算均持平为0。</w:t>
      </w:r>
    </w:p>
    <w:p>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（二）具体情况</w:t>
      </w:r>
    </w:p>
    <w:p>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2024年本部门组织的出国团组0个，出国0人次。</w:t>
      </w:r>
    </w:p>
    <w:p>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2.公务用车购置及运行维护费预算0元，支出决算0元（去年同期0元），支出决算与2024年预算相比持平；支出决算较上年持平。因本年及去年同期均未使用财政拨款列支公务用车购置及运行维护费，故本年支出决算与本年预算、上年支出决算均持平为0。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运行维护费预算0元，支出决算0元（去年同期0元），支出决算与2024年预算相比持平；支出决算较上年持平。因本年及去年同期均未使用财政拨款列支公务用车运行维护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截至2024年12月31日，使用财政拨款开支运行维护费的公务用车保有量为0辆。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2024年购置公务用车0辆。</w:t>
      </w:r>
    </w:p>
    <w:p>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2024年本单位国内公务接待0批次，0人次；其中，外事接待0批次，0人次。</w:t>
      </w:r>
    </w:p>
    <w:p>
      <w:pPr>
        <w:pStyle w:val="3"/>
        <w:spacing w:before="0" w:after="0" w:line="600" w:lineRule="exact"/>
        <w:ind w:firstLine="600" w:firstLineChars="200"/>
        <w:rPr>
          <w:rFonts w:ascii="Times New Roman" w:hAnsi="Times New Roman" w:eastAsia="黑体"/>
          <w:b w:val="0"/>
          <w:sz w:val="30"/>
          <w:szCs w:val="30"/>
        </w:rPr>
      </w:pPr>
      <w:bookmarkStart w:id="26" w:name="_Toc2589"/>
      <w:r>
        <w:rPr>
          <w:rFonts w:hint="eastAsia" w:ascii="Times New Roman" w:hAnsi="Times New Roman" w:eastAsia="黑体"/>
          <w:b w:val="0"/>
          <w:sz w:val="30"/>
          <w:szCs w:val="30"/>
        </w:rPr>
        <w:t>十、</w:t>
      </w:r>
      <w:r>
        <w:rPr>
          <w:rFonts w:ascii="Times New Roman" w:hAnsi="Times New Roman" w:eastAsia="黑体"/>
          <w:b w:val="0"/>
          <w:sz w:val="30"/>
          <w:szCs w:val="30"/>
        </w:rPr>
        <w:t>机关运行经费</w:t>
      </w:r>
      <w:r>
        <w:rPr>
          <w:rFonts w:hint="eastAsia" w:ascii="Times New Roman" w:hAnsi="Times New Roman" w:eastAsia="黑体"/>
          <w:b w:val="0"/>
          <w:sz w:val="30"/>
          <w:szCs w:val="30"/>
        </w:rPr>
        <w:t>支出情况</w:t>
      </w:r>
      <w:r>
        <w:rPr>
          <w:rFonts w:hint="eastAsia" w:ascii="Times New Roman" w:hAnsi="Times New Roman" w:eastAsia="黑体"/>
          <w:b w:val="0"/>
          <w:bCs w:val="0"/>
          <w:sz w:val="30"/>
          <w:szCs w:val="30"/>
        </w:rPr>
        <w:t>说明</w:t>
      </w:r>
      <w:bookmarkEnd w:id="26"/>
    </w:p>
    <w:p>
      <w:pPr>
        <w:spacing w:line="600" w:lineRule="exact"/>
        <w:ind w:firstLine="600"/>
        <w:jc w:val="both"/>
        <w:rPr>
          <w:rFonts w:ascii="Times New Roman" w:hAnsi="Times New Roman" w:eastAsia="楷体"/>
          <w:sz w:val="30"/>
          <w:szCs w:val="30"/>
        </w:rPr>
      </w:pPr>
      <w:r>
        <w:rPr>
          <w:rFonts w:hint="eastAsia" w:ascii="Times New Roman" w:hAnsi="Times New Roman" w:eastAsia="仿宋_GB2312" w:cs="仿宋_GB2312"/>
          <w:sz w:val="30"/>
          <w:szCs w:val="30"/>
        </w:rPr>
        <w:t>中共天津市津南区委党校2024年度无机关运行经费。</w:t>
      </w:r>
    </w:p>
    <w:p>
      <w:pPr>
        <w:pStyle w:val="3"/>
        <w:spacing w:before="0" w:after="0" w:line="600" w:lineRule="exact"/>
        <w:ind w:firstLine="600" w:firstLineChars="200"/>
        <w:rPr>
          <w:rFonts w:ascii="Times New Roman" w:hAnsi="Times New Roman" w:eastAsia="黑体"/>
          <w:b w:val="0"/>
          <w:sz w:val="30"/>
          <w:szCs w:val="30"/>
        </w:rPr>
      </w:pPr>
      <w:bookmarkStart w:id="27" w:name="_Toc15010"/>
      <w:r>
        <w:rPr>
          <w:rFonts w:hint="eastAsia" w:ascii="Times New Roman" w:hAnsi="Times New Roman" w:eastAsia="黑体"/>
          <w:b w:val="0"/>
          <w:sz w:val="30"/>
          <w:szCs w:val="30"/>
        </w:rPr>
        <w:t>十一、</w:t>
      </w:r>
      <w:r>
        <w:rPr>
          <w:rFonts w:ascii="Times New Roman" w:hAnsi="Times New Roman" w:eastAsia="黑体"/>
          <w:b w:val="0"/>
          <w:sz w:val="30"/>
          <w:szCs w:val="30"/>
        </w:rPr>
        <w:t>政府采购</w:t>
      </w:r>
      <w:r>
        <w:rPr>
          <w:rFonts w:hint="eastAsia" w:ascii="Times New Roman" w:hAnsi="Times New Roman" w:eastAsia="黑体"/>
          <w:b w:val="0"/>
          <w:sz w:val="30"/>
          <w:szCs w:val="30"/>
        </w:rPr>
        <w:t>支出</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7"/>
    </w:p>
    <w:p>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中共天津市津南区委党校2024年政府采购支出总额9,328元，其中：政府采购货物支出9,328元、政府采购工程支出0元、政府采购服务支出0元。授予中小企业合同金额9,328元，占政府采购支出总额的100%，其中：授予小微企业合同金额9,328元，占政府采购支出总额的100%；货物采购授予中小企业合同金额占货物支出金额的100%，工程采购授予中小企业合同金额占工程支出金额的0%，服务采购授予中小企业合同金额占服务支出金额的0%。</w:t>
      </w:r>
    </w:p>
    <w:p>
      <w:pPr>
        <w:pStyle w:val="3"/>
        <w:spacing w:before="0" w:after="0" w:line="600" w:lineRule="exact"/>
        <w:ind w:firstLine="600" w:firstLineChars="200"/>
        <w:rPr>
          <w:rFonts w:ascii="Times New Roman" w:hAnsi="Times New Roman" w:eastAsia="黑体"/>
          <w:b w:val="0"/>
          <w:sz w:val="30"/>
          <w:szCs w:val="30"/>
        </w:rPr>
      </w:pPr>
      <w:bookmarkStart w:id="28" w:name="_Toc32128"/>
      <w:r>
        <w:rPr>
          <w:rFonts w:hint="eastAsia" w:ascii="Times New Roman" w:hAnsi="Times New Roman" w:eastAsia="黑体"/>
          <w:b w:val="0"/>
          <w:sz w:val="30"/>
          <w:szCs w:val="30"/>
        </w:rPr>
        <w:t>十二、国有资产占有使用情况</w:t>
      </w:r>
      <w:r>
        <w:rPr>
          <w:rFonts w:hint="eastAsia" w:ascii="Times New Roman" w:hAnsi="Times New Roman" w:eastAsia="黑体"/>
          <w:b w:val="0"/>
          <w:bCs w:val="0"/>
          <w:sz w:val="30"/>
          <w:szCs w:val="30"/>
        </w:rPr>
        <w:t>说明</w:t>
      </w:r>
      <w:bookmarkEnd w:id="28"/>
    </w:p>
    <w:p>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中共天津市津南区委党校2024年度无国有资产占有使用情况。</w:t>
      </w:r>
    </w:p>
    <w:p>
      <w:pPr>
        <w:pStyle w:val="3"/>
        <w:spacing w:before="0" w:after="0" w:line="540" w:lineRule="exact"/>
        <w:ind w:firstLine="600" w:firstLineChars="200"/>
        <w:rPr>
          <w:rFonts w:ascii="Times New Roman" w:hAnsi="Times New Roman" w:eastAsia="黑体"/>
          <w:b w:val="0"/>
          <w:bCs w:val="0"/>
          <w:sz w:val="30"/>
          <w:szCs w:val="30"/>
        </w:rPr>
      </w:pPr>
      <w:bookmarkStart w:id="29" w:name="_Toc31889"/>
      <w:r>
        <w:rPr>
          <w:rFonts w:hint="eastAsia" w:ascii="Times New Roman" w:hAnsi="Times New Roman" w:eastAsia="黑体"/>
          <w:b w:val="0"/>
          <w:bCs w:val="0"/>
          <w:sz w:val="30"/>
          <w:szCs w:val="30"/>
        </w:rPr>
        <w:t>十三、预算绩效情况说明</w:t>
      </w:r>
      <w:bookmarkEnd w:id="29"/>
    </w:p>
    <w:p>
      <w:pPr>
        <w:spacing w:line="600" w:lineRule="exact"/>
        <w:ind w:firstLine="600" w:firstLineChars="200"/>
        <w:jc w:val="both"/>
        <w:rPr>
          <w:rFonts w:ascii="Times New Roman" w:hAnsi="Times New Roman" w:eastAsia="仿宋_GB2312"/>
          <w:sz w:val="30"/>
          <w:szCs w:val="30"/>
          <w:highlight w:val="yellow"/>
        </w:rPr>
      </w:pPr>
      <w:r>
        <w:rPr>
          <w:rFonts w:hint="eastAsia" w:ascii="Times New Roman" w:hAnsi="Times New Roman" w:eastAsia="仿宋_GB2312" w:cs="仿宋_GB2312"/>
          <w:sz w:val="30"/>
          <w:szCs w:val="30"/>
        </w:rPr>
        <w:t>根据预算绩效管理要求，中共天津市津南区委党校2024年度已对9个区级项目开展绩效自评，涉及金额1</w:t>
      </w:r>
      <w:r>
        <w:rPr>
          <w:rFonts w:hint="eastAsia" w:eastAsia="仿宋_GB2312" w:cs="仿宋_GB2312"/>
          <w:sz w:val="30"/>
          <w:szCs w:val="30"/>
          <w:lang w:val="en-US" w:eastAsia="zh-CN"/>
        </w:rPr>
        <w:t>,</w:t>
      </w:r>
      <w:r>
        <w:rPr>
          <w:rFonts w:hint="eastAsia" w:ascii="Times New Roman" w:hAnsi="Times New Roman" w:eastAsia="仿宋_GB2312" w:cs="仿宋_GB2312"/>
          <w:sz w:val="30"/>
          <w:szCs w:val="30"/>
        </w:rPr>
        <w:t>545</w:t>
      </w:r>
      <w:r>
        <w:rPr>
          <w:rFonts w:hint="eastAsia" w:eastAsia="仿宋_GB2312" w:cs="仿宋_GB2312"/>
          <w:sz w:val="30"/>
          <w:szCs w:val="30"/>
          <w:lang w:val="en-US" w:eastAsia="zh-CN"/>
        </w:rPr>
        <w:t>,</w:t>
      </w:r>
      <w:r>
        <w:rPr>
          <w:rFonts w:hint="eastAsia" w:ascii="Times New Roman" w:hAnsi="Times New Roman" w:eastAsia="仿宋_GB2312" w:cs="仿宋_GB2312"/>
          <w:sz w:val="30"/>
          <w:szCs w:val="30"/>
        </w:rPr>
        <w:t>833.39元，自评结果已随部门决算一并公开。中共天津市津南区委党校2024年已对1个项目开展部门评价，涉及9,306,020.96元。</w:t>
      </w:r>
    </w:p>
    <w:p>
      <w:pPr>
        <w:pStyle w:val="3"/>
        <w:spacing w:before="0" w:after="0" w:line="600" w:lineRule="exact"/>
        <w:ind w:firstLine="600" w:firstLineChars="200"/>
        <w:rPr>
          <w:rFonts w:ascii="Times New Roman" w:hAnsi="Times New Roman" w:eastAsia="黑体"/>
          <w:b w:val="0"/>
          <w:sz w:val="30"/>
          <w:szCs w:val="30"/>
        </w:rPr>
      </w:pPr>
      <w:bookmarkStart w:id="30" w:name="_Toc6543"/>
      <w:r>
        <w:rPr>
          <w:rFonts w:hint="eastAsia" w:ascii="Times New Roman" w:hAnsi="Times New Roman" w:eastAsia="黑体"/>
          <w:b w:val="0"/>
          <w:sz w:val="30"/>
          <w:szCs w:val="30"/>
        </w:rPr>
        <w:t>十四、</w:t>
      </w:r>
      <w:r>
        <w:rPr>
          <w:rFonts w:ascii="Times New Roman" w:hAnsi="Times New Roman" w:eastAsia="黑体"/>
          <w:b w:val="0"/>
          <w:sz w:val="30"/>
          <w:szCs w:val="30"/>
        </w:rPr>
        <w:t>教育、医疗卫生、社会保障和就业、住房保障、涉农补贴等民生支出情况</w:t>
      </w:r>
      <w:r>
        <w:rPr>
          <w:rFonts w:hint="eastAsia" w:ascii="Times New Roman" w:hAnsi="Times New Roman" w:eastAsia="黑体"/>
          <w:b w:val="0"/>
          <w:bCs w:val="0"/>
          <w:sz w:val="30"/>
          <w:szCs w:val="30"/>
        </w:rPr>
        <w:t>说明</w:t>
      </w:r>
      <w:bookmarkEnd w:id="30"/>
    </w:p>
    <w:p>
      <w:pPr>
        <w:spacing w:line="600" w:lineRule="exact"/>
        <w:ind w:firstLine="600"/>
        <w:jc w:val="both"/>
        <w:rPr>
          <w:rFonts w:ascii="Times New Roman" w:hAnsi="Times New Roman" w:eastAsia="楷体"/>
          <w:b/>
          <w:bCs/>
          <w:sz w:val="30"/>
          <w:szCs w:val="30"/>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仿宋_GB2312"/>
          <w:sz w:val="30"/>
          <w:szCs w:val="30"/>
        </w:rPr>
        <w:t>中共天津市津南区委党校不属于乡、镇、街级单位，不涉及公开2024年度教育、医疗卫生、社会保障和就业、住房保障、涉农补贴等民生支出情况。</w:t>
      </w:r>
      <w:r>
        <w:rPr>
          <w:rFonts w:ascii="Times New Roman" w:hAnsi="Times New Roman" w:eastAsia="楷体"/>
          <w:b/>
          <w:bCs/>
          <w:sz w:val="30"/>
          <w:szCs w:val="30"/>
        </w:rPr>
        <w:t xml:space="preserve"> </w:t>
      </w:r>
    </w:p>
    <w:p>
      <w:pPr>
        <w:pStyle w:val="2"/>
        <w:spacing w:before="0" w:after="0" w:line="600" w:lineRule="exact"/>
        <w:jc w:val="center"/>
        <w:rPr>
          <w:rFonts w:ascii="Times New Roman" w:hAnsi="Times New Roman" w:eastAsia="方正小标宋简体" w:cs="方正小标宋简体"/>
          <w:b w:val="0"/>
        </w:rPr>
      </w:pPr>
      <w:bookmarkStart w:id="31" w:name="_Toc24691"/>
      <w:bookmarkStart w:id="32" w:name="_Toc17573"/>
      <w:r>
        <w:rPr>
          <w:rFonts w:hint="eastAsia" w:ascii="Times New Roman" w:hAnsi="Times New Roman" w:eastAsia="方正小标宋简体" w:cs="方正小标宋简体"/>
          <w:b w:val="0"/>
        </w:rPr>
        <w:t>第四部分  名词解释</w:t>
      </w:r>
      <w:bookmarkEnd w:id="31"/>
      <w:bookmarkEnd w:id="32"/>
    </w:p>
    <w:p>
      <w:pPr>
        <w:spacing w:line="600" w:lineRule="exact"/>
        <w:ind w:firstLine="600" w:firstLineChars="200"/>
        <w:rPr>
          <w:rFonts w:ascii="Times New Roman" w:hAnsi="Times New Roman" w:eastAsia="仿宋_GB2312"/>
          <w:sz w:val="30"/>
          <w:szCs w:val="30"/>
        </w:rPr>
      </w:pPr>
    </w:p>
    <w:p>
      <w:pPr>
        <w:numPr>
          <w:ilvl w:val="0"/>
          <w:numId w:val="2"/>
        </w:num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33" w:name="_GoBack"/>
      <w:bookmarkEnd w:id="33"/>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spacing w:line="600" w:lineRule="exact"/>
        <w:ind w:firstLine="600"/>
        <w:rPr>
          <w:rFonts w:ascii="Times New Roman" w:hAnsi="Times New Roman" w:eastAsia="仿宋_GB2312"/>
          <w:sz w:val="30"/>
          <w:szCs w:val="30"/>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al7X9cAAAAIAQAADwAAAAAAAAABACAAAAA4AAAAZHJzL2Rv&#10;d25yZXYueG1sUEsBAhQAFAAAAAgAh07iQFF77OCzAQAATAMAAA4AAAAAAAAAAQAgAAAAPAEAAGRy&#10;cy9lMm9Eb2MueG1sUEsFBgAAAAAGAAYAWQEAAGEFAAAAAA==&#10;">
              <v:fill on="f" focussize="0,0"/>
              <v:stroke on="f" weight="1.25pt"/>
              <v:imagedata o:title=""/>
              <o:lock v:ext="edit" aspectratio="f"/>
              <v:textbox inset="0mm,0mm,0mm,0mm" style="mso-fit-shape-to-text:t;">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wps:txbx>
                    <wps:bodyPr rot="0" vert="horz" wrap="none" lIns="0" tIns="0" rIns="0" bIns="0" anchor="t" anchorCtr="false" upright="true">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N0G2PUAAAACAEAAA8AAAAAAAAAAQAgAAAAOAAAAGRycy9k&#10;b3ducmV2LnhtbFBLAQIUABQAAAAIAIdO4kALQoOU8AEAAMMDAAAOAAAAAAAAAAEAIAAAADkBAABk&#10;cnMvZTJvRG9jLnhtbFBLBQYAAAAABgAGAFkBAACbBQAAAAA=&#10;">
              <v:fill on="f" focussize="0,0"/>
              <v:stroke on="f"/>
              <v:imagedata o:title=""/>
              <o:lock v:ext="edit" aspectratio="f"/>
              <v:textbox inset="0mm,0mm,0mm,0mm" style="mso-fit-shape-to-text:t;">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79B7"/>
    <w:multiLevelType w:val="singleLevel"/>
    <w:tmpl w:val="62CB79B7"/>
    <w:lvl w:ilvl="0" w:tentative="0">
      <w:start w:val="3"/>
      <w:numFmt w:val="chineseCounting"/>
      <w:suff w:val="nothing"/>
      <w:lvlText w:val="（%1）"/>
      <w:lvlJc w:val="left"/>
    </w:lvl>
  </w:abstractNum>
  <w:abstractNum w:abstractNumId="1">
    <w:nsid w:val="62CB88B4"/>
    <w:multiLevelType w:val="singleLevel"/>
    <w:tmpl w:val="62CB88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NzRjODIwNDMyMWFhMzA3ZWZkM2QwNzBjNmI1ZGYifQ=="/>
  </w:docVars>
  <w:rsids>
    <w:rsidRoot w:val="11D802DB"/>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1353A"/>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7F7C271"/>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571F09"/>
    <w:rsid w:val="42C52D12"/>
    <w:rsid w:val="42EA0B90"/>
    <w:rsid w:val="436E1D48"/>
    <w:rsid w:val="442221E6"/>
    <w:rsid w:val="44FC0AD9"/>
    <w:rsid w:val="45C66F5A"/>
    <w:rsid w:val="45E85CE9"/>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 w:val="D74FDF30"/>
    <w:rsid w:val="DEAEE68D"/>
    <w:rsid w:val="F7F97754"/>
    <w:rsid w:val="FB7FC3E7"/>
    <w:rsid w:val="FF3F61B6"/>
    <w:rsid w:val="FFC7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4"/>
    <w:qFormat/>
    <w:uiPriority w:val="9"/>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5"/>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3">
    <w:name w:val="Hyperlink"/>
    <w:unhideWhenUsed/>
    <w:qFormat/>
    <w:uiPriority w:val="99"/>
    <w:rPr>
      <w:color w:val="0000FF"/>
      <w:u w:val="single"/>
    </w:rPr>
  </w:style>
  <w:style w:type="character" w:customStyle="1" w:styleId="14">
    <w:name w:val="标题 3 字符"/>
    <w:link w:val="4"/>
    <w:semiHidden/>
    <w:qFormat/>
    <w:uiPriority w:val="9"/>
    <w:rPr>
      <w:b/>
      <w:bCs/>
      <w:sz w:val="32"/>
      <w:szCs w:val="32"/>
    </w:rPr>
  </w:style>
  <w:style w:type="character" w:customStyle="1" w:styleId="15">
    <w:name w:val="页脚 字符"/>
    <w:link w:val="7"/>
    <w:semiHidden/>
    <w:qFormat/>
    <w:uiPriority w:val="0"/>
    <w:rPr>
      <w:sz w:val="18"/>
      <w:szCs w:val="18"/>
    </w:rPr>
  </w:style>
  <w:style w:type="character" w:customStyle="1" w:styleId="16">
    <w:name w:val="页眉 字符"/>
    <w:link w:val="8"/>
    <w:semiHidden/>
    <w:qFormat/>
    <w:uiPriority w:val="0"/>
    <w:rPr>
      <w:sz w:val="18"/>
      <w:szCs w:val="18"/>
    </w:rPr>
  </w:style>
  <w:style w:type="character" w:customStyle="1" w:styleId="17">
    <w:name w:val="批注框文本 字符"/>
    <w:link w:val="6"/>
    <w:semiHidden/>
    <w:qFormat/>
    <w:uiPriority w:val="99"/>
    <w:rPr>
      <w:sz w:val="18"/>
      <w:szCs w:val="18"/>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1 字符"/>
    <w:link w:val="2"/>
    <w:qFormat/>
    <w:uiPriority w:val="9"/>
    <w:rPr>
      <w:b/>
      <w:bCs/>
      <w:kern w:val="44"/>
      <w:sz w:val="44"/>
      <w:szCs w:val="44"/>
    </w:rPr>
  </w:style>
  <w:style w:type="paragraph" w:customStyle="1" w:styleId="20">
    <w:name w:val="TOC Heading"/>
    <w:basedOn w:val="2"/>
    <w:next w:val="1"/>
    <w:qFormat/>
    <w:uiPriority w:val="39"/>
    <w:pPr>
      <w:widowControl/>
      <w:adjustRightInd/>
      <w:spacing w:before="480" w:after="0" w:line="276" w:lineRule="auto"/>
      <w:textAlignment w:val="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1589</Words>
  <Characters>1795</Characters>
  <Lines>24</Lines>
  <Paragraphs>7</Paragraphs>
  <TotalTime>135</TotalTime>
  <ScaleCrop>false</ScaleCrop>
  <LinksUpToDate>false</LinksUpToDate>
  <CharactersWithSpaces>1855</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2025-09-05T10:36:00Z</dcterms:created>
  <dc:creator>Administrator</dc:creator>
  <cp:lastModifiedBy>greatwall</cp:lastModifiedBy>
  <cp:lastPrinted>2025-06-25T15:52:00Z</cp:lastPrinted>
  <dcterms:modified xsi:type="dcterms:W3CDTF">2025-09-29T09:36:34Z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82A83DBFF0834616A105203F5DEAB236</vt:lpwstr>
  </property>
  <property fmtid="{D5CDD505-2E9C-101B-9397-08002B2CF9AE}" pid="3" name="KSOProductBuildVer">
    <vt:lpwstr>2052-11.8.2.9583</vt:lpwstr>
  </property>
  <property fmtid="{D5CDD505-2E9C-101B-9397-08002B2CF9AE}" pid="4" name="KSOTemplateDocerSaveRecord">
    <vt:lpwstr>eyJoZGlkIjoiMWE3MzhjZTJhNmRiZjRhZTk5OGNlZTAzZTMxZDJlNTkiLCJ1c2VySWQiOiIxMTI5ODg0NTQ0In0=</vt:lpwstr>
  </property>
</Properties>
</file>