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firstLine="528" w:firstLineChars="200"/>
        <w:rPr>
          <w:rFonts w:ascii="黑体" w:hAnsi="黑体" w:eastAsia="黑体" w:cs="宋体"/>
          <w:w w:val="110"/>
          <w:sz w:val="24"/>
          <w:szCs w:val="24"/>
          <w:lang w:eastAsia="zh-CN"/>
        </w:rPr>
      </w:pPr>
      <w:r>
        <w:rPr>
          <w:rFonts w:hint="eastAsia" w:ascii="黑体" w:hAnsi="黑体" w:eastAsia="黑体" w:cs="宋体"/>
          <w:w w:val="110"/>
          <w:sz w:val="24"/>
          <w:szCs w:val="24"/>
          <w:lang w:eastAsia="zh-CN"/>
        </w:rPr>
        <w:t>附件3</w:t>
      </w:r>
    </w:p>
    <w:p>
      <w:pPr>
        <w:spacing w:line="600" w:lineRule="exact"/>
        <w:ind w:firstLine="840" w:firstLineChars="200"/>
        <w:jc w:val="center"/>
        <w:rPr>
          <w:rFonts w:hint="eastAsia" w:ascii="方正小标宋简体" w:hAnsi="Times New Roman" w:eastAsia="方正小标宋简体" w:cs="Times New Roman"/>
          <w:spacing w:val="-15"/>
          <w:w w:val="105"/>
          <w:sz w:val="40"/>
          <w:szCs w:val="32"/>
          <w:lang w:eastAsia="zh-CN"/>
        </w:rPr>
      </w:pPr>
      <w:r>
        <w:rPr>
          <w:rFonts w:hint="eastAsia" w:ascii="方正小标宋简体" w:hAnsi="Times New Roman" w:eastAsia="方正小标宋简体" w:cs="Times New Roman"/>
          <w:w w:val="105"/>
          <w:sz w:val="40"/>
          <w:szCs w:val="32"/>
          <w:lang w:eastAsia="zh-CN"/>
        </w:rPr>
        <w:t>残疾人精准康复服务行动项</w:t>
      </w:r>
      <w:r>
        <w:rPr>
          <w:rFonts w:hint="eastAsia" w:ascii="方正小标宋简体" w:hAnsi="Times New Roman" w:eastAsia="方正小标宋简体" w:cs="Times New Roman"/>
          <w:spacing w:val="-128"/>
          <w:w w:val="105"/>
          <w:sz w:val="40"/>
          <w:szCs w:val="32"/>
          <w:lang w:eastAsia="zh-CN"/>
        </w:rPr>
        <w:t xml:space="preserve"> </w:t>
      </w:r>
      <w:r>
        <w:rPr>
          <w:rFonts w:hint="eastAsia" w:ascii="方正小标宋简体" w:hAnsi="Times New Roman" w:eastAsia="方正小标宋简体" w:cs="Times New Roman"/>
          <w:spacing w:val="-15"/>
          <w:w w:val="105"/>
          <w:sz w:val="40"/>
          <w:szCs w:val="32"/>
          <w:lang w:eastAsia="zh-CN"/>
        </w:rPr>
        <w:t>目</w:t>
      </w:r>
    </w:p>
    <w:p>
      <w:pPr>
        <w:spacing w:line="600" w:lineRule="exact"/>
        <w:ind w:firstLine="780" w:firstLineChars="200"/>
        <w:jc w:val="center"/>
        <w:rPr>
          <w:rFonts w:ascii="方正小标宋简体" w:hAnsi="Times New Roman" w:eastAsia="方正小标宋简体" w:cs="Times New Roman"/>
          <w:sz w:val="40"/>
          <w:szCs w:val="32"/>
          <w:lang w:eastAsia="zh-CN"/>
        </w:rPr>
      </w:pPr>
      <w:r>
        <w:rPr>
          <w:rFonts w:hint="eastAsia" w:ascii="方正小标宋简体" w:hAnsi="Times New Roman" w:eastAsia="方正小标宋简体" w:cs="Times New Roman"/>
          <w:spacing w:val="-15"/>
          <w:w w:val="105"/>
          <w:sz w:val="40"/>
          <w:szCs w:val="32"/>
          <w:lang w:eastAsia="zh-CN"/>
        </w:rPr>
        <w:t>支出绩效评价报告</w:t>
      </w:r>
    </w:p>
    <w:p>
      <w:pPr>
        <w:spacing w:line="600" w:lineRule="exact"/>
        <w:ind w:firstLine="656" w:firstLineChars="200"/>
        <w:jc w:val="center"/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</w:pPr>
    </w:p>
    <w:p>
      <w:pPr>
        <w:spacing w:line="600" w:lineRule="exact"/>
        <w:ind w:firstLine="656" w:firstLineChars="200"/>
        <w:jc w:val="both"/>
        <w:rPr>
          <w:rFonts w:ascii="黑体" w:hAnsi="黑体" w:eastAsia="黑体" w:cs="Times New Roman"/>
          <w:sz w:val="32"/>
          <w:szCs w:val="32"/>
          <w:lang w:eastAsia="zh-CN"/>
        </w:rPr>
      </w:pPr>
      <w:r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  <w:t>一、基本情况</w:t>
      </w:r>
    </w:p>
    <w:p>
      <w:pPr>
        <w:spacing w:line="60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（一）项目概况。</w:t>
      </w:r>
    </w:p>
    <w:p>
      <w:pPr>
        <w:spacing w:line="600" w:lineRule="exact"/>
        <w:ind w:firstLine="600" w:firstLineChars="200"/>
        <w:rPr>
          <w:rFonts w:hint="eastAsia" w:ascii="仿宋_GB2312" w:hAnsi="Arial" w:eastAsia="仿宋_GB2312" w:cs="Arial"/>
          <w:color w:val="000000"/>
          <w:sz w:val="30"/>
          <w:szCs w:val="30"/>
          <w:lang w:eastAsia="zh-CN"/>
        </w:rPr>
      </w:pPr>
      <w:r>
        <w:rPr>
          <w:rFonts w:hint="eastAsia" w:ascii="仿宋_GB2312" w:hAnsi="Arial" w:eastAsia="仿宋_GB2312" w:cs="Arial"/>
          <w:color w:val="000000"/>
          <w:sz w:val="30"/>
          <w:szCs w:val="30"/>
          <w:lang w:eastAsia="zh-CN"/>
        </w:rPr>
        <w:t>市残联、市卫生计生委、市农委联合下发关于印发《津南区残疾人精准康复服务行动实施方案（</w:t>
      </w:r>
      <w:r>
        <w:rPr>
          <w:rFonts w:hint="eastAsia" w:ascii="仿宋_GB2312" w:hAnsi="Arial" w:eastAsia="仿宋_GB2312" w:cs="Arial"/>
          <w:color w:val="000000"/>
          <w:sz w:val="30"/>
          <w:szCs w:val="30"/>
          <w:lang w:val="en-US" w:eastAsia="zh-CN"/>
        </w:rPr>
        <w:t>2016-2020年</w:t>
      </w:r>
      <w:r>
        <w:rPr>
          <w:rFonts w:hint="eastAsia" w:ascii="仿宋_GB2312" w:hAnsi="Arial" w:eastAsia="仿宋_GB2312" w:cs="Arial"/>
          <w:color w:val="000000"/>
          <w:sz w:val="30"/>
          <w:szCs w:val="30"/>
          <w:lang w:eastAsia="zh-CN"/>
        </w:rPr>
        <w:t>）》的通知（津南残联字</w:t>
      </w:r>
      <w:r>
        <w:rPr>
          <w:rFonts w:hint="eastAsia" w:ascii="仿宋_GB2312" w:hAnsi="Arial" w:eastAsia="仿宋_GB2312" w:cs="Arial"/>
          <w:color w:val="000000"/>
          <w:sz w:val="30"/>
          <w:szCs w:val="30"/>
          <w:lang w:val="en-US" w:eastAsia="zh-CN"/>
        </w:rPr>
        <w:t>[2018]12号</w:t>
      </w:r>
      <w:r>
        <w:rPr>
          <w:rFonts w:hint="eastAsia" w:ascii="仿宋_GB2312" w:hAnsi="Arial" w:eastAsia="仿宋_GB2312" w:cs="Arial"/>
          <w:color w:val="000000"/>
          <w:sz w:val="30"/>
          <w:szCs w:val="30"/>
          <w:lang w:eastAsia="zh-CN"/>
        </w:rPr>
        <w:t>）的文件。市残联、市卫生计生委、市农委联合下发关于印发《天津市残疾人精准康复服务行动实施方案（</w:t>
      </w:r>
      <w:r>
        <w:rPr>
          <w:rFonts w:hint="eastAsia" w:ascii="仿宋_GB2312" w:hAnsi="Arial" w:eastAsia="仿宋_GB2312" w:cs="Arial"/>
          <w:color w:val="000000"/>
          <w:sz w:val="30"/>
          <w:szCs w:val="30"/>
          <w:lang w:val="en-US" w:eastAsia="zh-CN"/>
        </w:rPr>
        <w:t>2016-2020年</w:t>
      </w:r>
      <w:r>
        <w:rPr>
          <w:rFonts w:hint="eastAsia" w:ascii="仿宋_GB2312" w:hAnsi="Arial" w:eastAsia="仿宋_GB2312" w:cs="Arial"/>
          <w:color w:val="000000"/>
          <w:sz w:val="30"/>
          <w:szCs w:val="30"/>
          <w:lang w:eastAsia="zh-CN"/>
        </w:rPr>
        <w:t>）》的通知（津残联</w:t>
      </w:r>
      <w:r>
        <w:rPr>
          <w:rFonts w:hint="eastAsia" w:ascii="仿宋_GB2312" w:hAnsi="Arial" w:eastAsia="仿宋_GB2312" w:cs="Arial"/>
          <w:color w:val="000000"/>
          <w:sz w:val="30"/>
          <w:szCs w:val="30"/>
          <w:lang w:val="en-US" w:eastAsia="zh-CN"/>
        </w:rPr>
        <w:t>[2017]17号</w:t>
      </w:r>
      <w:r>
        <w:rPr>
          <w:rFonts w:hint="eastAsia" w:ascii="仿宋_GB2312" w:hAnsi="Arial" w:eastAsia="仿宋_GB2312" w:cs="Arial"/>
          <w:color w:val="000000"/>
          <w:sz w:val="30"/>
          <w:szCs w:val="30"/>
          <w:lang w:eastAsia="zh-CN"/>
        </w:rPr>
        <w:t>）的文件。</w:t>
      </w:r>
    </w:p>
    <w:p>
      <w:pPr>
        <w:numPr>
          <w:ilvl w:val="0"/>
          <w:numId w:val="1"/>
        </w:numPr>
        <w:spacing w:line="60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项目绩效目标。</w:t>
      </w:r>
    </w:p>
    <w:p>
      <w:pPr>
        <w:numPr>
          <w:ilvl w:val="0"/>
          <w:numId w:val="0"/>
        </w:numPr>
        <w:spacing w:line="600" w:lineRule="exact"/>
        <w:jc w:val="both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 对有康复需求的残疾儿童（0-17周岁）和持证残疾人接受基本康复服务。</w:t>
      </w:r>
    </w:p>
    <w:p>
      <w:pPr>
        <w:spacing w:line="600" w:lineRule="exact"/>
        <w:ind w:firstLine="656" w:firstLineChars="200"/>
        <w:jc w:val="both"/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</w:pPr>
      <w:r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  <w:t>二、绩效评价工作开展情况</w:t>
      </w:r>
      <w:bookmarkStart w:id="0" w:name="_GoBack"/>
      <w:bookmarkEnd w:id="0"/>
    </w:p>
    <w:p>
      <w:pPr>
        <w:spacing w:line="600" w:lineRule="exact"/>
        <w:ind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（一）</w:t>
      </w:r>
      <w:r>
        <w:rPr>
          <w:rFonts w:ascii="Times New Roman" w:hAnsi="Times New Roman" w:eastAsia="仿宋_GB2312" w:cs="Times New Roman"/>
          <w:sz w:val="32"/>
          <w:szCs w:val="32"/>
          <w:lang w:eastAsia="zh-CN"/>
        </w:rPr>
        <w:t>绩效评价</w:t>
      </w:r>
      <w:r>
        <w:rPr>
          <w:rFonts w:ascii="Times New Roman" w:hAnsi="Times New Roman" w:eastAsia="仿宋_GB2312" w:cs="Times New Roman"/>
          <w:spacing w:val="-91"/>
          <w:sz w:val="32"/>
          <w:szCs w:val="32"/>
          <w:lang w:eastAsia="zh-CN"/>
        </w:rPr>
        <w:t xml:space="preserve"> </w:t>
      </w:r>
      <w:r>
        <w:rPr>
          <w:rFonts w:ascii="Times New Roman" w:hAnsi="Times New Roman" w:eastAsia="仿宋_GB2312" w:cs="Times New Roman"/>
          <w:spacing w:val="-10"/>
          <w:sz w:val="32"/>
          <w:szCs w:val="32"/>
          <w:lang w:eastAsia="zh-CN"/>
        </w:rPr>
        <w:t>目的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、对象和范围。</w:t>
      </w:r>
    </w:p>
    <w:p>
      <w:pPr>
        <w:spacing w:line="600" w:lineRule="exact"/>
        <w:ind w:firstLine="640" w:firstLineChars="200"/>
        <w:jc w:val="both"/>
        <w:rPr>
          <w:rFonts w:hint="eastAsia" w:ascii="仿宋_GB2312" w:hAnsi="Arial" w:eastAsia="仿宋_GB2312" w:cs="Arial"/>
          <w:color w:val="000000"/>
          <w:sz w:val="30"/>
          <w:szCs w:val="30"/>
          <w:lang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通过评价检测资金落实情况，</w:t>
      </w:r>
      <w:r>
        <w:rPr>
          <w:rFonts w:hint="eastAsia" w:ascii="楷体_GB2312" w:hAnsi="Arial" w:eastAsia="楷体_GB2312" w:cs="Arial"/>
          <w:b/>
          <w:color w:val="000000"/>
          <w:sz w:val="30"/>
          <w:szCs w:val="30"/>
        </w:rPr>
        <w:t>补贴对象</w:t>
      </w:r>
      <w:r>
        <w:rPr>
          <w:rFonts w:hint="eastAsia" w:ascii="楷体_GB2312" w:hAnsi="Arial" w:eastAsia="楷体_GB2312" w:cs="Arial"/>
          <w:b/>
          <w:color w:val="000000"/>
          <w:sz w:val="30"/>
          <w:szCs w:val="30"/>
          <w:lang w:eastAsia="zh-CN"/>
        </w:rPr>
        <w:t>和范围</w:t>
      </w:r>
      <w:r>
        <w:rPr>
          <w:rFonts w:hint="eastAsia" w:ascii="仿宋_GB2312" w:hAnsi="Arial" w:eastAsia="仿宋_GB2312" w:cs="Arial"/>
          <w:color w:val="000000"/>
          <w:sz w:val="30"/>
          <w:szCs w:val="30"/>
        </w:rPr>
        <w:t>为</w:t>
      </w:r>
      <w:r>
        <w:rPr>
          <w:rFonts w:hint="eastAsia" w:ascii="仿宋_GB2312" w:hAnsi="Arial" w:eastAsia="仿宋_GB2312" w:cs="Arial"/>
          <w:color w:val="000000"/>
          <w:sz w:val="30"/>
          <w:szCs w:val="30"/>
          <w:lang w:eastAsia="zh-CN"/>
        </w:rPr>
        <w:t>我区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有康复需求的残疾儿童（0-17周岁）和持证残疾人。</w:t>
      </w:r>
    </w:p>
    <w:p>
      <w:pPr>
        <w:spacing w:line="600" w:lineRule="exact"/>
        <w:ind w:firstLine="60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Arial" w:eastAsia="仿宋_GB2312" w:cs="Arial"/>
          <w:color w:val="000000"/>
          <w:sz w:val="30"/>
          <w:szCs w:val="30"/>
          <w:lang w:eastAsia="zh-CN"/>
        </w:rPr>
        <w:t>（二）</w:t>
      </w:r>
      <w:r>
        <w:rPr>
          <w:rFonts w:hint="eastAsia" w:ascii="仿宋_GB2312" w:hAnsi="Times New Roman" w:eastAsia="仿宋_GB2312" w:cs="Times New Roman"/>
          <w:spacing w:val="-1"/>
          <w:w w:val="103"/>
          <w:sz w:val="32"/>
          <w:szCs w:val="32"/>
          <w:lang w:eastAsia="zh-CN"/>
        </w:rPr>
        <w:t>绩效评价原则</w:t>
      </w:r>
      <w:r>
        <w:rPr>
          <w:rFonts w:hint="eastAsia" w:ascii="仿宋_GB2312" w:hAnsi="Times New Roman" w:eastAsia="仿宋_GB2312" w:cs="Times New Roman"/>
          <w:spacing w:val="-106"/>
          <w:w w:val="103"/>
          <w:sz w:val="32"/>
          <w:szCs w:val="32"/>
          <w:lang w:eastAsia="zh-CN"/>
        </w:rPr>
        <w:t xml:space="preserve"> </w:t>
      </w:r>
      <w:r>
        <w:rPr>
          <w:rFonts w:hint="eastAsia" w:ascii="仿宋_GB2312" w:hAnsi="Times New Roman" w:eastAsia="仿宋_GB2312" w:cs="Times New Roman"/>
          <w:spacing w:val="-7"/>
          <w:w w:val="103"/>
          <w:sz w:val="32"/>
          <w:szCs w:val="32"/>
          <w:lang w:eastAsia="zh-CN"/>
        </w:rPr>
        <w:t>、评价指标体系</w:t>
      </w:r>
      <w:r>
        <w:rPr>
          <w:rFonts w:hint="eastAsia" w:ascii="仿宋_GB2312" w:hAnsi="Times New Roman" w:eastAsia="仿宋_GB2312" w:cs="Times New Roman"/>
          <w:spacing w:val="-2"/>
          <w:w w:val="103"/>
          <w:sz w:val="32"/>
          <w:szCs w:val="32"/>
          <w:lang w:eastAsia="zh-CN"/>
        </w:rPr>
        <w:t>（</w:t>
      </w:r>
      <w:r>
        <w:rPr>
          <w:rFonts w:hint="eastAsia" w:ascii="仿宋_GB2312" w:hAnsi="Times New Roman" w:eastAsia="仿宋_GB2312" w:cs="Times New Roman"/>
          <w:w w:val="104"/>
          <w:sz w:val="32"/>
          <w:szCs w:val="32"/>
          <w:lang w:eastAsia="zh-CN"/>
        </w:rPr>
        <w:t>附表说明</w:t>
      </w:r>
      <w:r>
        <w:rPr>
          <w:rFonts w:hint="eastAsia" w:ascii="仿宋_GB2312" w:hAnsi="Times New Roman" w:eastAsia="仿宋_GB2312" w:cs="Times New Roman"/>
          <w:spacing w:val="-2"/>
          <w:w w:val="103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、评价方法、评价标准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等。</w:t>
      </w:r>
    </w:p>
    <w:p>
      <w:pPr>
        <w:numPr>
          <w:ilvl w:val="0"/>
          <w:numId w:val="0"/>
        </w:numPr>
        <w:spacing w:line="600" w:lineRule="exact"/>
        <w:ind w:left="0" w:leftChars="0" w:firstLine="0" w:firstLineChars="0"/>
        <w:jc w:val="both"/>
        <w:rPr>
          <w:rFonts w:hint="default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 xml:space="preserve">     通过全年资金使用情况，以各项有关指标，得出绩效结论。</w:t>
      </w:r>
    </w:p>
    <w:p>
      <w:pPr>
        <w:numPr>
          <w:ilvl w:val="0"/>
          <w:numId w:val="1"/>
        </w:numPr>
        <w:spacing w:line="600" w:lineRule="exact"/>
        <w:ind w:left="0" w:leftChars="0" w:firstLine="640" w:firstLineChars="200"/>
        <w:jc w:val="both"/>
        <w:rPr>
          <w:rFonts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sz w:val="32"/>
          <w:szCs w:val="32"/>
          <w:lang w:eastAsia="zh-CN"/>
        </w:rPr>
        <w:t xml:space="preserve">绩效评价工作过程。 </w:t>
      </w:r>
    </w:p>
    <w:p>
      <w:pPr>
        <w:numPr>
          <w:ilvl w:val="0"/>
          <w:numId w:val="0"/>
        </w:numPr>
        <w:spacing w:line="600" w:lineRule="exact"/>
        <w:ind w:leftChars="200"/>
        <w:jc w:val="both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通过核对资金收支过程，确定余额，分析资金使用。</w:t>
      </w:r>
    </w:p>
    <w:p>
      <w:pPr>
        <w:numPr>
          <w:ilvl w:val="0"/>
          <w:numId w:val="2"/>
        </w:numPr>
        <w:spacing w:line="600" w:lineRule="exact"/>
        <w:ind w:firstLine="656" w:firstLineChars="200"/>
        <w:jc w:val="both"/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</w:pPr>
      <w:r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  <w:t>综合评价情况及评价结论</w:t>
      </w:r>
      <w:r>
        <w:rPr>
          <w:rFonts w:hint="eastAsia" w:ascii="黑体" w:hAnsi="黑体" w:eastAsia="黑体" w:cs="Times New Roman"/>
          <w:spacing w:val="-4"/>
          <w:w w:val="105"/>
          <w:sz w:val="32"/>
          <w:szCs w:val="32"/>
          <w:lang w:eastAsia="zh-CN"/>
        </w:rPr>
        <w:t>（</w:t>
      </w:r>
      <w:r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  <w:t>附相关评分表）</w:t>
      </w:r>
    </w:p>
    <w:p>
      <w:pPr>
        <w:numPr>
          <w:ilvl w:val="0"/>
          <w:numId w:val="0"/>
        </w:numPr>
        <w:spacing w:line="600" w:lineRule="exact"/>
        <w:jc w:val="both"/>
        <w:rPr>
          <w:rFonts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黑体" w:hAnsi="黑体" w:eastAsia="黑体" w:cs="Times New Roman"/>
          <w:spacing w:val="-4"/>
          <w:w w:val="105"/>
          <w:sz w:val="32"/>
          <w:szCs w:val="32"/>
          <w:lang w:val="en-US" w:eastAsia="zh-CN"/>
        </w:rPr>
        <w:t xml:space="preserve">    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见附表。</w:t>
      </w:r>
    </w:p>
    <w:p>
      <w:pPr>
        <w:spacing w:line="600" w:lineRule="exact"/>
        <w:ind w:firstLine="656" w:firstLineChars="200"/>
        <w:jc w:val="both"/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</w:pPr>
      <w:r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  <w:t>四、绩效评价指标分析</w:t>
      </w:r>
    </w:p>
    <w:p>
      <w:pPr>
        <w:spacing w:line="600" w:lineRule="exact"/>
        <w:ind w:firstLine="640" w:firstLineChars="200"/>
        <w:jc w:val="both"/>
        <w:rPr>
          <w:rFonts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（一）</w:t>
      </w:r>
      <w:r>
        <w:rPr>
          <w:rFonts w:ascii="Times New Roman" w:hAnsi="Times New Roman" w:eastAsia="仿宋_GB2312" w:cs="Times New Roman"/>
          <w:sz w:val="32"/>
          <w:szCs w:val="32"/>
          <w:lang w:eastAsia="zh-CN"/>
        </w:rPr>
        <w:t>项目决策情况</w:t>
      </w:r>
      <w:r>
        <w:rPr>
          <w:rFonts w:ascii="Times New Roman" w:hAnsi="Times New Roman" w:eastAsia="仿宋_GB2312" w:cs="Times New Roman"/>
          <w:spacing w:val="-115"/>
          <w:sz w:val="32"/>
          <w:szCs w:val="32"/>
          <w:lang w:eastAsia="zh-CN"/>
        </w:rPr>
        <w:t xml:space="preserve"> </w:t>
      </w:r>
      <w:r>
        <w:rPr>
          <w:rFonts w:ascii="Times New Roman" w:hAnsi="Times New Roman" w:eastAsia="仿宋_GB2312" w:cs="Times New Roman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jc w:val="both"/>
        <w:rPr>
          <w:rFonts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按程序执行。</w:t>
      </w:r>
    </w:p>
    <w:p>
      <w:pPr>
        <w:numPr>
          <w:ilvl w:val="0"/>
          <w:numId w:val="3"/>
        </w:numPr>
        <w:spacing w:line="600" w:lineRule="exact"/>
        <w:ind w:firstLine="640" w:firstLineChars="200"/>
        <w:jc w:val="both"/>
        <w:rPr>
          <w:rFonts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sz w:val="32"/>
          <w:szCs w:val="32"/>
          <w:lang w:eastAsia="zh-CN"/>
        </w:rPr>
        <w:t>项目过程情况</w:t>
      </w:r>
      <w:r>
        <w:rPr>
          <w:rFonts w:ascii="Times New Roman" w:hAnsi="Times New Roman" w:eastAsia="仿宋_GB2312" w:cs="Times New Roman"/>
          <w:spacing w:val="-106"/>
          <w:sz w:val="32"/>
          <w:szCs w:val="32"/>
          <w:lang w:eastAsia="zh-CN"/>
        </w:rPr>
        <w:t xml:space="preserve"> </w:t>
      </w:r>
      <w:r>
        <w:rPr>
          <w:rFonts w:ascii="Times New Roman" w:hAnsi="Times New Roman" w:eastAsia="仿宋_GB2312" w:cs="Times New Roman"/>
          <w:sz w:val="32"/>
          <w:szCs w:val="32"/>
          <w:lang w:eastAsia="zh-CN"/>
        </w:rPr>
        <w:t>。</w:t>
      </w:r>
    </w:p>
    <w:p>
      <w:pPr>
        <w:numPr>
          <w:ilvl w:val="0"/>
          <w:numId w:val="0"/>
        </w:numPr>
        <w:spacing w:line="600" w:lineRule="exact"/>
        <w:jc w:val="both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 据实发放。</w:t>
      </w:r>
    </w:p>
    <w:p>
      <w:pPr>
        <w:numPr>
          <w:ilvl w:val="0"/>
          <w:numId w:val="3"/>
        </w:numPr>
        <w:spacing w:line="600" w:lineRule="exact"/>
        <w:ind w:left="0" w:leftChars="0" w:firstLine="640" w:firstLineChars="200"/>
        <w:jc w:val="both"/>
        <w:rPr>
          <w:rFonts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sz w:val="32"/>
          <w:szCs w:val="32"/>
          <w:lang w:eastAsia="zh-CN"/>
        </w:rPr>
        <w:t>项目产出情况</w:t>
      </w:r>
      <w:r>
        <w:rPr>
          <w:rFonts w:ascii="Times New Roman" w:hAnsi="Times New Roman" w:eastAsia="仿宋_GB2312" w:cs="Times New Roman"/>
          <w:spacing w:val="-115"/>
          <w:sz w:val="32"/>
          <w:szCs w:val="32"/>
          <w:lang w:eastAsia="zh-CN"/>
        </w:rPr>
        <w:t xml:space="preserve"> </w:t>
      </w:r>
      <w:r>
        <w:rPr>
          <w:rFonts w:ascii="Times New Roman" w:hAnsi="Times New Roman" w:eastAsia="仿宋_GB2312" w:cs="Times New Roman"/>
          <w:sz w:val="32"/>
          <w:szCs w:val="32"/>
          <w:lang w:eastAsia="zh-CN"/>
        </w:rPr>
        <w:t>。</w:t>
      </w:r>
    </w:p>
    <w:p>
      <w:pPr>
        <w:numPr>
          <w:ilvl w:val="0"/>
          <w:numId w:val="0"/>
        </w:numPr>
        <w:spacing w:line="600" w:lineRule="exact"/>
        <w:ind w:leftChars="200"/>
        <w:jc w:val="both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各有关目标有效执行。</w:t>
      </w:r>
    </w:p>
    <w:p>
      <w:pPr>
        <w:numPr>
          <w:ilvl w:val="0"/>
          <w:numId w:val="3"/>
        </w:numPr>
        <w:spacing w:line="600" w:lineRule="exact"/>
        <w:ind w:left="0" w:leftChars="0" w:firstLine="640" w:firstLineChars="200"/>
        <w:jc w:val="both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sz w:val="32"/>
          <w:szCs w:val="32"/>
          <w:lang w:eastAsia="zh-CN"/>
        </w:rPr>
        <w:t>项目效益情况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>
      <w:pPr>
        <w:numPr>
          <w:ilvl w:val="0"/>
          <w:numId w:val="0"/>
        </w:numPr>
        <w:spacing w:line="600" w:lineRule="exact"/>
        <w:ind w:leftChars="200"/>
        <w:jc w:val="both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使残疾人受益。</w:t>
      </w:r>
    </w:p>
    <w:p>
      <w:pPr>
        <w:numPr>
          <w:ilvl w:val="0"/>
          <w:numId w:val="2"/>
        </w:numPr>
        <w:spacing w:line="600" w:lineRule="exact"/>
        <w:ind w:left="0" w:leftChars="0" w:firstLine="656" w:firstLineChars="200"/>
        <w:jc w:val="both"/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</w:pPr>
      <w:r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  <w:t>主要经验及做法</w:t>
      </w:r>
      <w:r>
        <w:rPr>
          <w:rFonts w:hint="eastAsia" w:ascii="黑体" w:hAnsi="黑体" w:eastAsia="黑体" w:cs="Times New Roman"/>
          <w:spacing w:val="-4"/>
          <w:w w:val="105"/>
          <w:sz w:val="32"/>
          <w:szCs w:val="32"/>
          <w:lang w:eastAsia="zh-CN"/>
        </w:rPr>
        <w:t>、</w:t>
      </w:r>
      <w:r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  <w:t xml:space="preserve">存在的问题及原因分析 </w:t>
      </w:r>
    </w:p>
    <w:p>
      <w:pPr>
        <w:numPr>
          <w:ilvl w:val="0"/>
          <w:numId w:val="0"/>
        </w:numPr>
        <w:spacing w:line="600" w:lineRule="exact"/>
        <w:ind w:leftChars="200"/>
        <w:jc w:val="both"/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</w:pPr>
      <w:r>
        <w:rPr>
          <w:rFonts w:hint="eastAsia" w:ascii="黑体" w:hAnsi="黑体" w:eastAsia="黑体" w:cs="Times New Roman"/>
          <w:spacing w:val="-4"/>
          <w:w w:val="105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无。</w:t>
      </w:r>
    </w:p>
    <w:p>
      <w:pPr>
        <w:numPr>
          <w:ilvl w:val="0"/>
          <w:numId w:val="2"/>
        </w:numPr>
        <w:spacing w:line="600" w:lineRule="exact"/>
        <w:ind w:left="0" w:leftChars="0" w:firstLine="656" w:firstLineChars="200"/>
        <w:jc w:val="both"/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</w:pPr>
      <w:r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  <w:t>有关建议</w:t>
      </w:r>
    </w:p>
    <w:p>
      <w:pPr>
        <w:numPr>
          <w:ilvl w:val="0"/>
          <w:numId w:val="0"/>
        </w:numPr>
        <w:spacing w:line="600" w:lineRule="exact"/>
        <w:ind w:leftChars="200"/>
        <w:jc w:val="both"/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</w:pPr>
      <w:r>
        <w:rPr>
          <w:rFonts w:hint="eastAsia" w:ascii="黑体" w:hAnsi="黑体" w:eastAsia="黑体" w:cs="Times New Roman"/>
          <w:spacing w:val="-4"/>
          <w:w w:val="105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无。</w:t>
      </w:r>
    </w:p>
    <w:p>
      <w:pPr>
        <w:numPr>
          <w:ilvl w:val="0"/>
          <w:numId w:val="2"/>
        </w:numPr>
        <w:spacing w:line="600" w:lineRule="exact"/>
        <w:ind w:left="0" w:leftChars="0" w:firstLine="656" w:firstLineChars="200"/>
        <w:jc w:val="both"/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</w:pPr>
      <w:r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  <w:t>其他需要说明的问题</w:t>
      </w:r>
    </w:p>
    <w:p>
      <w:pPr>
        <w:numPr>
          <w:ilvl w:val="0"/>
          <w:numId w:val="0"/>
        </w:numPr>
        <w:spacing w:line="600" w:lineRule="exact"/>
        <w:ind w:leftChars="200"/>
        <w:jc w:val="both"/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</w:pPr>
      <w:r>
        <w:rPr>
          <w:rFonts w:hint="eastAsia" w:ascii="黑体" w:hAnsi="黑体" w:eastAsia="黑体" w:cs="Times New Roman"/>
          <w:spacing w:val="-4"/>
          <w:w w:val="105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无</w:t>
      </w:r>
      <w:r>
        <w:rPr>
          <w:rFonts w:hint="eastAsia" w:ascii="黑体" w:hAnsi="黑体" w:eastAsia="黑体" w:cs="Times New Roman"/>
          <w:spacing w:val="-4"/>
          <w:w w:val="105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jc w:val="both"/>
        <w:rPr>
          <w:rFonts w:ascii="Times New Roman" w:hAnsi="Times New Roman" w:eastAsia="仿宋_GB2312" w:cs="Times New Roman"/>
          <w:sz w:val="32"/>
          <w:szCs w:val="32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FB24CAB"/>
    <w:multiLevelType w:val="singleLevel"/>
    <w:tmpl w:val="BFB24CAB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B8E080B"/>
    <w:multiLevelType w:val="singleLevel"/>
    <w:tmpl w:val="EB8E080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FFE7ABD4"/>
    <w:multiLevelType w:val="singleLevel"/>
    <w:tmpl w:val="FFE7ABD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F3A"/>
    <w:rsid w:val="0018594E"/>
    <w:rsid w:val="001F559F"/>
    <w:rsid w:val="002115F8"/>
    <w:rsid w:val="0023167C"/>
    <w:rsid w:val="005D0F6C"/>
    <w:rsid w:val="006C1B32"/>
    <w:rsid w:val="00904B0D"/>
    <w:rsid w:val="00D02C5B"/>
    <w:rsid w:val="00D10FF2"/>
    <w:rsid w:val="00D27F3A"/>
    <w:rsid w:val="00E85715"/>
    <w:rsid w:val="0BA278F7"/>
    <w:rsid w:val="0E172DE4"/>
    <w:rsid w:val="490800B0"/>
    <w:rsid w:val="55125D54"/>
    <w:rsid w:val="568E2A23"/>
    <w:rsid w:val="7FFEA2BB"/>
    <w:rsid w:val="EF7FF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</w:pPr>
    <w:rPr>
      <w:rFonts w:asciiTheme="minorHAnsi" w:hAnsiTheme="minorHAnsi" w:eastAsiaTheme="minorEastAsia" w:cstheme="minorBidi"/>
      <w:kern w:val="0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7"/>
    <w:qFormat/>
    <w:uiPriority w:val="1"/>
    <w:pPr>
      <w:outlineLvl w:val="0"/>
    </w:pPr>
    <w:rPr>
      <w:rFonts w:ascii="宋体" w:hAnsi="宋体" w:eastAsia="宋体"/>
      <w:sz w:val="33"/>
      <w:szCs w:val="33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标题 1 Char"/>
    <w:basedOn w:val="6"/>
    <w:link w:val="2"/>
    <w:qFormat/>
    <w:uiPriority w:val="1"/>
    <w:rPr>
      <w:rFonts w:ascii="宋体" w:hAnsi="宋体" w:eastAsia="宋体"/>
      <w:kern w:val="0"/>
      <w:sz w:val="33"/>
      <w:szCs w:val="33"/>
      <w:lang w:eastAsia="en-US"/>
    </w:rPr>
  </w:style>
  <w:style w:type="character" w:customStyle="1" w:styleId="8">
    <w:name w:val="页眉 Char"/>
    <w:basedOn w:val="6"/>
    <w:link w:val="4"/>
    <w:qFormat/>
    <w:uiPriority w:val="99"/>
    <w:rPr>
      <w:kern w:val="0"/>
      <w:sz w:val="18"/>
      <w:szCs w:val="18"/>
      <w:lang w:eastAsia="en-US"/>
    </w:rPr>
  </w:style>
  <w:style w:type="character" w:customStyle="1" w:styleId="9">
    <w:name w:val="页脚 Char"/>
    <w:basedOn w:val="6"/>
    <w:link w:val="3"/>
    <w:qFormat/>
    <w:uiPriority w:val="99"/>
    <w:rPr>
      <w:kern w:val="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56</Words>
  <Characters>321</Characters>
  <Lines>2</Lines>
  <Paragraphs>1</Paragraphs>
  <TotalTime>0</TotalTime>
  <ScaleCrop>false</ScaleCrop>
  <LinksUpToDate>false</LinksUpToDate>
  <CharactersWithSpaces>376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2020-08-06T16:16:00Z</dcterms:created>
  <dc:creator>于喆</dc:creator>
  <cp:lastModifiedBy>Administrator</cp:lastModifiedBy>
  <cp:lastPrinted>2020-08-06T16:24:00Z</cp:lastPrinted>
  <dcterms:modified xsi:type="dcterms:W3CDTF">2020-12-08T22:12:22Z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