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528" w:firstLineChars="200"/>
        <w:rPr>
          <w:rFonts w:ascii="黑体" w:hAnsi="黑体" w:eastAsia="黑体" w:cs="宋体"/>
          <w:w w:val="110"/>
          <w:sz w:val="24"/>
          <w:szCs w:val="24"/>
          <w:lang w:eastAsia="zh-CN"/>
        </w:rPr>
      </w:pPr>
      <w:r>
        <w:rPr>
          <w:rFonts w:hint="eastAsia" w:ascii="黑体" w:hAnsi="黑体" w:eastAsia="黑体" w:cs="宋体"/>
          <w:w w:val="110"/>
          <w:sz w:val="24"/>
          <w:szCs w:val="24"/>
          <w:lang w:eastAsia="zh-CN"/>
        </w:rPr>
        <w:t>附件3</w:t>
      </w:r>
    </w:p>
    <w:p>
      <w:pPr>
        <w:spacing w:line="600" w:lineRule="exact"/>
        <w:ind w:firstLine="840" w:firstLineChars="200"/>
        <w:jc w:val="both"/>
        <w:rPr>
          <w:rFonts w:ascii="方正小标宋简体" w:hAnsi="Times New Roman" w:eastAsia="方正小标宋简体" w:cs="Times New Roman"/>
          <w:sz w:val="40"/>
          <w:szCs w:val="32"/>
          <w:lang w:eastAsia="zh-CN"/>
        </w:rPr>
      </w:pPr>
      <w:r>
        <w:rPr>
          <w:rFonts w:hint="eastAsia" w:ascii="方正小标宋简体" w:hAnsi="Times New Roman" w:eastAsia="方正小标宋简体" w:cs="Times New Roman"/>
          <w:w w:val="105"/>
          <w:sz w:val="40"/>
          <w:szCs w:val="32"/>
          <w:lang w:eastAsia="zh-CN"/>
        </w:rPr>
        <w:t>残疾人助学金项</w:t>
      </w:r>
      <w:r>
        <w:rPr>
          <w:rFonts w:hint="eastAsia" w:ascii="方正小标宋简体" w:hAnsi="Times New Roman" w:eastAsia="方正小标宋简体" w:cs="Times New Roman"/>
          <w:spacing w:val="-128"/>
          <w:w w:val="105"/>
          <w:sz w:val="40"/>
          <w:szCs w:val="32"/>
          <w:lang w:eastAsia="zh-CN"/>
        </w:rPr>
        <w:t xml:space="preserve"> </w:t>
      </w:r>
      <w:r>
        <w:rPr>
          <w:rFonts w:hint="eastAsia" w:ascii="方正小标宋简体" w:hAnsi="Times New Roman" w:eastAsia="方正小标宋简体" w:cs="Times New Roman"/>
          <w:spacing w:val="-15"/>
          <w:w w:val="105"/>
          <w:sz w:val="40"/>
          <w:szCs w:val="32"/>
          <w:lang w:eastAsia="zh-CN"/>
        </w:rPr>
        <w:t>目支出绩效评价报告</w:t>
      </w:r>
    </w:p>
    <w:p>
      <w:pPr>
        <w:spacing w:line="600" w:lineRule="exact"/>
        <w:ind w:firstLine="656" w:firstLineChars="200"/>
        <w:jc w:val="center"/>
        <w:rPr>
          <w:rFonts w:ascii="黑体" w:hAnsi="黑体" w:eastAsia="黑体" w:cs="Times New Roman"/>
          <w:spacing w:val="-4"/>
          <w:w w:val="105"/>
          <w:sz w:val="32"/>
          <w:szCs w:val="32"/>
          <w:lang w:eastAsia="zh-CN"/>
        </w:rPr>
      </w:pPr>
    </w:p>
    <w:p>
      <w:pPr>
        <w:spacing w:line="600" w:lineRule="exact"/>
        <w:ind w:firstLine="656" w:firstLineChars="200"/>
        <w:jc w:val="both"/>
        <w:rPr>
          <w:rFonts w:ascii="黑体" w:hAnsi="黑体" w:eastAsia="黑体" w:cs="Times New Roman"/>
          <w:sz w:val="32"/>
          <w:szCs w:val="32"/>
          <w:lang w:eastAsia="zh-CN"/>
        </w:rPr>
      </w:pPr>
      <w:r>
        <w:rPr>
          <w:rFonts w:ascii="黑体" w:hAnsi="黑体" w:eastAsia="黑体" w:cs="Times New Roman"/>
          <w:spacing w:val="-4"/>
          <w:w w:val="105"/>
          <w:sz w:val="32"/>
          <w:szCs w:val="32"/>
          <w:lang w:eastAsia="zh-CN"/>
        </w:rPr>
        <w:t>一、基本情况</w:t>
      </w:r>
    </w:p>
    <w:p>
      <w:pPr>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（一）项目概况。</w:t>
      </w:r>
    </w:p>
    <w:p>
      <w:pPr>
        <w:spacing w:line="600" w:lineRule="exact"/>
        <w:ind w:firstLine="640" w:firstLineChars="200"/>
        <w:rPr>
          <w:rFonts w:eastAsia="仿宋_GB2312"/>
          <w:sz w:val="30"/>
          <w:szCs w:val="30"/>
        </w:rPr>
      </w:pPr>
      <w:r>
        <w:rPr>
          <w:rFonts w:hint="eastAsia" w:ascii="仿宋_GB2312" w:eastAsia="仿宋_GB2312"/>
          <w:sz w:val="32"/>
          <w:szCs w:val="32"/>
        </w:rPr>
        <w:t>根据我市《关于印发</w:t>
      </w:r>
      <w:r>
        <w:rPr>
          <w:rFonts w:hint="eastAsia" w:ascii="仿宋" w:hAnsi="仿宋" w:eastAsia="仿宋"/>
          <w:sz w:val="32"/>
          <w:szCs w:val="32"/>
        </w:rPr>
        <w:t>&lt;</w:t>
      </w:r>
      <w:r>
        <w:rPr>
          <w:rFonts w:hint="eastAsia" w:ascii="仿宋_GB2312" w:eastAsia="仿宋_GB2312" w:cs="方正小标宋简体"/>
          <w:kern w:val="0"/>
          <w:sz w:val="32"/>
          <w:szCs w:val="32"/>
        </w:rPr>
        <w:t>天津市残疾人教育扶残助学金管理实施办法的&gt;通知</w:t>
      </w:r>
      <w:r>
        <w:rPr>
          <w:rFonts w:hint="eastAsia" w:ascii="仿宋" w:hAnsi="仿宋" w:eastAsia="仿宋"/>
          <w:sz w:val="32"/>
          <w:szCs w:val="32"/>
        </w:rPr>
        <w:t>》</w:t>
      </w:r>
      <w:r>
        <w:rPr>
          <w:rFonts w:hint="eastAsia" w:ascii="仿宋_GB2312" w:eastAsia="仿宋_GB2312" w:cs="方正小标宋简体"/>
          <w:kern w:val="0"/>
          <w:sz w:val="32"/>
          <w:szCs w:val="32"/>
        </w:rPr>
        <w:t>（</w:t>
      </w:r>
      <w:r>
        <w:rPr>
          <w:rFonts w:hint="eastAsia" w:ascii="仿宋" w:hAnsi="仿宋" w:eastAsia="仿宋"/>
          <w:sz w:val="32"/>
          <w:szCs w:val="32"/>
        </w:rPr>
        <w:t>津残联（2019）10号）</w:t>
      </w:r>
      <w:r>
        <w:rPr>
          <w:rFonts w:hint="eastAsia" w:ascii="仿宋_GB2312" w:hAnsi="Arial" w:eastAsia="仿宋_GB2312" w:cs="Arial"/>
          <w:color w:val="000000"/>
          <w:sz w:val="30"/>
          <w:szCs w:val="30"/>
        </w:rPr>
        <w:t>文件。</w:t>
      </w:r>
      <w:r>
        <w:rPr>
          <w:rFonts w:hint="eastAsia" w:ascii="仿宋" w:hAnsi="仿宋" w:eastAsia="仿宋"/>
          <w:sz w:val="32"/>
          <w:szCs w:val="32"/>
        </w:rPr>
        <w:t>《</w:t>
      </w:r>
      <w:r>
        <w:rPr>
          <w:rFonts w:hint="eastAsia" w:ascii="仿宋" w:hAnsi="仿宋" w:eastAsia="仿宋"/>
          <w:bCs/>
          <w:sz w:val="32"/>
          <w:szCs w:val="32"/>
        </w:rPr>
        <w:t>津南区残疾人教育扶残助学金管理办法</w:t>
      </w:r>
      <w:r>
        <w:rPr>
          <w:rFonts w:hint="eastAsia" w:ascii="仿宋" w:hAnsi="仿宋" w:eastAsia="仿宋"/>
          <w:sz w:val="32"/>
          <w:szCs w:val="32"/>
        </w:rPr>
        <w:t>》（津南残联字（2019）28号）</w:t>
      </w:r>
      <w:r>
        <w:rPr>
          <w:rFonts w:hint="eastAsia" w:ascii="仿宋_GB2312" w:hAnsi="Arial" w:eastAsia="仿宋_GB2312" w:cs="Arial"/>
          <w:color w:val="000000"/>
          <w:sz w:val="30"/>
          <w:szCs w:val="30"/>
        </w:rPr>
        <w:t>文件。</w:t>
      </w:r>
    </w:p>
    <w:p>
      <w:pPr>
        <w:numPr>
          <w:ilvl w:val="0"/>
          <w:numId w:val="1"/>
        </w:numPr>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项目绩效目标。</w:t>
      </w:r>
    </w:p>
    <w:p>
      <w:pPr>
        <w:numPr>
          <w:ilvl w:val="0"/>
          <w:numId w:val="0"/>
        </w:numPr>
        <w:spacing w:line="600" w:lineRule="exact"/>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r>
        <w:rPr>
          <w:rFonts w:hint="eastAsia" w:ascii="仿宋_GB2312" w:hAnsi="仿宋_GB2312" w:eastAsia="仿宋_GB2312" w:cs="仿宋_GB2312"/>
          <w:sz w:val="32"/>
          <w:szCs w:val="32"/>
        </w:rPr>
        <w:t>为保障我市残疾人接受教育的权利，提高残疾人教育水平，扶助残疾学生和家庭经济困难残疾人的健全子女（学生）顺利完成学业，促进其就业和更好地参与社会生活。</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二、绩效评价工作开展情况</w:t>
      </w:r>
    </w:p>
    <w:p>
      <w:p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lang w:eastAsia="zh-CN"/>
        </w:rPr>
        <w:t>绩效评价</w:t>
      </w:r>
      <w:r>
        <w:rPr>
          <w:rFonts w:ascii="Times New Roman" w:hAnsi="Times New Roman" w:eastAsia="仿宋_GB2312" w:cs="Times New Roman"/>
          <w:spacing w:val="-91"/>
          <w:sz w:val="32"/>
          <w:szCs w:val="32"/>
          <w:lang w:eastAsia="zh-CN"/>
        </w:rPr>
        <w:t xml:space="preserve"> </w:t>
      </w:r>
      <w:r>
        <w:rPr>
          <w:rFonts w:ascii="Times New Roman" w:hAnsi="Times New Roman" w:eastAsia="仿宋_GB2312" w:cs="Times New Roman"/>
          <w:spacing w:val="-10"/>
          <w:sz w:val="32"/>
          <w:szCs w:val="32"/>
          <w:lang w:eastAsia="zh-CN"/>
        </w:rPr>
        <w:t>目的</w:t>
      </w:r>
      <w:r>
        <w:rPr>
          <w:rFonts w:hint="eastAsia" w:ascii="仿宋_GB2312" w:hAnsi="Times New Roman" w:eastAsia="仿宋_GB2312" w:cs="Times New Roman"/>
          <w:sz w:val="32"/>
          <w:szCs w:val="32"/>
          <w:lang w:eastAsia="zh-CN"/>
        </w:rPr>
        <w:t>、对象和范围。</w:t>
      </w:r>
    </w:p>
    <w:p>
      <w:p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通过评价检测资金落实情况，</w:t>
      </w:r>
      <w:r>
        <w:rPr>
          <w:rFonts w:hint="eastAsia" w:ascii="楷体_GB2312" w:hAnsi="Arial" w:eastAsia="楷体_GB2312" w:cs="Arial"/>
          <w:b/>
          <w:color w:val="000000"/>
          <w:sz w:val="30"/>
          <w:szCs w:val="30"/>
        </w:rPr>
        <w:t>补贴对象</w:t>
      </w:r>
      <w:r>
        <w:rPr>
          <w:rFonts w:hint="eastAsia" w:ascii="楷体_GB2312" w:hAnsi="Arial" w:eastAsia="楷体_GB2312" w:cs="Arial"/>
          <w:b/>
          <w:color w:val="000000"/>
          <w:sz w:val="30"/>
          <w:szCs w:val="30"/>
          <w:lang w:eastAsia="zh-CN"/>
        </w:rPr>
        <w:t>和范围：</w:t>
      </w:r>
      <w:r>
        <w:rPr>
          <w:rFonts w:hint="eastAsia" w:ascii="仿宋_GB2312" w:hAnsi="仿宋_GB2312" w:eastAsia="仿宋_GB2312" w:cs="仿宋_GB2312"/>
          <w:sz w:val="32"/>
          <w:szCs w:val="32"/>
          <w:lang w:eastAsia="zh-CN"/>
        </w:rPr>
        <w:t>一、高等助学金</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rPr>
        <w:t>通过全国普通高等院校统一招生考试入学或特教高等院校单考单招入学，在我国高等院校、独立学院及高等职业学校等高等教育阶段就读的全日制普通专科（含高职、高专）、本科及以上层次的残疾学生和家庭经济困难残疾人的健全子女（学生）</w:t>
      </w:r>
      <w:r>
        <w:rPr>
          <w:rFonts w:hint="eastAsia" w:ascii="仿宋_GB2312" w:hAnsi="仿宋_GB2312" w:eastAsia="仿宋_GB2312" w:cs="仿宋_GB2312"/>
          <w:sz w:val="32"/>
          <w:szCs w:val="32"/>
          <w:lang w:eastAsia="zh-CN"/>
        </w:rPr>
        <w:t>。二、残疾人助学金为</w:t>
      </w:r>
      <w:r>
        <w:rPr>
          <w:rFonts w:hint="eastAsia" w:ascii="仿宋_GB2312" w:hAnsi="仿宋_GB2312" w:eastAsia="仿宋_GB2312" w:cs="仿宋_GB2312"/>
          <w:sz w:val="32"/>
          <w:szCs w:val="32"/>
        </w:rPr>
        <w:t>对具有本区常住户口，持有《中华人民共和国残疾人证》（第二代）在我国国办（公办）、民办地方院校注册，具有正式学籍的残疾学生和享受我市低保或低收入残疾人家庭中的健全子女学生，给予扶残助学金。</w:t>
      </w:r>
    </w:p>
    <w:p>
      <w:pPr>
        <w:spacing w:line="600" w:lineRule="exact"/>
        <w:ind w:firstLine="654" w:firstLineChars="200"/>
        <w:jc w:val="both"/>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pacing w:val="-1"/>
          <w:w w:val="103"/>
          <w:sz w:val="32"/>
          <w:szCs w:val="32"/>
          <w:lang w:eastAsia="zh-CN"/>
        </w:rPr>
        <w:t>（二）绩效评价原则</w:t>
      </w:r>
      <w:r>
        <w:rPr>
          <w:rFonts w:hint="eastAsia" w:ascii="仿宋_GB2312" w:hAnsi="Times New Roman" w:eastAsia="仿宋_GB2312" w:cs="Times New Roman"/>
          <w:spacing w:val="-106"/>
          <w:w w:val="103"/>
          <w:sz w:val="32"/>
          <w:szCs w:val="32"/>
          <w:lang w:eastAsia="zh-CN"/>
        </w:rPr>
        <w:t xml:space="preserve"> </w:t>
      </w:r>
      <w:r>
        <w:rPr>
          <w:rFonts w:hint="eastAsia" w:ascii="仿宋_GB2312" w:hAnsi="Times New Roman" w:eastAsia="仿宋_GB2312" w:cs="Times New Roman"/>
          <w:spacing w:val="-7"/>
          <w:w w:val="103"/>
          <w:sz w:val="32"/>
          <w:szCs w:val="32"/>
          <w:lang w:eastAsia="zh-CN"/>
        </w:rPr>
        <w:t>、评价指标体系</w:t>
      </w:r>
      <w:r>
        <w:rPr>
          <w:rFonts w:hint="eastAsia" w:ascii="仿宋_GB2312" w:hAnsi="Times New Roman" w:eastAsia="仿宋_GB2312" w:cs="Times New Roman"/>
          <w:spacing w:val="-2"/>
          <w:w w:val="103"/>
          <w:sz w:val="32"/>
          <w:szCs w:val="32"/>
          <w:lang w:eastAsia="zh-CN"/>
        </w:rPr>
        <w:t>（</w:t>
      </w:r>
      <w:r>
        <w:rPr>
          <w:rFonts w:hint="eastAsia" w:ascii="仿宋_GB2312" w:hAnsi="Times New Roman" w:eastAsia="仿宋_GB2312" w:cs="Times New Roman"/>
          <w:w w:val="104"/>
          <w:sz w:val="32"/>
          <w:szCs w:val="32"/>
          <w:lang w:eastAsia="zh-CN"/>
        </w:rPr>
        <w:t>附表说明</w:t>
      </w:r>
      <w:r>
        <w:rPr>
          <w:rFonts w:hint="eastAsia" w:ascii="仿宋_GB2312" w:hAnsi="Times New Roman" w:eastAsia="仿宋_GB2312" w:cs="Times New Roman"/>
          <w:spacing w:val="-2"/>
          <w:w w:val="103"/>
          <w:sz w:val="32"/>
          <w:szCs w:val="32"/>
          <w:lang w:eastAsia="zh-CN"/>
        </w:rPr>
        <w:t>）</w:t>
      </w:r>
      <w:r>
        <w:rPr>
          <w:rFonts w:hint="eastAsia" w:ascii="Times New Roman" w:hAnsi="Times New Roman" w:eastAsia="仿宋_GB2312" w:cs="Times New Roman"/>
          <w:sz w:val="32"/>
          <w:szCs w:val="32"/>
          <w:lang w:eastAsia="zh-CN"/>
        </w:rPr>
        <w:t>、评价方法、评价标准</w:t>
      </w:r>
      <w:r>
        <w:rPr>
          <w:rFonts w:hint="eastAsia" w:ascii="仿宋_GB2312" w:hAnsi="Times New Roman" w:eastAsia="仿宋_GB2312" w:cs="Times New Roman"/>
          <w:sz w:val="32"/>
          <w:szCs w:val="32"/>
          <w:lang w:eastAsia="zh-CN"/>
        </w:rPr>
        <w:t>等。</w:t>
      </w:r>
    </w:p>
    <w:p>
      <w:pPr>
        <w:numPr>
          <w:ilvl w:val="0"/>
          <w:numId w:val="0"/>
        </w:numPr>
        <w:spacing w:line="600" w:lineRule="exact"/>
        <w:ind w:left="0" w:leftChars="0" w:firstLine="0" w:firstLineChars="0"/>
        <w:jc w:val="both"/>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 xml:space="preserve">     通过全年资金使用情况，以各项有关指标，得出绩效结论。</w:t>
      </w:r>
    </w:p>
    <w:p>
      <w:pPr>
        <w:numPr>
          <w:ilvl w:val="0"/>
          <w:numId w:val="1"/>
        </w:numPr>
        <w:spacing w:line="600" w:lineRule="exact"/>
        <w:ind w:left="0" w:leftChars="0"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绩效评价工作过程。 </w:t>
      </w:r>
      <w:bookmarkStart w:id="0" w:name="_GoBack"/>
      <w:bookmarkEnd w:id="0"/>
    </w:p>
    <w:p>
      <w:pPr>
        <w:numPr>
          <w:ilvl w:val="0"/>
          <w:numId w:val="0"/>
        </w:numPr>
        <w:spacing w:line="600" w:lineRule="exact"/>
        <w:ind w:left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通过核对资金收支过程，确定余额，分析资金使用。</w:t>
      </w:r>
    </w:p>
    <w:p>
      <w:pPr>
        <w:numPr>
          <w:ilvl w:val="0"/>
          <w:numId w:val="2"/>
        </w:num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综合评价情况及评价结论</w:t>
      </w:r>
      <w:r>
        <w:rPr>
          <w:rFonts w:hint="eastAsia" w:ascii="黑体" w:hAnsi="黑体" w:eastAsia="黑体" w:cs="Times New Roman"/>
          <w:spacing w:val="-4"/>
          <w:w w:val="105"/>
          <w:sz w:val="32"/>
          <w:szCs w:val="32"/>
          <w:lang w:eastAsia="zh-CN"/>
        </w:rPr>
        <w:t>（</w:t>
      </w:r>
      <w:r>
        <w:rPr>
          <w:rFonts w:ascii="黑体" w:hAnsi="黑体" w:eastAsia="黑体" w:cs="Times New Roman"/>
          <w:spacing w:val="-4"/>
          <w:w w:val="105"/>
          <w:sz w:val="32"/>
          <w:szCs w:val="32"/>
          <w:lang w:eastAsia="zh-CN"/>
        </w:rPr>
        <w:t>附相关评分表）</w:t>
      </w:r>
    </w:p>
    <w:p>
      <w:pPr>
        <w:numPr>
          <w:ilvl w:val="0"/>
          <w:numId w:val="0"/>
        </w:numPr>
        <w:spacing w:line="600" w:lineRule="exact"/>
        <w:jc w:val="both"/>
        <w:rPr>
          <w:rFonts w:ascii="Times New Roman" w:hAnsi="Times New Roman" w:eastAsia="仿宋_GB2312" w:cs="Times New Roman"/>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eastAsia="zh-CN"/>
        </w:rPr>
        <w:t>见附表。</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四、绩效评价指标分析</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lang w:eastAsia="zh-CN"/>
        </w:rPr>
        <w:t>项目决策情况</w:t>
      </w:r>
      <w:r>
        <w:rPr>
          <w:rFonts w:ascii="Times New Roman" w:hAnsi="Times New Roman" w:eastAsia="仿宋_GB2312" w:cs="Times New Roman"/>
          <w:spacing w:val="-115"/>
          <w:sz w:val="32"/>
          <w:szCs w:val="32"/>
          <w:lang w:eastAsia="zh-CN"/>
        </w:rPr>
        <w:t xml:space="preserve"> </w:t>
      </w:r>
      <w:r>
        <w:rPr>
          <w:rFonts w:ascii="Times New Roman" w:hAnsi="Times New Roman" w:eastAsia="仿宋_GB2312" w:cs="Times New Roman"/>
          <w:sz w:val="32"/>
          <w:szCs w:val="32"/>
          <w:lang w:eastAsia="zh-CN"/>
        </w:rPr>
        <w:t>。</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按程序执行。</w:t>
      </w:r>
    </w:p>
    <w:p>
      <w:pPr>
        <w:numPr>
          <w:ilvl w:val="0"/>
          <w:numId w:val="3"/>
        </w:numPr>
        <w:spacing w:line="60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项目过程情况</w:t>
      </w:r>
      <w:r>
        <w:rPr>
          <w:rFonts w:ascii="Times New Roman" w:hAnsi="Times New Roman" w:eastAsia="仿宋_GB2312" w:cs="Times New Roman"/>
          <w:spacing w:val="-106"/>
          <w:sz w:val="32"/>
          <w:szCs w:val="32"/>
          <w:lang w:eastAsia="zh-CN"/>
        </w:rPr>
        <w:t xml:space="preserve"> </w:t>
      </w:r>
      <w:r>
        <w:rPr>
          <w:rFonts w:ascii="Times New Roman" w:hAnsi="Times New Roman" w:eastAsia="仿宋_GB2312" w:cs="Times New Roman"/>
          <w:sz w:val="32"/>
          <w:szCs w:val="32"/>
          <w:lang w:eastAsia="zh-CN"/>
        </w:rPr>
        <w:t>。</w:t>
      </w:r>
    </w:p>
    <w:p>
      <w:pPr>
        <w:numPr>
          <w:ilvl w:val="0"/>
          <w:numId w:val="0"/>
        </w:numPr>
        <w:spacing w:line="600" w:lineRule="exact"/>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据实发放。</w:t>
      </w:r>
    </w:p>
    <w:p>
      <w:pPr>
        <w:numPr>
          <w:ilvl w:val="0"/>
          <w:numId w:val="3"/>
        </w:numPr>
        <w:spacing w:line="600" w:lineRule="exact"/>
        <w:ind w:left="0" w:leftChars="0"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项目产出情况</w:t>
      </w:r>
      <w:r>
        <w:rPr>
          <w:rFonts w:ascii="Times New Roman" w:hAnsi="Times New Roman" w:eastAsia="仿宋_GB2312" w:cs="Times New Roman"/>
          <w:spacing w:val="-115"/>
          <w:sz w:val="32"/>
          <w:szCs w:val="32"/>
          <w:lang w:eastAsia="zh-CN"/>
        </w:rPr>
        <w:t xml:space="preserve"> </w:t>
      </w:r>
      <w:r>
        <w:rPr>
          <w:rFonts w:ascii="Times New Roman" w:hAnsi="Times New Roman" w:eastAsia="仿宋_GB2312" w:cs="Times New Roman"/>
          <w:sz w:val="32"/>
          <w:szCs w:val="32"/>
          <w:lang w:eastAsia="zh-CN"/>
        </w:rPr>
        <w:t>。</w:t>
      </w:r>
    </w:p>
    <w:p>
      <w:pPr>
        <w:numPr>
          <w:ilvl w:val="0"/>
          <w:numId w:val="0"/>
        </w:numPr>
        <w:spacing w:line="600" w:lineRule="exact"/>
        <w:ind w:left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各有关目标有效执行。</w:t>
      </w:r>
    </w:p>
    <w:p>
      <w:pPr>
        <w:numPr>
          <w:ilvl w:val="0"/>
          <w:numId w:val="3"/>
        </w:numPr>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项目效益情况</w:t>
      </w:r>
      <w:r>
        <w:rPr>
          <w:rFonts w:hint="eastAsia" w:ascii="Times New Roman" w:hAnsi="Times New Roman" w:eastAsia="仿宋_GB2312" w:cs="Times New Roman"/>
          <w:sz w:val="32"/>
          <w:szCs w:val="32"/>
          <w:lang w:eastAsia="zh-CN"/>
        </w:rPr>
        <w:t>。</w:t>
      </w:r>
    </w:p>
    <w:p>
      <w:pPr>
        <w:numPr>
          <w:ilvl w:val="0"/>
          <w:numId w:val="0"/>
        </w:numPr>
        <w:spacing w:line="600" w:lineRule="exact"/>
        <w:ind w:left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使残疾人受益。</w:t>
      </w:r>
    </w:p>
    <w:p>
      <w:pPr>
        <w:numPr>
          <w:ilvl w:val="0"/>
          <w:numId w:val="2"/>
        </w:numPr>
        <w:spacing w:line="600" w:lineRule="exact"/>
        <w:ind w:left="0" w:leftChars="0"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主要经验及做法</w:t>
      </w:r>
      <w:r>
        <w:rPr>
          <w:rFonts w:hint="eastAsia" w:ascii="黑体" w:hAnsi="黑体" w:eastAsia="黑体" w:cs="Times New Roman"/>
          <w:spacing w:val="-4"/>
          <w:w w:val="105"/>
          <w:sz w:val="32"/>
          <w:szCs w:val="32"/>
          <w:lang w:eastAsia="zh-CN"/>
        </w:rPr>
        <w:t>、</w:t>
      </w:r>
      <w:r>
        <w:rPr>
          <w:rFonts w:ascii="黑体" w:hAnsi="黑体" w:eastAsia="黑体" w:cs="Times New Roman"/>
          <w:spacing w:val="-4"/>
          <w:w w:val="105"/>
          <w:sz w:val="32"/>
          <w:szCs w:val="32"/>
          <w:lang w:eastAsia="zh-CN"/>
        </w:rPr>
        <w:t xml:space="preserve">存在的问题及原因分析 </w:t>
      </w:r>
    </w:p>
    <w:p>
      <w:pPr>
        <w:numPr>
          <w:ilvl w:val="0"/>
          <w:numId w:val="0"/>
        </w:numPr>
        <w:spacing w:line="600" w:lineRule="exact"/>
        <w:ind w:left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val="en-US" w:eastAsia="zh-CN"/>
        </w:rPr>
        <w:t>无。</w:t>
      </w:r>
    </w:p>
    <w:p>
      <w:pPr>
        <w:numPr>
          <w:ilvl w:val="0"/>
          <w:numId w:val="2"/>
        </w:numPr>
        <w:spacing w:line="600" w:lineRule="exact"/>
        <w:ind w:left="0" w:leftChars="0"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有关建议</w:t>
      </w:r>
    </w:p>
    <w:p>
      <w:pPr>
        <w:numPr>
          <w:ilvl w:val="0"/>
          <w:numId w:val="0"/>
        </w:numPr>
        <w:spacing w:line="600" w:lineRule="exact"/>
        <w:ind w:left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val="en-US" w:eastAsia="zh-CN"/>
        </w:rPr>
        <w:t>无。</w:t>
      </w:r>
    </w:p>
    <w:p>
      <w:pPr>
        <w:numPr>
          <w:ilvl w:val="0"/>
          <w:numId w:val="2"/>
        </w:numPr>
        <w:spacing w:line="600" w:lineRule="exact"/>
        <w:ind w:left="0" w:leftChars="0"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其他需要说明的问题</w:t>
      </w:r>
    </w:p>
    <w:p>
      <w:pPr>
        <w:numPr>
          <w:ilvl w:val="0"/>
          <w:numId w:val="0"/>
        </w:numPr>
        <w:spacing w:line="600" w:lineRule="exact"/>
        <w:ind w:left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val="en-US" w:eastAsia="zh-CN"/>
        </w:rPr>
        <w:t>无</w:t>
      </w:r>
      <w:r>
        <w:rPr>
          <w:rFonts w:hint="eastAsia" w:ascii="黑体" w:hAnsi="黑体" w:eastAsia="黑体" w:cs="Times New Roman"/>
          <w:spacing w:val="-4"/>
          <w:w w:val="105"/>
          <w:sz w:val="32"/>
          <w:szCs w:val="32"/>
          <w:lang w:eastAsia="zh-CN"/>
        </w:rPr>
        <w:t>。</w:t>
      </w:r>
    </w:p>
    <w:p>
      <w:pPr>
        <w:spacing w:line="600" w:lineRule="exact"/>
        <w:ind w:firstLine="640" w:firstLineChars="200"/>
        <w:jc w:val="both"/>
        <w:rPr>
          <w:rFonts w:ascii="Times New Roman" w:hAnsi="Times New Roman" w:eastAsia="仿宋_GB2312" w:cs="Times New Roman"/>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B24CAB"/>
    <w:multiLevelType w:val="singleLevel"/>
    <w:tmpl w:val="BFB24CAB"/>
    <w:lvl w:ilvl="0" w:tentative="0">
      <w:start w:val="3"/>
      <w:numFmt w:val="chineseCounting"/>
      <w:suff w:val="nothing"/>
      <w:lvlText w:val="%1、"/>
      <w:lvlJc w:val="left"/>
      <w:rPr>
        <w:rFonts w:hint="eastAsia"/>
      </w:rPr>
    </w:lvl>
  </w:abstractNum>
  <w:abstractNum w:abstractNumId="1">
    <w:nsid w:val="EB8E080B"/>
    <w:multiLevelType w:val="singleLevel"/>
    <w:tmpl w:val="EB8E080B"/>
    <w:lvl w:ilvl="0" w:tentative="0">
      <w:start w:val="2"/>
      <w:numFmt w:val="chineseCounting"/>
      <w:suff w:val="nothing"/>
      <w:lvlText w:val="（%1）"/>
      <w:lvlJc w:val="left"/>
      <w:rPr>
        <w:rFonts w:hint="eastAsia"/>
      </w:rPr>
    </w:lvl>
  </w:abstractNum>
  <w:abstractNum w:abstractNumId="2">
    <w:nsid w:val="FFE7ABD4"/>
    <w:multiLevelType w:val="singleLevel"/>
    <w:tmpl w:val="FFE7ABD4"/>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18594E"/>
    <w:rsid w:val="001F559F"/>
    <w:rsid w:val="002115F8"/>
    <w:rsid w:val="0023167C"/>
    <w:rsid w:val="005D0F6C"/>
    <w:rsid w:val="006C1B32"/>
    <w:rsid w:val="00904B0D"/>
    <w:rsid w:val="00D02C5B"/>
    <w:rsid w:val="00D10FF2"/>
    <w:rsid w:val="00D27F3A"/>
    <w:rsid w:val="00E85715"/>
    <w:rsid w:val="0EE865B1"/>
    <w:rsid w:val="6A231F50"/>
    <w:rsid w:val="797FFD51"/>
    <w:rsid w:val="7FFEA2BB"/>
    <w:rsid w:val="B16C9C92"/>
    <w:rsid w:val="ECDDEE2A"/>
    <w:rsid w:val="EF7FF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kern w:val="0"/>
      <w:sz w:val="22"/>
      <w:szCs w:val="22"/>
      <w:lang w:val="en-US" w:eastAsia="en-US" w:bidi="ar-SA"/>
    </w:rPr>
  </w:style>
  <w:style w:type="paragraph" w:styleId="2">
    <w:name w:val="heading 1"/>
    <w:basedOn w:val="1"/>
    <w:next w:val="1"/>
    <w:link w:val="7"/>
    <w:qFormat/>
    <w:uiPriority w:val="1"/>
    <w:pPr>
      <w:outlineLvl w:val="0"/>
    </w:pPr>
    <w:rPr>
      <w:rFonts w:ascii="宋体" w:hAnsi="宋体" w:eastAsia="宋体"/>
      <w:sz w:val="33"/>
      <w:szCs w:val="33"/>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qFormat/>
    <w:uiPriority w:val="1"/>
    <w:rPr>
      <w:rFonts w:ascii="宋体" w:hAnsi="宋体" w:eastAsia="宋体"/>
      <w:kern w:val="0"/>
      <w:sz w:val="33"/>
      <w:szCs w:val="33"/>
      <w:lang w:eastAsia="en-US"/>
    </w:rPr>
  </w:style>
  <w:style w:type="character" w:customStyle="1" w:styleId="8">
    <w:name w:val="页眉 Char"/>
    <w:basedOn w:val="6"/>
    <w:link w:val="4"/>
    <w:qFormat/>
    <w:uiPriority w:val="99"/>
    <w:rPr>
      <w:kern w:val="0"/>
      <w:sz w:val="18"/>
      <w:szCs w:val="18"/>
      <w:lang w:eastAsia="en-US"/>
    </w:rPr>
  </w:style>
  <w:style w:type="character" w:customStyle="1" w:styleId="9">
    <w:name w:val="页脚 Char"/>
    <w:basedOn w:val="6"/>
    <w:link w:val="3"/>
    <w:qFormat/>
    <w:uiPriority w:val="99"/>
    <w:rPr>
      <w:kern w:val="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56</Words>
  <Characters>321</Characters>
  <Lines>2</Lines>
  <Paragraphs>1</Paragraphs>
  <TotalTime>0</TotalTime>
  <ScaleCrop>false</ScaleCrop>
  <LinksUpToDate>false</LinksUpToDate>
  <CharactersWithSpaces>376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2020-08-07T16:16:00Z</dcterms:created>
  <dc:creator>于喆</dc:creator>
  <cp:lastModifiedBy>Administrator</cp:lastModifiedBy>
  <cp:lastPrinted>2020-08-07T16:24:00Z</cp:lastPrinted>
  <dcterms:modified xsi:type="dcterms:W3CDTF">2020-12-08T20:34:57Z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