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40" w:firstLineChars="200"/>
        <w:jc w:val="center"/>
        <w:rPr>
          <w:rFonts w:hint="eastAsia" w:ascii="方正小标宋简体" w:hAnsi="Times New Roman" w:eastAsia="方正小标宋简体" w:cs="Times New Roman"/>
          <w:w w:val="105"/>
          <w:sz w:val="40"/>
          <w:szCs w:val="32"/>
          <w:lang w:eastAsia="zh-CN"/>
        </w:rPr>
      </w:pPr>
    </w:p>
    <w:p>
      <w:pPr>
        <w:spacing w:line="600" w:lineRule="exact"/>
        <w:ind w:firstLine="840" w:firstLineChars="200"/>
        <w:jc w:val="center"/>
        <w:rPr>
          <w:rFonts w:ascii="方正小标宋简体" w:hAnsi="Times New Roman" w:eastAsia="方正小标宋简体" w:cs="Times New Roman"/>
          <w:sz w:val="40"/>
          <w:szCs w:val="32"/>
          <w:lang w:eastAsia="zh-CN"/>
        </w:rPr>
      </w:pPr>
      <w:r>
        <w:rPr>
          <w:rFonts w:hint="eastAsia" w:ascii="方正小标宋简体" w:hAnsi="Times New Roman" w:eastAsia="方正小标宋简体" w:cs="Times New Roman"/>
          <w:w w:val="105"/>
          <w:sz w:val="40"/>
          <w:szCs w:val="32"/>
          <w:lang w:eastAsia="zh-CN"/>
        </w:rPr>
        <w:t>项</w:t>
      </w:r>
      <w:r>
        <w:rPr>
          <w:rFonts w:hint="eastAsia" w:ascii="方正小标宋简体" w:hAnsi="Times New Roman" w:eastAsia="方正小标宋简体" w:cs="Times New Roman"/>
          <w:spacing w:val="-128"/>
          <w:w w:val="105"/>
          <w:sz w:val="40"/>
          <w:szCs w:val="32"/>
          <w:lang w:eastAsia="zh-CN"/>
        </w:rPr>
        <w:t xml:space="preserve"> </w:t>
      </w:r>
      <w:r>
        <w:rPr>
          <w:rFonts w:hint="eastAsia" w:ascii="方正小标宋简体" w:hAnsi="Times New Roman" w:eastAsia="方正小标宋简体" w:cs="Times New Roman"/>
          <w:spacing w:val="-15"/>
          <w:w w:val="105"/>
          <w:sz w:val="40"/>
          <w:szCs w:val="32"/>
          <w:lang w:eastAsia="zh-CN"/>
        </w:rPr>
        <w:t>目支出绩效评价报告</w:t>
      </w:r>
    </w:p>
    <w:p>
      <w:pPr>
        <w:spacing w:line="600" w:lineRule="exact"/>
        <w:ind w:firstLine="640" w:firstLineChars="200"/>
        <w:jc w:val="center"/>
        <w:rPr>
          <w:rFonts w:hint="eastAsia" w:ascii="仿宋_GB2312" w:hAnsi="仿宋_GB2312" w:eastAsia="仿宋_GB2312" w:cs="仿宋_GB2312"/>
          <w:spacing w:val="-4"/>
          <w:w w:val="105"/>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智慧津南项目运维及咨询费</w:t>
      </w:r>
      <w:r>
        <w:rPr>
          <w:rFonts w:hint="eastAsia" w:ascii="仿宋_GB2312" w:hAnsi="仿宋_GB2312" w:eastAsia="仿宋_GB2312" w:cs="仿宋_GB2312"/>
          <w:sz w:val="32"/>
          <w:szCs w:val="32"/>
          <w:lang w:val="en-US" w:eastAsia="zh-CN"/>
        </w:rPr>
        <w:t>)</w:t>
      </w:r>
    </w:p>
    <w:p>
      <w:pPr>
        <w:spacing w:line="600" w:lineRule="exact"/>
        <w:ind w:firstLine="656" w:firstLineChars="200"/>
        <w:jc w:val="both"/>
        <w:rPr>
          <w:rFonts w:ascii="黑体" w:hAnsi="黑体" w:eastAsia="黑体" w:cs="Times New Roman"/>
          <w:sz w:val="32"/>
          <w:szCs w:val="32"/>
          <w:lang w:eastAsia="zh-CN"/>
        </w:rPr>
      </w:pPr>
      <w:r>
        <w:rPr>
          <w:rFonts w:ascii="黑体" w:hAnsi="黑体" w:eastAsia="黑体" w:cs="Times New Roman"/>
          <w:spacing w:val="-4"/>
          <w:w w:val="105"/>
          <w:sz w:val="32"/>
          <w:szCs w:val="32"/>
          <w:lang w:eastAsia="zh-CN"/>
        </w:rPr>
        <w:t>一、基本情况</w:t>
      </w:r>
    </w:p>
    <w:p>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1.项目背景</w:t>
      </w:r>
    </w:p>
    <w:p>
      <w:pPr>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天津市津南区大数据管理中心成立于</w:t>
      </w:r>
      <w:r>
        <w:rPr>
          <w:rFonts w:hint="eastAsia" w:ascii="Times New Roman" w:hAnsi="Times New Roman" w:eastAsia="仿宋_GB2312" w:cs="Times New Roman"/>
          <w:sz w:val="32"/>
          <w:szCs w:val="32"/>
          <w:lang w:val="en-US" w:eastAsia="zh-CN"/>
        </w:rPr>
        <w:t>2019年，2020年作为区级一级预算单位施行独立财务核算，执行政府会计制度，主要职责是</w:t>
      </w:r>
      <w:r>
        <w:rPr>
          <w:rFonts w:hint="eastAsia" w:ascii="Times New Roman" w:hAnsi="Times New Roman" w:eastAsia="仿宋_GB2312" w:cs="Times New Roman"/>
          <w:sz w:val="32"/>
          <w:szCs w:val="32"/>
          <w:lang w:eastAsia="zh-CN"/>
        </w:rPr>
        <w:t>贯彻国家、天津市大数据战略，按照市委市政府、区委区政府建设数字天津、智慧津南的工作部署，承担数据资源的采集、存储、登记、开发利用和共享，以及大数据安全体系建设、安全保障工作。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2.主要内容</w:t>
      </w:r>
    </w:p>
    <w:p>
      <w:pPr>
        <w:spacing w:line="580" w:lineRule="exact"/>
        <w:ind w:firstLine="640" w:firstLineChars="200"/>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智慧津南项目运维及咨询费项目</w:t>
      </w:r>
      <w:r>
        <w:rPr>
          <w:rFonts w:hint="eastAsia" w:ascii="Times New Roman" w:hAnsi="Times New Roman" w:eastAsia="仿宋_GB2312" w:cs="Times New Roman"/>
          <w:sz w:val="32"/>
          <w:szCs w:val="32"/>
          <w:lang w:eastAsia="zh-CN"/>
        </w:rPr>
        <w:t>包括支付政府机房及智慧津南管理服务中心光纤租赁费及运维费、财政业务系统专网光纤租赁费、</w:t>
      </w:r>
      <w:r>
        <w:rPr>
          <w:rFonts w:hint="eastAsia" w:ascii="Times New Roman" w:hAnsi="Times New Roman" w:eastAsia="仿宋_GB2312" w:cs="Times New Roman"/>
          <w:sz w:val="32"/>
          <w:szCs w:val="32"/>
          <w:lang w:val="en-US" w:eastAsia="zh-CN"/>
        </w:rPr>
        <w:t>津南区电子政务外网云平台租赁、津南区视频监控系统运维费、津南</w:t>
      </w:r>
      <w:r>
        <w:rPr>
          <w:rFonts w:hint="eastAsia" w:ascii="Times New Roman" w:hAnsi="Times New Roman" w:eastAsia="仿宋_GB2312" w:cs="Times New Roman"/>
          <w:sz w:val="32"/>
          <w:szCs w:val="32"/>
          <w:lang w:eastAsia="zh-CN"/>
        </w:rPr>
        <w:t>区政府系统办公机房及电子政务外网各点位光纤电路租赁费、政府机房及智慧津南管理服务中心机房运维费、津南区政府电子政务平台系统运维等费用，以及智慧津南PPP子项目预算造价审核费和法律咨询服务费。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3.实施情况</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因受2020年新冠肺炎疫情影响，本项目自2020年第二季度开始启动，至2020年第四季度结束。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4.资金投入和使用情况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智慧津南项目运维及咨询费项目</w:t>
      </w:r>
      <w:r>
        <w:rPr>
          <w:rFonts w:hint="eastAsia"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年年度预算资金</w:t>
      </w:r>
      <w:r>
        <w:rPr>
          <w:rFonts w:hint="eastAsia" w:ascii="Times New Roman" w:hAnsi="Times New Roman" w:eastAsia="仿宋_GB2312" w:cs="Times New Roman"/>
          <w:sz w:val="32"/>
          <w:szCs w:val="32"/>
          <w:lang w:val="en-US" w:eastAsia="zh-CN"/>
        </w:rPr>
        <w:t>2635.204433万元（年初预算2837.8294万元，核减预算202.624967万元），实际投入资金2635.204433万元，年度实际投入资金占预算资金的100%。项目资金严格按照“三重一大”程序并根据各项合同约定执行，资金支付均通过国库集中支付系统财政授权支付方式完成。</w:t>
      </w:r>
    </w:p>
    <w:p>
      <w:pPr>
        <w:spacing w:line="60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（二）项目绩效目标。</w:t>
      </w:r>
    </w:p>
    <w:p>
      <w:pPr>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1.总目标：</w:t>
      </w:r>
      <w:r>
        <w:rPr>
          <w:rFonts w:hint="eastAsia" w:ascii="Times New Roman" w:hAnsi="Times New Roman" w:eastAsia="仿宋_GB2312" w:cs="Times New Roman"/>
          <w:sz w:val="32"/>
          <w:szCs w:val="32"/>
          <w:lang w:eastAsia="zh-CN"/>
        </w:rPr>
        <w:t>保障智慧津南PPP项目合法合规推进，保证我区电子政务外网各点位光纤畅通、政府机房及智慧津南管理服务中心机房安全运行、津南区政府电子政务平台系统及频监控系统正常运行等。</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2.阶段性目标：确保2020年年内按照时间节点和流程要求，支付光纤租赁及运维费用，保障机房、系统、光纤、电路正常运行，并做好2020年度智慧津南PPP子项目前期预算造价审核和法律咨询等工作。</w:t>
      </w:r>
    </w:p>
    <w:p>
      <w:pPr>
        <w:spacing w:line="600" w:lineRule="exact"/>
        <w:ind w:firstLine="656" w:firstLineChars="200"/>
        <w:jc w:val="both"/>
        <w:rPr>
          <w:rFonts w:ascii="黑体" w:hAnsi="黑体" w:eastAsia="黑体" w:cs="Times New Roman"/>
          <w:spacing w:val="-4"/>
          <w:w w:val="105"/>
          <w:sz w:val="32"/>
          <w:szCs w:val="32"/>
          <w:lang w:eastAsia="zh-CN"/>
        </w:rPr>
      </w:pPr>
      <w:r>
        <w:rPr>
          <w:rFonts w:ascii="黑体" w:hAnsi="黑体" w:eastAsia="黑体" w:cs="Times New Roman"/>
          <w:spacing w:val="-4"/>
          <w:w w:val="105"/>
          <w:sz w:val="32"/>
          <w:szCs w:val="32"/>
          <w:lang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（一）绩效评价</w:t>
      </w:r>
      <w:r>
        <w:rPr>
          <w:rFonts w:hint="eastAsia" w:ascii="楷体_GB2312" w:hAnsi="楷体_GB2312" w:eastAsia="楷体_GB2312" w:cs="楷体_GB2312"/>
          <w:spacing w:val="-91"/>
          <w:sz w:val="32"/>
          <w:szCs w:val="32"/>
          <w:lang w:eastAsia="zh-CN"/>
        </w:rPr>
        <w:t xml:space="preserve"> </w:t>
      </w:r>
      <w:r>
        <w:rPr>
          <w:rFonts w:hint="eastAsia" w:ascii="楷体_GB2312" w:hAnsi="楷体_GB2312" w:eastAsia="楷体_GB2312" w:cs="楷体_GB2312"/>
          <w:spacing w:val="-10"/>
          <w:sz w:val="32"/>
          <w:szCs w:val="32"/>
          <w:lang w:eastAsia="zh-CN"/>
        </w:rPr>
        <w:t>目的</w:t>
      </w:r>
      <w:r>
        <w:rPr>
          <w:rFonts w:hint="eastAsia" w:ascii="楷体_GB2312" w:hAnsi="楷体_GB2312" w:eastAsia="楷体_GB2312" w:cs="楷体_GB2312"/>
          <w:sz w:val="32"/>
          <w:szCs w:val="32"/>
          <w:lang w:eastAsia="zh-CN"/>
        </w:rPr>
        <w:t>、对象和范围。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ascii="Times New Roman" w:hAnsi="Times New Roman" w:eastAsia="仿宋_GB2312" w:cs="Times New Roman"/>
          <w:sz w:val="32"/>
          <w:szCs w:val="32"/>
          <w:lang w:eastAsia="zh-CN"/>
        </w:rPr>
        <w:t>绩效评价</w:t>
      </w:r>
      <w:r>
        <w:rPr>
          <w:rFonts w:ascii="Times New Roman" w:hAnsi="Times New Roman" w:eastAsia="仿宋_GB2312" w:cs="Times New Roman"/>
          <w:spacing w:val="-91"/>
          <w:sz w:val="32"/>
          <w:szCs w:val="32"/>
          <w:lang w:eastAsia="zh-CN"/>
        </w:rPr>
        <w:t xml:space="preserve"> </w:t>
      </w:r>
      <w:r>
        <w:rPr>
          <w:rFonts w:ascii="Times New Roman" w:hAnsi="Times New Roman" w:eastAsia="仿宋_GB2312" w:cs="Times New Roman"/>
          <w:spacing w:val="-10"/>
          <w:sz w:val="32"/>
          <w:szCs w:val="32"/>
          <w:lang w:eastAsia="zh-CN"/>
        </w:rPr>
        <w:t>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绩效评价是为落实全面实施预算绩效管理要求，不断提高资金使用效益，根据设定的绩效目标，运用科学、合理的预算绩效评价指标、评价标准和评价方法，对财政支出的产出和效果进行客观、公正的评价。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2.绩效评价对象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Times New Roman" w:eastAsia="仿宋_GB2312" w:cs="Times New Roman"/>
          <w:sz w:val="32"/>
          <w:szCs w:val="32"/>
          <w:lang w:val="en-US" w:eastAsia="zh-CN"/>
        </w:rPr>
        <w:t>本报告绩效评价对象为大数据管理中心项目支出</w:t>
      </w:r>
      <w:r>
        <w:rPr>
          <w:rFonts w:hint="eastAsia" w:ascii="仿宋_GB2312" w:hAnsi="仿宋_GB2312" w:eastAsia="仿宋_GB2312" w:cs="仿宋_GB2312"/>
          <w:sz w:val="32"/>
          <w:szCs w:val="32"/>
          <w:lang w:eastAsia="zh-CN"/>
        </w:rPr>
        <w:t>智慧津南项目运维及咨询费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3.绩效评价范围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本报告绩效范围为2020年度。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196"/>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pacing w:val="-1"/>
          <w:w w:val="103"/>
          <w:sz w:val="32"/>
          <w:szCs w:val="32"/>
          <w:lang w:eastAsia="zh-CN"/>
        </w:rPr>
        <w:t>绩效评价原则</w:t>
      </w:r>
      <w:r>
        <w:rPr>
          <w:rFonts w:hint="eastAsia" w:ascii="楷体_GB2312" w:hAnsi="楷体_GB2312" w:eastAsia="楷体_GB2312" w:cs="楷体_GB2312"/>
          <w:spacing w:val="-106"/>
          <w:w w:val="103"/>
          <w:sz w:val="32"/>
          <w:szCs w:val="32"/>
          <w:lang w:eastAsia="zh-CN"/>
        </w:rPr>
        <w:t xml:space="preserve"> </w:t>
      </w:r>
      <w:r>
        <w:rPr>
          <w:rFonts w:hint="eastAsia" w:ascii="楷体_GB2312" w:hAnsi="楷体_GB2312" w:eastAsia="楷体_GB2312" w:cs="楷体_GB2312"/>
          <w:spacing w:val="-7"/>
          <w:w w:val="103"/>
          <w:sz w:val="32"/>
          <w:szCs w:val="32"/>
          <w:lang w:eastAsia="zh-CN"/>
        </w:rPr>
        <w:t>、评价指标体系</w:t>
      </w:r>
      <w:r>
        <w:rPr>
          <w:rFonts w:hint="eastAsia" w:ascii="楷体_GB2312" w:hAnsi="楷体_GB2312" w:eastAsia="楷体_GB2312" w:cs="楷体_GB2312"/>
          <w:spacing w:val="-2"/>
          <w:w w:val="103"/>
          <w:sz w:val="32"/>
          <w:szCs w:val="32"/>
          <w:lang w:eastAsia="zh-CN"/>
        </w:rPr>
        <w:t>（</w:t>
      </w:r>
      <w:r>
        <w:rPr>
          <w:rFonts w:hint="eastAsia" w:ascii="楷体_GB2312" w:hAnsi="楷体_GB2312" w:eastAsia="楷体_GB2312" w:cs="楷体_GB2312"/>
          <w:w w:val="104"/>
          <w:sz w:val="32"/>
          <w:szCs w:val="32"/>
          <w:lang w:eastAsia="zh-CN"/>
        </w:rPr>
        <w:t>附表说明</w:t>
      </w:r>
      <w:r>
        <w:rPr>
          <w:rFonts w:hint="eastAsia" w:ascii="楷体_GB2312" w:hAnsi="楷体_GB2312" w:eastAsia="楷体_GB2312" w:cs="楷体_GB2312"/>
          <w:spacing w:val="-2"/>
          <w:w w:val="103"/>
          <w:sz w:val="32"/>
          <w:szCs w:val="32"/>
          <w:lang w:eastAsia="zh-CN"/>
        </w:rPr>
        <w:t>）</w:t>
      </w:r>
      <w:r>
        <w:rPr>
          <w:rFonts w:hint="eastAsia" w:ascii="楷体_GB2312" w:hAnsi="楷体_GB2312" w:eastAsia="楷体_GB2312" w:cs="楷体_GB2312"/>
          <w:sz w:val="32"/>
          <w:szCs w:val="32"/>
          <w:lang w:eastAsia="zh-CN"/>
        </w:rPr>
        <w:t>、评价方法、评价标准等。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1.绩效评价原则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科学规范、统筹兼顾、激励约束、公开透明。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2.评价指标体系（如下表）</w:t>
      </w:r>
    </w:p>
    <w:tbl>
      <w:tblPr>
        <w:tblStyle w:val="5"/>
        <w:tblW w:w="4998" w:type="pct"/>
        <w:tblInd w:w="0" w:type="dxa"/>
        <w:shd w:val="clear" w:color="auto" w:fill="auto"/>
        <w:tblLayout w:type="autofit"/>
        <w:tblCellMar>
          <w:top w:w="0" w:type="dxa"/>
          <w:left w:w="0" w:type="dxa"/>
          <w:bottom w:w="0" w:type="dxa"/>
          <w:right w:w="0" w:type="dxa"/>
        </w:tblCellMar>
      </w:tblPr>
      <w:tblGrid>
        <w:gridCol w:w="1077"/>
        <w:gridCol w:w="1621"/>
        <w:gridCol w:w="3313"/>
        <w:gridCol w:w="2322"/>
      </w:tblGrid>
      <w:tr>
        <w:tblPrEx>
          <w:shd w:val="clear" w:color="auto" w:fill="auto"/>
          <w:tblCellMar>
            <w:top w:w="0" w:type="dxa"/>
            <w:left w:w="0" w:type="dxa"/>
            <w:bottom w:w="0" w:type="dxa"/>
            <w:right w:w="0" w:type="dxa"/>
          </w:tblCellMar>
        </w:tblPrEx>
        <w:trPr>
          <w:trHeight w:val="57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9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指标值 </w:t>
            </w:r>
          </w:p>
        </w:tc>
      </w:tr>
      <w:tr>
        <w:tblPrEx>
          <w:tblCellMar>
            <w:top w:w="0" w:type="dxa"/>
            <w:left w:w="0" w:type="dxa"/>
            <w:bottom w:w="0" w:type="dxa"/>
            <w:right w:w="0" w:type="dxa"/>
          </w:tblCellMar>
        </w:tblPrEx>
        <w:trPr>
          <w:trHeight w:val="620" w:hRule="atLeast"/>
        </w:trPr>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97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9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视频监控系统运维数量</w:t>
            </w:r>
          </w:p>
        </w:tc>
        <w:tc>
          <w:tcPr>
            <w:tcW w:w="13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r>
      <w:tr>
        <w:tblPrEx>
          <w:tblCellMar>
            <w:top w:w="0" w:type="dxa"/>
            <w:left w:w="0" w:type="dxa"/>
            <w:bottom w:w="0" w:type="dxa"/>
            <w:right w:w="0" w:type="dxa"/>
          </w:tblCellMar>
        </w:tblPrEx>
        <w:trPr>
          <w:trHeight w:val="620" w:hRule="atLeast"/>
        </w:trPr>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机房运维数量</w:t>
            </w:r>
          </w:p>
        </w:tc>
        <w:tc>
          <w:tcPr>
            <w:tcW w:w="13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r>
      <w:tr>
        <w:tblPrEx>
          <w:tblCellMar>
            <w:top w:w="0" w:type="dxa"/>
            <w:left w:w="0" w:type="dxa"/>
            <w:bottom w:w="0" w:type="dxa"/>
            <w:right w:w="0" w:type="dxa"/>
          </w:tblCellMar>
        </w:tblPrEx>
        <w:trPr>
          <w:trHeight w:val="620" w:hRule="atLeast"/>
        </w:trPr>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电子政务外网运维数量</w:t>
            </w:r>
          </w:p>
        </w:tc>
        <w:tc>
          <w:tcPr>
            <w:tcW w:w="13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r>
      <w:tr>
        <w:tblPrEx>
          <w:tblCellMar>
            <w:top w:w="0" w:type="dxa"/>
            <w:left w:w="0" w:type="dxa"/>
            <w:bottom w:w="0" w:type="dxa"/>
            <w:right w:w="0" w:type="dxa"/>
          </w:tblCellMar>
        </w:tblPrEx>
        <w:trPr>
          <w:trHeight w:val="620" w:hRule="atLeast"/>
        </w:trPr>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9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视频监控系统在线率</w:t>
            </w:r>
          </w:p>
        </w:tc>
        <w:tc>
          <w:tcPr>
            <w:tcW w:w="13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r>
      <w:tr>
        <w:tblPrEx>
          <w:tblCellMar>
            <w:top w:w="0" w:type="dxa"/>
            <w:left w:w="0" w:type="dxa"/>
            <w:bottom w:w="0" w:type="dxa"/>
            <w:right w:w="0" w:type="dxa"/>
          </w:tblCellMar>
        </w:tblPrEx>
        <w:trPr>
          <w:trHeight w:val="800" w:hRule="atLeast"/>
        </w:trPr>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政府机房、智慧津南管理服务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中心机房安全运行</w:t>
            </w:r>
          </w:p>
        </w:tc>
        <w:tc>
          <w:tcPr>
            <w:tcW w:w="13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未发生系统故障</w:t>
            </w:r>
          </w:p>
        </w:tc>
      </w:tr>
      <w:tr>
        <w:tblPrEx>
          <w:tblCellMar>
            <w:top w:w="0" w:type="dxa"/>
            <w:left w:w="0" w:type="dxa"/>
            <w:bottom w:w="0" w:type="dxa"/>
            <w:right w:w="0" w:type="dxa"/>
          </w:tblCellMar>
        </w:tblPrEx>
        <w:trPr>
          <w:trHeight w:val="805" w:hRule="atLeast"/>
        </w:trPr>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OA办公系统正常运行</w:t>
            </w:r>
          </w:p>
        </w:tc>
        <w:tc>
          <w:tcPr>
            <w:tcW w:w="13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未发生系统故障</w:t>
            </w:r>
          </w:p>
        </w:tc>
      </w:tr>
      <w:tr>
        <w:tblPrEx>
          <w:tblCellMar>
            <w:top w:w="0" w:type="dxa"/>
            <w:left w:w="0" w:type="dxa"/>
            <w:bottom w:w="0" w:type="dxa"/>
            <w:right w:w="0" w:type="dxa"/>
          </w:tblCellMar>
        </w:tblPrEx>
        <w:trPr>
          <w:trHeight w:val="990" w:hRule="atLeast"/>
        </w:trPr>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19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智慧津南及数据湖PPP项目咨询按时开展</w:t>
            </w:r>
          </w:p>
        </w:tc>
        <w:tc>
          <w:tcPr>
            <w:tcW w:w="1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达到要求</w:t>
            </w:r>
          </w:p>
        </w:tc>
      </w:tr>
      <w:tr>
        <w:tblPrEx>
          <w:tblCellMar>
            <w:top w:w="0" w:type="dxa"/>
            <w:left w:w="0" w:type="dxa"/>
            <w:bottom w:w="0" w:type="dxa"/>
            <w:right w:w="0" w:type="dxa"/>
          </w:tblCellMar>
        </w:tblPrEx>
        <w:trPr>
          <w:trHeight w:val="994" w:hRule="atLeast"/>
        </w:trPr>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每季度结束后组织视频监控系统运行考核</w:t>
            </w:r>
          </w:p>
        </w:tc>
        <w:tc>
          <w:tcPr>
            <w:tcW w:w="1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达到要求</w:t>
            </w:r>
          </w:p>
        </w:tc>
      </w:tr>
      <w:tr>
        <w:tblPrEx>
          <w:tblCellMar>
            <w:top w:w="0" w:type="dxa"/>
            <w:left w:w="0" w:type="dxa"/>
            <w:bottom w:w="0" w:type="dxa"/>
            <w:right w:w="0" w:type="dxa"/>
          </w:tblCellMar>
        </w:tblPrEx>
        <w:trPr>
          <w:trHeight w:val="745" w:hRule="atLeast"/>
        </w:trPr>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9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运维及咨询费</w:t>
            </w:r>
          </w:p>
        </w:tc>
        <w:tc>
          <w:tcPr>
            <w:tcW w:w="1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4"/>
                <w:szCs w:val="24"/>
                <w:u w:val="none"/>
              </w:rPr>
            </w:pPr>
            <w:r>
              <w:rPr>
                <w:rStyle w:val="10"/>
                <w:rFonts w:eastAsia="宋体"/>
                <w:lang w:val="en-US" w:eastAsia="zh-CN" w:bidi="ar"/>
              </w:rPr>
              <w:t>≤2837.8294</w:t>
            </w:r>
            <w:r>
              <w:rPr>
                <w:rStyle w:val="11"/>
                <w:lang w:val="en-US" w:eastAsia="zh-CN" w:bidi="ar"/>
              </w:rPr>
              <w:t>万元</w:t>
            </w:r>
          </w:p>
        </w:tc>
      </w:tr>
      <w:tr>
        <w:tblPrEx>
          <w:tblCellMar>
            <w:top w:w="0" w:type="dxa"/>
            <w:left w:w="0" w:type="dxa"/>
            <w:bottom w:w="0" w:type="dxa"/>
            <w:right w:w="0" w:type="dxa"/>
          </w:tblCellMar>
        </w:tblPrEx>
        <w:trPr>
          <w:trHeight w:val="570" w:hRule="atLeast"/>
        </w:trPr>
        <w:tc>
          <w:tcPr>
            <w:tcW w:w="646"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一级指标</w:t>
            </w:r>
          </w:p>
        </w:tc>
        <w:tc>
          <w:tcPr>
            <w:tcW w:w="97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二级指标</w:t>
            </w:r>
          </w:p>
        </w:tc>
        <w:tc>
          <w:tcPr>
            <w:tcW w:w="19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三级指标</w:t>
            </w:r>
          </w:p>
        </w:tc>
        <w:tc>
          <w:tcPr>
            <w:tcW w:w="1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指标值 </w:t>
            </w:r>
          </w:p>
        </w:tc>
      </w:tr>
      <w:tr>
        <w:tblPrEx>
          <w:tblCellMar>
            <w:top w:w="0" w:type="dxa"/>
            <w:left w:w="0" w:type="dxa"/>
            <w:bottom w:w="0" w:type="dxa"/>
            <w:right w:w="0" w:type="dxa"/>
          </w:tblCellMar>
        </w:tblPrEx>
        <w:trPr>
          <w:trHeight w:val="800" w:hRule="atLeast"/>
        </w:trPr>
        <w:tc>
          <w:tcPr>
            <w:tcW w:w="646" w:type="pct"/>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效益指标</w:t>
            </w:r>
          </w:p>
        </w:tc>
        <w:tc>
          <w:tcPr>
            <w:tcW w:w="97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经济效益指标</w:t>
            </w:r>
          </w:p>
        </w:tc>
        <w:tc>
          <w:tcPr>
            <w:tcW w:w="19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SA"/>
              </w:rPr>
            </w:pPr>
          </w:p>
        </w:tc>
      </w:tr>
      <w:tr>
        <w:tblPrEx>
          <w:tblCellMar>
            <w:top w:w="0" w:type="dxa"/>
            <w:left w:w="0" w:type="dxa"/>
            <w:bottom w:w="0" w:type="dxa"/>
            <w:right w:w="0" w:type="dxa"/>
          </w:tblCellMar>
        </w:tblPrEx>
        <w:trPr>
          <w:trHeight w:val="800" w:hRule="atLeast"/>
        </w:trPr>
        <w:tc>
          <w:tcPr>
            <w:tcW w:w="6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97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9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做好运维工作，不断加强大数据安全保障力度。</w:t>
            </w:r>
          </w:p>
        </w:tc>
        <w:tc>
          <w:tcPr>
            <w:tcW w:w="1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达到效果</w:t>
            </w:r>
          </w:p>
        </w:tc>
      </w:tr>
      <w:tr>
        <w:tblPrEx>
          <w:tblCellMar>
            <w:top w:w="0" w:type="dxa"/>
            <w:left w:w="0" w:type="dxa"/>
            <w:bottom w:w="0" w:type="dxa"/>
            <w:right w:w="0" w:type="dxa"/>
          </w:tblCellMar>
        </w:tblPrEx>
        <w:trPr>
          <w:trHeight w:val="880" w:hRule="atLeast"/>
        </w:trPr>
        <w:tc>
          <w:tcPr>
            <w:tcW w:w="6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做好咨询工作，确保项目合法合规开展。</w:t>
            </w:r>
          </w:p>
        </w:tc>
        <w:tc>
          <w:tcPr>
            <w:tcW w:w="1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达到效果</w:t>
            </w:r>
          </w:p>
        </w:tc>
      </w:tr>
      <w:tr>
        <w:tblPrEx>
          <w:tblCellMar>
            <w:top w:w="0" w:type="dxa"/>
            <w:left w:w="0" w:type="dxa"/>
            <w:bottom w:w="0" w:type="dxa"/>
            <w:right w:w="0" w:type="dxa"/>
          </w:tblCellMar>
        </w:tblPrEx>
        <w:trPr>
          <w:trHeight w:val="835" w:hRule="atLeast"/>
        </w:trPr>
        <w:tc>
          <w:tcPr>
            <w:tcW w:w="6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9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94" w:hRule="atLeast"/>
        </w:trPr>
        <w:tc>
          <w:tcPr>
            <w:tcW w:w="646"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可持续影响</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w:t>
            </w:r>
          </w:p>
        </w:tc>
        <w:tc>
          <w:tcPr>
            <w:tcW w:w="19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年内持续推进</w:t>
            </w:r>
          </w:p>
        </w:tc>
        <w:tc>
          <w:tcPr>
            <w:tcW w:w="1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按照时间节点完成</w:t>
            </w:r>
          </w:p>
        </w:tc>
      </w:tr>
      <w:tr>
        <w:tblPrEx>
          <w:tblCellMar>
            <w:top w:w="0" w:type="dxa"/>
            <w:left w:w="0" w:type="dxa"/>
            <w:bottom w:w="0" w:type="dxa"/>
            <w:right w:w="0" w:type="dxa"/>
          </w:tblCellMar>
        </w:tblPrEx>
        <w:trPr>
          <w:trHeight w:val="910" w:hRule="atLeast"/>
        </w:trPr>
        <w:tc>
          <w:tcPr>
            <w:tcW w:w="646"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指标</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19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视频监控系统运维满意度</w:t>
            </w:r>
          </w:p>
        </w:tc>
        <w:tc>
          <w:tcPr>
            <w:tcW w:w="1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达到要求</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2020年度项目支出</w:t>
      </w:r>
      <w:r>
        <w:rPr>
          <w:rFonts w:hint="eastAsia" w:ascii="仿宋_GB2312" w:hAnsi="仿宋_GB2312" w:eastAsia="仿宋_GB2312" w:cs="仿宋_GB2312"/>
          <w:sz w:val="32"/>
          <w:szCs w:val="32"/>
          <w:lang w:eastAsia="zh-CN"/>
        </w:rPr>
        <w:t>智慧津南项目运维及咨询费项目</w:t>
      </w:r>
      <w:r>
        <w:rPr>
          <w:rFonts w:hint="eastAsia" w:ascii="仿宋_GB2312" w:hAnsi="Times New Roman" w:eastAsia="仿宋_GB2312" w:cs="Times New Roman"/>
          <w:sz w:val="32"/>
          <w:szCs w:val="32"/>
          <w:lang w:val="en-US" w:eastAsia="zh-CN"/>
        </w:rPr>
        <w:t>绩效评价方法采用比较法和因素分析法对该绩效目标各指标逐项进行评价分析。总分100分，自评得分为三级指标实际得分的总和。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4.评价标准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2020年度项目支出</w:t>
      </w:r>
      <w:r>
        <w:rPr>
          <w:rFonts w:hint="eastAsia" w:ascii="仿宋_GB2312" w:hAnsi="仿宋_GB2312" w:eastAsia="仿宋_GB2312" w:cs="仿宋_GB2312"/>
          <w:sz w:val="32"/>
          <w:szCs w:val="32"/>
          <w:lang w:eastAsia="zh-CN"/>
        </w:rPr>
        <w:t>智慧津南项目运维及咨询费项目</w:t>
      </w:r>
      <w:r>
        <w:rPr>
          <w:rFonts w:hint="eastAsia" w:ascii="仿宋_GB2312" w:hAnsi="Times New Roman" w:eastAsia="仿宋_GB2312" w:cs="Times New Roman"/>
          <w:sz w:val="32"/>
          <w:szCs w:val="32"/>
          <w:lang w:val="en-US" w:eastAsia="zh-CN"/>
        </w:rPr>
        <w:t>绩效评价采用计划标准对绩效绩效指标完成情况进行比较。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7" w:firstLineChars="196"/>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绩效评价工作过程。</w:t>
      </w:r>
    </w:p>
    <w:p>
      <w:pPr>
        <w:keepNext w:val="0"/>
        <w:keepLines w:val="0"/>
        <w:pageBreakBefore w:val="0"/>
        <w:widowControl w:val="0"/>
        <w:numPr>
          <w:ilvl w:val="0"/>
          <w:numId w:val="2"/>
        </w:numPr>
        <w:tabs>
          <w:tab w:val="left" w:pos="440"/>
        </w:tabs>
        <w:kinsoku/>
        <w:wordWrap/>
        <w:overflowPunct/>
        <w:topLinePunct w:val="0"/>
        <w:autoSpaceDE/>
        <w:autoSpaceDN/>
        <w:bidi w:val="0"/>
        <w:adjustRightInd/>
        <w:snapToGrid/>
        <w:spacing w:line="560" w:lineRule="exact"/>
        <w:ind w:left="10" w:leftChars="0" w:firstLine="579" w:firstLineChars="18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及时部署分工。按照《天津市津南区财政局关于组织</w:t>
      </w:r>
      <w:r>
        <w:rPr>
          <w:rFonts w:hint="eastAsia" w:ascii="Times New Roman" w:hAnsi="Times New Roman" w:eastAsia="仿宋_GB2312" w:cs="Times New Roman"/>
          <w:sz w:val="32"/>
          <w:szCs w:val="32"/>
          <w:lang w:val="en-US" w:eastAsia="zh-CN"/>
        </w:rPr>
        <w:t>2020年绩效管理自评工作的通知</w:t>
      </w:r>
      <w:r>
        <w:rPr>
          <w:rFonts w:hint="eastAsia" w:ascii="Times New Roman" w:hAnsi="Times New Roman" w:eastAsia="仿宋_GB2312" w:cs="Times New Roman"/>
          <w:sz w:val="32"/>
          <w:szCs w:val="32"/>
          <w:lang w:eastAsia="zh-CN"/>
        </w:rPr>
        <w:t>》要求，及时做好本单位</w:t>
      </w:r>
      <w:r>
        <w:rPr>
          <w:rFonts w:hint="eastAsia" w:ascii="Times New Roman" w:hAnsi="Times New Roman" w:eastAsia="仿宋_GB2312" w:cs="Times New Roman"/>
          <w:sz w:val="32"/>
          <w:szCs w:val="32"/>
          <w:lang w:val="en-US" w:eastAsia="zh-CN"/>
        </w:rPr>
        <w:t>2020年预算绩效自评分工，制定自评工作计划。</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579" w:firstLineChars="181"/>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精心组织实施。按照自评计划核实有关情况，总结全年项目完成情况，严格按照评价要求和项目特点选用评价方法开展综合分析。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579" w:firstLineChars="181"/>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撰写相关文字材料。按照财政部门要求，编写《项目支出绩效自评表》《项目支出绩效评价报告》。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56" w:firstLineChars="200"/>
        <w:jc w:val="both"/>
        <w:textAlignment w:val="auto"/>
        <w:rPr>
          <w:rFonts w:ascii="黑体" w:hAnsi="黑体" w:eastAsia="黑体" w:cs="Times New Roman"/>
          <w:spacing w:val="-4"/>
          <w:w w:val="105"/>
          <w:sz w:val="32"/>
          <w:szCs w:val="32"/>
          <w:lang w:eastAsia="zh-CN"/>
        </w:rPr>
      </w:pPr>
      <w:r>
        <w:rPr>
          <w:rFonts w:ascii="黑体" w:hAnsi="黑体" w:eastAsia="黑体" w:cs="Times New Roman"/>
          <w:spacing w:val="-4"/>
          <w:w w:val="105"/>
          <w:sz w:val="32"/>
          <w:szCs w:val="32"/>
          <w:lang w:eastAsia="zh-CN"/>
        </w:rPr>
        <w:t>综合评价情况及评价结论</w:t>
      </w:r>
    </w:p>
    <w:tbl>
      <w:tblPr>
        <w:tblStyle w:val="5"/>
        <w:tblW w:w="5379" w:type="pct"/>
        <w:tblInd w:w="0" w:type="dxa"/>
        <w:shd w:val="clear" w:color="auto" w:fill="auto"/>
        <w:tblLayout w:type="fixed"/>
        <w:tblCellMar>
          <w:top w:w="0" w:type="dxa"/>
          <w:left w:w="0" w:type="dxa"/>
          <w:bottom w:w="0" w:type="dxa"/>
          <w:right w:w="0" w:type="dxa"/>
        </w:tblCellMar>
      </w:tblPr>
      <w:tblGrid>
        <w:gridCol w:w="594"/>
        <w:gridCol w:w="664"/>
        <w:gridCol w:w="600"/>
        <w:gridCol w:w="1845"/>
        <w:gridCol w:w="520"/>
        <w:gridCol w:w="950"/>
        <w:gridCol w:w="1170"/>
        <w:gridCol w:w="15"/>
        <w:gridCol w:w="336"/>
        <w:gridCol w:w="99"/>
        <w:gridCol w:w="258"/>
        <w:gridCol w:w="237"/>
        <w:gridCol w:w="120"/>
        <w:gridCol w:w="540"/>
        <w:gridCol w:w="900"/>
        <w:gridCol w:w="90"/>
        <w:gridCol w:w="30"/>
      </w:tblGrid>
      <w:tr>
        <w:tblPrEx>
          <w:shd w:val="clear" w:color="auto" w:fill="auto"/>
          <w:tblCellMar>
            <w:top w:w="0" w:type="dxa"/>
            <w:left w:w="0" w:type="dxa"/>
            <w:bottom w:w="0" w:type="dxa"/>
            <w:right w:w="0" w:type="dxa"/>
          </w:tblCellMar>
        </w:tblPrEx>
        <w:trPr>
          <w:gridAfter w:val="2"/>
          <w:wAfter w:w="66" w:type="pct"/>
          <w:trHeight w:val="37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4601" w:type="pct"/>
            <w:gridSpan w:val="1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智慧津南项目运维及咨询费</w:t>
            </w:r>
          </w:p>
        </w:tc>
      </w:tr>
      <w:tr>
        <w:tblPrEx>
          <w:tblCellMar>
            <w:top w:w="0" w:type="dxa"/>
            <w:left w:w="0" w:type="dxa"/>
            <w:bottom w:w="0" w:type="dxa"/>
            <w:right w:w="0" w:type="dxa"/>
          </w:tblCellMar>
        </w:tblPrEx>
        <w:trPr>
          <w:gridAfter w:val="2"/>
          <w:wAfter w:w="66" w:type="pct"/>
          <w:trHeight w:val="379"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市级主管部门</w:t>
            </w:r>
          </w:p>
        </w:tc>
        <w:tc>
          <w:tcPr>
            <w:tcW w:w="17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项目实施</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2048"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天津市津南区大数据管理中心</w:t>
            </w:r>
          </w:p>
        </w:tc>
      </w:tr>
      <w:tr>
        <w:tblPrEx>
          <w:tblCellMar>
            <w:top w:w="0" w:type="dxa"/>
            <w:left w:w="0" w:type="dxa"/>
            <w:bottom w:w="0" w:type="dxa"/>
            <w:right w:w="0" w:type="dxa"/>
          </w:tblCellMar>
        </w:tblPrEx>
        <w:trPr>
          <w:gridAfter w:val="2"/>
          <w:wAfter w:w="66" w:type="pct"/>
          <w:trHeight w:val="690"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Style w:val="12"/>
                <w:lang w:val="en-US" w:eastAsia="zh-CN" w:bidi="ar"/>
              </w:rPr>
              <w:t>（万元）</w:t>
            </w:r>
          </w:p>
        </w:tc>
        <w:tc>
          <w:tcPr>
            <w:tcW w:w="37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8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50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CellMar>
            <w:top w:w="0" w:type="dxa"/>
            <w:left w:w="0" w:type="dxa"/>
            <w:bottom w:w="0" w:type="dxa"/>
            <w:right w:w="0" w:type="dxa"/>
          </w:tblCellMar>
        </w:tblPrEx>
        <w:trPr>
          <w:gridAfter w:val="2"/>
          <w:wAfter w:w="66" w:type="pct"/>
          <w:trHeight w:val="54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2837.8294</w:t>
            </w: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2635.204432</w:t>
            </w:r>
          </w:p>
        </w:tc>
        <w:tc>
          <w:tcPr>
            <w:tcW w:w="8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2635.204432</w:t>
            </w: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2"/>
          <w:wAfter w:w="66" w:type="pct"/>
          <w:trHeight w:val="54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其中：中央补助</w:t>
            </w:r>
          </w:p>
        </w:tc>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2"/>
          <w:wAfter w:w="66" w:type="pct"/>
          <w:trHeight w:val="54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市级资金</w:t>
            </w:r>
          </w:p>
        </w:tc>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2"/>
          <w:wAfter w:w="66" w:type="pct"/>
          <w:trHeight w:val="54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2"/>
                <w:lang w:val="en-US" w:eastAsia="zh-CN" w:bidi="ar"/>
              </w:rPr>
              <w:t xml:space="preserve">     其他资金</w:t>
            </w:r>
          </w:p>
        </w:tc>
        <w:tc>
          <w:tcPr>
            <w:tcW w:w="13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2"/>
          <w:wAfter w:w="66" w:type="pct"/>
          <w:trHeight w:val="465"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255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年初预期目标</w:t>
            </w:r>
          </w:p>
        </w:tc>
        <w:tc>
          <w:tcPr>
            <w:tcW w:w="2048"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年度实际完成情况</w:t>
            </w:r>
          </w:p>
        </w:tc>
      </w:tr>
      <w:tr>
        <w:tblPrEx>
          <w:tblCellMar>
            <w:top w:w="0" w:type="dxa"/>
            <w:left w:w="0" w:type="dxa"/>
            <w:bottom w:w="0" w:type="dxa"/>
            <w:right w:w="0" w:type="dxa"/>
          </w:tblCellMar>
        </w:tblPrEx>
        <w:trPr>
          <w:gridAfter w:val="2"/>
          <w:wAfter w:w="66" w:type="pct"/>
          <w:trHeight w:val="194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1.保障智慧津南及数据湖PPP项目合法合规推进，安全稳定完成PPP项目建设。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2.保障政府机房、智慧津南管理服务中心机房运行维护及安全防护等工作正常开展。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3.保障津南区OA办公系统能够持续做好运行维护工作。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4.保障视频监控系统正常运行。</w:t>
            </w:r>
          </w:p>
        </w:tc>
        <w:tc>
          <w:tcPr>
            <w:tcW w:w="2048"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全部完成</w:t>
            </w:r>
          </w:p>
        </w:tc>
      </w:tr>
      <w:tr>
        <w:tblPrEx>
          <w:tblCellMar>
            <w:top w:w="0" w:type="dxa"/>
            <w:left w:w="0" w:type="dxa"/>
            <w:bottom w:w="0" w:type="dxa"/>
            <w:right w:w="0" w:type="dxa"/>
          </w:tblCellMar>
        </w:tblPrEx>
        <w:trPr>
          <w:gridAfter w:val="2"/>
          <w:wAfter w:w="66" w:type="pct"/>
          <w:trHeight w:val="829" w:hRule="atLeast"/>
        </w:trPr>
        <w:tc>
          <w:tcPr>
            <w:tcW w:w="331"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w:t>
            </w:r>
          </w:p>
        </w:tc>
        <w:tc>
          <w:tcPr>
            <w:tcW w:w="37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w:t>
            </w:r>
            <w:r>
              <w:rPr>
                <w:rStyle w:val="12"/>
                <w:lang w:val="en-US" w:eastAsia="zh-CN" w:bidi="ar"/>
              </w:rPr>
              <w:t>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2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CellMar>
            <w:top w:w="0" w:type="dxa"/>
            <w:left w:w="0" w:type="dxa"/>
            <w:bottom w:w="0" w:type="dxa"/>
            <w:right w:w="0" w:type="dxa"/>
          </w:tblCellMar>
        </w:tblPrEx>
        <w:trPr>
          <w:gridAfter w:val="2"/>
          <w:wAfter w:w="66" w:type="pct"/>
          <w:trHeight w:val="96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w:t>
            </w:r>
            <w:r>
              <w:rPr>
                <w:rFonts w:hint="eastAsia" w:ascii="宋体" w:hAnsi="宋体" w:eastAsia="宋体" w:cs="宋体"/>
                <w:i w:val="0"/>
                <w:color w:val="000000"/>
                <w:kern w:val="0"/>
                <w:sz w:val="24"/>
                <w:szCs w:val="24"/>
                <w:u w:val="none"/>
                <w:lang w:val="en-US" w:eastAsia="zh-CN" w:bidi="ar"/>
              </w:rPr>
              <w:br w:type="textWrapping"/>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（50分）</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视频监控系统运维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数量</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2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6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96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机房运维数量</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96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电子政务外网运维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数量</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96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视频监控系统在线率</w:t>
            </w:r>
          </w:p>
        </w:tc>
        <w:tc>
          <w:tcPr>
            <w:tcW w:w="52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116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政府机房、智慧津南管理服务中心机房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安全运行</w:t>
            </w:r>
          </w:p>
        </w:tc>
        <w:tc>
          <w:tcPr>
            <w:tcW w:w="52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未发生系统故障</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未发生系统故障</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80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OA办公系统正常运行</w:t>
            </w:r>
          </w:p>
        </w:tc>
        <w:tc>
          <w:tcPr>
            <w:tcW w:w="52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未发生系统故障</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未发生系统故障</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98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智慧津南及数据湖PPP项目咨询按时开展</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达到要求</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达到要求</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82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每季度结束后组织视频监控系统运行考核</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达到要求</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达到要求</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2020年5月我单位与原信息中心、联通系统集成有限公司签订权利义务转让三方协议，2019年第四季度、2020年第一季度考核由原信息中心负责组织，款项由我单位支付</w:t>
            </w:r>
          </w:p>
        </w:tc>
      </w:tr>
      <w:tr>
        <w:tblPrEx>
          <w:tblCellMar>
            <w:top w:w="0" w:type="dxa"/>
            <w:left w:w="0" w:type="dxa"/>
            <w:bottom w:w="0" w:type="dxa"/>
            <w:right w:w="0" w:type="dxa"/>
          </w:tblCellMar>
        </w:tblPrEx>
        <w:trPr>
          <w:gridAfter w:val="1"/>
          <w:wAfter w:w="16" w:type="pct"/>
          <w:trHeight w:val="56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运维及咨询费</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≤2837.8294万元</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2635.204432万元</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1066"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（30分）</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120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做好运维工作，不断加强大数据安全保障</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力度</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达到</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达到效果</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104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做好咨询工作，确保项目合法合规开展</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达到</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达到效果</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1111"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6" w:type="pct"/>
          <w:trHeight w:val="880" w:hRule="atLeast"/>
        </w:trPr>
        <w:tc>
          <w:tcPr>
            <w:tcW w:w="331" w:type="pct"/>
            <w:vMerge w:val="continue"/>
            <w:tcBorders>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年内持续推进</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按照时间节点完成</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按照时间节点完成</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个别合同签订不及时</w:t>
            </w:r>
          </w:p>
        </w:tc>
      </w:tr>
      <w:tr>
        <w:tblPrEx>
          <w:tblCellMar>
            <w:top w:w="0" w:type="dxa"/>
            <w:left w:w="0" w:type="dxa"/>
            <w:bottom w:w="0" w:type="dxa"/>
            <w:right w:w="0" w:type="dxa"/>
          </w:tblCellMar>
        </w:tblPrEx>
        <w:trPr>
          <w:trHeight w:val="1020" w:hRule="atLeast"/>
        </w:trPr>
        <w:tc>
          <w:tcPr>
            <w:tcW w:w="331"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370"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1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视频监控系统运维满意度</w:t>
            </w:r>
          </w:p>
        </w:tc>
        <w:tc>
          <w:tcPr>
            <w:tcW w:w="5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达到</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要求</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未开展</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7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r>
      <w:tr>
        <w:tblPrEx>
          <w:tblCellMar>
            <w:top w:w="0" w:type="dxa"/>
            <w:left w:w="0" w:type="dxa"/>
            <w:bottom w:w="0" w:type="dxa"/>
            <w:right w:w="0" w:type="dxa"/>
          </w:tblCellMar>
        </w:tblPrEx>
        <w:trPr>
          <w:trHeight w:val="405" w:hRule="atLeast"/>
        </w:trPr>
        <w:tc>
          <w:tcPr>
            <w:tcW w:w="3536"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25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27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96</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spacing w:val="-4"/>
          <w:w w:val="105"/>
          <w:sz w:val="32"/>
          <w:szCs w:val="32"/>
          <w:lang w:eastAsia="zh-CN"/>
        </w:rPr>
      </w:pPr>
      <w:r>
        <w:rPr>
          <w:rFonts w:hint="eastAsia" w:ascii="Times New Roman" w:hAnsi="Times New Roman" w:eastAsia="仿宋_GB2312" w:cs="Times New Roman"/>
          <w:sz w:val="32"/>
          <w:szCs w:val="32"/>
          <w:lang w:eastAsia="zh-CN"/>
        </w:rPr>
        <w:t>该项目执行已完成年初项目绩效目标，资金使用合理。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jc w:val="both"/>
        <w:textAlignment w:val="auto"/>
        <w:rPr>
          <w:rFonts w:ascii="黑体" w:hAnsi="黑体" w:eastAsia="黑体" w:cs="Times New Roman"/>
          <w:spacing w:val="-4"/>
          <w:w w:val="105"/>
          <w:sz w:val="32"/>
          <w:szCs w:val="32"/>
          <w:lang w:eastAsia="zh-CN"/>
        </w:rPr>
      </w:pPr>
      <w:r>
        <w:rPr>
          <w:rFonts w:ascii="黑体" w:hAnsi="黑体" w:eastAsia="黑体" w:cs="Times New Roman"/>
          <w:spacing w:val="-4"/>
          <w:w w:val="105"/>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（一）项目决策情况</w:t>
      </w:r>
      <w:r>
        <w:rPr>
          <w:rFonts w:hint="eastAsia" w:ascii="楷体_GB2312" w:hAnsi="楷体_GB2312" w:eastAsia="楷体_GB2312" w:cs="楷体_GB2312"/>
          <w:spacing w:val="-115"/>
          <w:sz w:val="32"/>
          <w:szCs w:val="32"/>
          <w:lang w:eastAsia="zh-CN"/>
        </w:rPr>
        <w:t xml:space="preserve"> </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该项目为运维类项目，非一次性项目，</w:t>
      </w:r>
      <w:r>
        <w:rPr>
          <w:rFonts w:hint="eastAsia" w:ascii="Times New Roman" w:hAnsi="Times New Roman" w:eastAsia="仿宋_GB2312" w:cs="Times New Roman"/>
          <w:sz w:val="32"/>
          <w:szCs w:val="32"/>
          <w:lang w:val="en-US" w:eastAsia="zh-CN"/>
        </w:rPr>
        <w:t>依据原信息中心提供上一年运维及光纤租赁需求及智慧津南PPP项目推进工作实际需要编制。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该项目绩效目标设定合理，符合客观实际，能够提现运维及咨询工作特点，各级绩效指标明确，能够反映目标完成情况，且清晰、细化、可衡量。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81" w:firstLine="320" w:firstLineChars="1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3.资金投入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该项目年度预算基本满足了实际需要，并按照“过紧日子”的要求落实了预算核减，基本保证了运维中各线路、机房、系统安全运行，预算编制科学，资金分配合理。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pacing w:val="-44"/>
          <w:w w:val="80"/>
          <w:sz w:val="32"/>
          <w:szCs w:val="32"/>
          <w:lang w:eastAsia="zh-CN"/>
        </w:rPr>
        <w:t xml:space="preserve"> </w:t>
      </w:r>
      <w:r>
        <w:rPr>
          <w:rFonts w:hint="eastAsia" w:ascii="楷体_GB2312" w:hAnsi="楷体_GB2312" w:eastAsia="楷体_GB2312" w:cs="楷体_GB2312"/>
          <w:sz w:val="32"/>
          <w:szCs w:val="32"/>
          <w:lang w:eastAsia="zh-CN"/>
        </w:rPr>
        <w:t>项目过程情况</w:t>
      </w:r>
      <w:r>
        <w:rPr>
          <w:rFonts w:hint="eastAsia" w:ascii="楷体_GB2312" w:hAnsi="楷体_GB2312" w:eastAsia="楷体_GB2312" w:cs="楷体_GB2312"/>
          <w:spacing w:val="-115"/>
          <w:sz w:val="32"/>
          <w:szCs w:val="32"/>
          <w:lang w:eastAsia="zh-CN"/>
        </w:rPr>
        <w:t xml:space="preserve"> </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因受新冠肺炎疫情影响，该项目于2020年二季度启动，同时原由区原信息中心签订的各类线路租赁合同、运维合同，经“三重一大”程序变更了执行主体。项目资金支付严格履行审批相关手续，过程合理、合规。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96" w:firstLine="320" w:firstLineChars="1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（三）项目产出情况</w:t>
      </w:r>
      <w:r>
        <w:rPr>
          <w:rFonts w:hint="eastAsia" w:ascii="楷体_GB2312" w:hAnsi="楷体_GB2312" w:eastAsia="楷体_GB2312" w:cs="楷体_GB2312"/>
          <w:spacing w:val="-115"/>
          <w:sz w:val="32"/>
          <w:szCs w:val="32"/>
          <w:lang w:eastAsia="zh-CN"/>
        </w:rPr>
        <w:t xml:space="preserve"> </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 w:leftChars="5" w:firstLine="736" w:firstLineChars="23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产出指标完成情况：数量指标完成率100%，产出质量指标达标率100%，时效指标完成率90%，成本指标完成100%。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7" w:firstLineChars="196"/>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 w:leftChars="5" w:firstLine="419" w:firstLineChars="131"/>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效益指标完成情况：社会效益指标完成率100%、可持</w:t>
      </w:r>
      <w:bookmarkStart w:id="0" w:name="_GoBack"/>
      <w:bookmarkEnd w:id="0"/>
      <w:r>
        <w:rPr>
          <w:rFonts w:hint="eastAsia" w:ascii="Times New Roman" w:hAnsi="Times New Roman" w:eastAsia="仿宋_GB2312" w:cs="Times New Roman"/>
          <w:sz w:val="32"/>
          <w:szCs w:val="32"/>
          <w:lang w:val="en-US" w:eastAsia="zh-CN"/>
        </w:rPr>
        <w:t>续影响指标完成率80%、服务对象满意度指标完成率100%。</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56" w:firstLineChars="200"/>
        <w:jc w:val="both"/>
        <w:textAlignment w:val="auto"/>
        <w:rPr>
          <w:rFonts w:ascii="黑体" w:hAnsi="黑体" w:eastAsia="黑体" w:cs="Times New Roman"/>
          <w:spacing w:val="-4"/>
          <w:w w:val="105"/>
          <w:sz w:val="32"/>
          <w:szCs w:val="32"/>
          <w:lang w:eastAsia="zh-CN"/>
        </w:rPr>
      </w:pPr>
      <w:r>
        <w:rPr>
          <w:rFonts w:ascii="黑体" w:hAnsi="黑体" w:eastAsia="黑体" w:cs="Times New Roman"/>
          <w:spacing w:val="-4"/>
          <w:w w:val="105"/>
          <w:sz w:val="32"/>
          <w:szCs w:val="32"/>
          <w:lang w:eastAsia="zh-CN"/>
        </w:rPr>
        <w:t>主要经验及做法</w:t>
      </w:r>
      <w:r>
        <w:rPr>
          <w:rFonts w:hint="eastAsia" w:ascii="黑体" w:hAnsi="黑体" w:eastAsia="黑体" w:cs="Times New Roman"/>
          <w:spacing w:val="-4"/>
          <w:w w:val="105"/>
          <w:sz w:val="32"/>
          <w:szCs w:val="32"/>
          <w:lang w:eastAsia="zh-CN"/>
        </w:rPr>
        <w:t>、</w:t>
      </w:r>
      <w:r>
        <w:rPr>
          <w:rFonts w:ascii="黑体" w:hAnsi="黑体" w:eastAsia="黑体" w:cs="Times New Roman"/>
          <w:spacing w:val="-4"/>
          <w:w w:val="105"/>
          <w:sz w:val="32"/>
          <w:szCs w:val="32"/>
          <w:lang w:eastAsia="zh-CN"/>
        </w:rPr>
        <w:t xml:space="preserve">存在的问题及原因分析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Times New Roman"/>
          <w:spacing w:val="-4"/>
          <w:w w:val="105"/>
          <w:sz w:val="32"/>
          <w:szCs w:val="32"/>
          <w:lang w:val="en-US" w:eastAsia="zh-CN"/>
        </w:rPr>
      </w:pPr>
      <w:r>
        <w:rPr>
          <w:rFonts w:hint="eastAsia" w:ascii="Times New Roman" w:hAnsi="Times New Roman" w:eastAsia="仿宋_GB2312" w:cs="Times New Roman"/>
          <w:sz w:val="32"/>
          <w:szCs w:val="32"/>
          <w:lang w:val="en-US" w:eastAsia="zh-CN"/>
        </w:rPr>
        <w:t>认真组织学习区财政印发的各类预算绩效管理文件，业务科与财务部门相结合共同研究绩效目标指标设定以及完成情况，做到客观、公正评价。但该项目实施前受新冠肺炎疫情影响，启动时间较晚，同时因光纤租赁、运维合同等需原信息中心进行权利义务转让，出现个别合同签订不及时现象。视频监控系统主要服务于社会治安治理，每月由我单位与区公安分局进行抽查，按季度打分，存在以考核结果替代运维满意度调查的情况。</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ascii="黑体" w:hAnsi="黑体" w:eastAsia="黑体" w:cs="Times New Roman"/>
          <w:spacing w:val="-4"/>
          <w:w w:val="105"/>
          <w:sz w:val="32"/>
          <w:szCs w:val="32"/>
          <w:lang w:eastAsia="zh-CN"/>
        </w:rPr>
      </w:pPr>
      <w:r>
        <w:rPr>
          <w:rFonts w:hint="eastAsia" w:ascii="黑体" w:hAnsi="黑体" w:eastAsia="黑体" w:cs="Times New Roman"/>
          <w:spacing w:val="-4"/>
          <w:w w:val="105"/>
          <w:sz w:val="32"/>
          <w:szCs w:val="32"/>
          <w:lang w:eastAsia="zh-CN"/>
        </w:rPr>
        <w:t>五</w:t>
      </w:r>
      <w:r>
        <w:rPr>
          <w:rFonts w:ascii="黑体" w:hAnsi="黑体" w:eastAsia="黑体" w:cs="Times New Roman"/>
          <w:spacing w:val="-4"/>
          <w:w w:val="105"/>
          <w:sz w:val="32"/>
          <w:szCs w:val="32"/>
          <w:lang w:eastAsia="zh-CN"/>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04" w:firstLineChars="22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ascii="黑体" w:hAnsi="黑体" w:eastAsia="黑体" w:cs="Times New Roman"/>
          <w:spacing w:val="-4"/>
          <w:w w:val="105"/>
          <w:sz w:val="32"/>
          <w:szCs w:val="32"/>
          <w:lang w:eastAsia="zh-CN"/>
        </w:rPr>
      </w:pPr>
      <w:r>
        <w:rPr>
          <w:rFonts w:hint="eastAsia" w:ascii="黑体" w:hAnsi="黑体" w:eastAsia="黑体" w:cs="Times New Roman"/>
          <w:spacing w:val="-4"/>
          <w:w w:val="105"/>
          <w:sz w:val="32"/>
          <w:szCs w:val="32"/>
          <w:lang w:eastAsia="zh-CN"/>
        </w:rPr>
        <w:t>六</w:t>
      </w:r>
      <w:r>
        <w:rPr>
          <w:rFonts w:ascii="黑体" w:hAnsi="黑体" w:eastAsia="黑体" w:cs="Times New Roman"/>
          <w:spacing w:val="-4"/>
          <w:w w:val="105"/>
          <w:sz w:val="32"/>
          <w:szCs w:val="32"/>
          <w:lang w:eastAsia="zh-CN"/>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C742"/>
    <w:multiLevelType w:val="singleLevel"/>
    <w:tmpl w:val="126CC742"/>
    <w:lvl w:ilvl="0" w:tentative="0">
      <w:start w:val="1"/>
      <w:numFmt w:val="decimal"/>
      <w:suff w:val="space"/>
      <w:lvlText w:val="%1."/>
      <w:lvlJc w:val="left"/>
      <w:pPr>
        <w:ind w:left="590" w:leftChars="0" w:firstLine="0" w:firstLineChars="0"/>
      </w:pPr>
    </w:lvl>
  </w:abstractNum>
  <w:abstractNum w:abstractNumId="1">
    <w:nsid w:val="5DB579D4"/>
    <w:multiLevelType w:val="singleLevel"/>
    <w:tmpl w:val="5DB579D4"/>
    <w:lvl w:ilvl="0" w:tentative="0">
      <w:start w:val="3"/>
      <w:numFmt w:val="chineseCounting"/>
      <w:suff w:val="nothing"/>
      <w:lvlText w:val="%1、"/>
      <w:lvlJc w:val="left"/>
      <w:rPr>
        <w:rFonts w:hint="eastAsia"/>
      </w:rPr>
    </w:lvl>
  </w:abstractNum>
  <w:abstractNum w:abstractNumId="2">
    <w:nsid w:val="6CC9EFD4"/>
    <w:multiLevelType w:val="singleLevel"/>
    <w:tmpl w:val="6CC9EFD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3A"/>
    <w:rsid w:val="0018594E"/>
    <w:rsid w:val="001A7DA4"/>
    <w:rsid w:val="001F559F"/>
    <w:rsid w:val="002115F8"/>
    <w:rsid w:val="0023167C"/>
    <w:rsid w:val="003F6596"/>
    <w:rsid w:val="00570CA9"/>
    <w:rsid w:val="005D0F6C"/>
    <w:rsid w:val="005E289A"/>
    <w:rsid w:val="006C1B32"/>
    <w:rsid w:val="00904B0D"/>
    <w:rsid w:val="00BF2C55"/>
    <w:rsid w:val="00C10147"/>
    <w:rsid w:val="00D02C5B"/>
    <w:rsid w:val="00D10FF2"/>
    <w:rsid w:val="00D27F3A"/>
    <w:rsid w:val="00E85715"/>
    <w:rsid w:val="023E7296"/>
    <w:rsid w:val="0540431B"/>
    <w:rsid w:val="13B84B04"/>
    <w:rsid w:val="24376AF6"/>
    <w:rsid w:val="2BBE512D"/>
    <w:rsid w:val="588C5FF3"/>
    <w:rsid w:val="5C183908"/>
    <w:rsid w:val="65525996"/>
    <w:rsid w:val="755E0FAF"/>
    <w:rsid w:val="76CD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kern w:val="0"/>
      <w:sz w:val="22"/>
      <w:szCs w:val="22"/>
      <w:lang w:val="en-US" w:eastAsia="en-US" w:bidi="ar-SA"/>
    </w:rPr>
  </w:style>
  <w:style w:type="paragraph" w:styleId="2">
    <w:name w:val="heading 1"/>
    <w:basedOn w:val="1"/>
    <w:next w:val="1"/>
    <w:link w:val="7"/>
    <w:qFormat/>
    <w:uiPriority w:val="1"/>
    <w:pPr>
      <w:outlineLvl w:val="0"/>
    </w:pPr>
    <w:rPr>
      <w:rFonts w:ascii="宋体" w:hAnsi="宋体" w:eastAsia="宋体"/>
      <w:sz w:val="33"/>
      <w:szCs w:val="33"/>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1"/>
    <w:rPr>
      <w:rFonts w:ascii="宋体" w:hAnsi="宋体" w:eastAsia="宋体"/>
      <w:kern w:val="0"/>
      <w:sz w:val="33"/>
      <w:szCs w:val="33"/>
      <w:lang w:eastAsia="en-US"/>
    </w:rPr>
  </w:style>
  <w:style w:type="character" w:customStyle="1" w:styleId="8">
    <w:name w:val="页眉 Char"/>
    <w:basedOn w:val="6"/>
    <w:link w:val="4"/>
    <w:qFormat/>
    <w:uiPriority w:val="99"/>
    <w:rPr>
      <w:kern w:val="0"/>
      <w:sz w:val="18"/>
      <w:szCs w:val="18"/>
      <w:lang w:eastAsia="en-US"/>
    </w:rPr>
  </w:style>
  <w:style w:type="character" w:customStyle="1" w:styleId="9">
    <w:name w:val="页脚 Char"/>
    <w:basedOn w:val="6"/>
    <w:link w:val="3"/>
    <w:qFormat/>
    <w:uiPriority w:val="99"/>
    <w:rPr>
      <w:kern w:val="0"/>
      <w:sz w:val="18"/>
      <w:szCs w:val="18"/>
      <w:lang w:eastAsia="en-US"/>
    </w:rPr>
  </w:style>
  <w:style w:type="character" w:customStyle="1" w:styleId="10">
    <w:name w:val="font21"/>
    <w:basedOn w:val="6"/>
    <w:qFormat/>
    <w:uiPriority w:val="0"/>
    <w:rPr>
      <w:rFonts w:hint="default" w:ascii="Arial" w:hAnsi="Arial" w:cs="Arial"/>
      <w:color w:val="000000"/>
      <w:sz w:val="24"/>
      <w:szCs w:val="24"/>
      <w:u w:val="none"/>
    </w:rPr>
  </w:style>
  <w:style w:type="character" w:customStyle="1" w:styleId="11">
    <w:name w:val="font31"/>
    <w:basedOn w:val="6"/>
    <w:uiPriority w:val="0"/>
    <w:rPr>
      <w:rFonts w:hint="eastAsia" w:ascii="宋体" w:hAnsi="宋体" w:eastAsia="宋体" w:cs="宋体"/>
      <w:color w:val="000000"/>
      <w:sz w:val="24"/>
      <w:szCs w:val="24"/>
      <w:u w:val="none"/>
    </w:rPr>
  </w:style>
  <w:style w:type="character" w:customStyle="1" w:styleId="12">
    <w:name w:val="font6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212</Words>
  <Characters>1213</Characters>
  <Lines>10</Lines>
  <Paragraphs>2</Paragraphs>
  <TotalTime>126</TotalTime>
  <ScaleCrop>false</ScaleCrop>
  <LinksUpToDate>false</LinksUpToDate>
  <CharactersWithSpaces>1423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2020-08-06T08:16:00Z</dcterms:created>
  <dc:creator>于喆</dc:creator>
  <cp:lastModifiedBy>lenovo</cp:lastModifiedBy>
  <cp:lastPrinted>2021-05-19T09:29:00Z</cp:lastPrinted>
  <dcterms:modified xsi:type="dcterms:W3CDTF">2021-06-09T07:47:57Z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9A1C4AA0EDBF42EE8EEF2B975E2FC001</vt:lpwstr>
  </property>
</Properties>
</file>