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ackground w:color="ffffff">
    <v:background id="_x0000_s1025" filled="t"/>
  </w:background>
  <w:body>
    <w:p w14:paraId="771A5F97">
      <w:pPr>
        <w:pageBreakBefore w:val="0"/>
        <w:kinsoku/>
        <w:wordWrap/>
        <w:overflowPunct/>
        <w:topLinePunct w:val="0"/>
        <w:autoSpaceDE/>
        <w:autoSpaceDN/>
        <w:bidi w:val="0"/>
        <w:snapToGrid/>
        <w:spacing w:line="240" w:lineRule="auto"/>
        <w:rPr>
          <w:rFonts w:ascii="黑体" w:eastAsia="黑体" w:hAnsi="黑体" w:cs="黑体" w:hint="default"/>
          <w:w w:val="95"/>
          <w:sz w:val="32"/>
          <w:szCs w:val="32"/>
          <w:highlight w:val="none"/>
          <w:lang w:val="en"/>
        </w:rPr>
      </w:pPr>
    </w:p>
    <w:p w14:paraId="47B8FD34">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2D3CB1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51C4B0F">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7A7ADD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4E2FD57">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05DFB5D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EC8359E">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B49755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7F5E6F1">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lang w:val="en-US" w:eastAsia="zh-CN"/>
        </w:rPr>
      </w:pPr>
      <w:r>
        <w:rPr>
          <w:rFonts w:ascii="方正小标宋简体" w:eastAsia="方正小标宋简体" w:hAnsi="方正小标宋简体" w:cs="方正小标宋简体" w:hint="eastAsia"/>
          <w:sz w:val="48"/>
          <w:szCs w:val="48"/>
          <w:highlight w:val="none"/>
          <w:lang w:val="en-US" w:eastAsia="zh-CN"/>
        </w:rPr>
        <w:t>天津市津南区第十幼儿园</w:t>
      </w:r>
    </w:p>
    <w:p w14:paraId="6C77533C">
      <w:pPr>
        <w:pageBreakBefore w:val="0"/>
        <w:kinsoku/>
        <w:wordWrap/>
        <w:overflowPunct/>
        <w:topLinePunct w:val="0"/>
        <w:autoSpaceDE/>
        <w:autoSpaceDN/>
        <w:bidi w:val="0"/>
        <w:snapToGrid/>
        <w:spacing w:line="240" w:lineRule="auto"/>
        <w:jc w:val="center"/>
        <w:rPr>
          <w:rFonts w:ascii="黑体" w:eastAsia="黑体" w:hint="eastAsia"/>
          <w:sz w:val="30"/>
          <w:szCs w:val="30"/>
          <w:highlight w:val="none"/>
        </w:rPr>
      </w:pPr>
      <w:r>
        <w:rPr>
          <w:rFonts w:ascii="方正小标宋简体" w:eastAsia="方正小标宋简体" w:hAnsi="方正小标宋简体" w:cs="方正小标宋简体" w:hint="eastAsia"/>
          <w:sz w:val="48"/>
          <w:szCs w:val="48"/>
          <w:highlight w:val="none"/>
          <w:lang w:eastAsia="zh-CN"/>
        </w:rPr>
        <w:t>202</w:t>
      </w:r>
      <w:r>
        <w:rPr>
          <w:rFonts w:ascii="方正小标宋简体" w:eastAsia="方正小标宋简体" w:hAnsi="方正小标宋简体" w:cs="方正小标宋简体" w:hint="eastAsia"/>
          <w:sz w:val="48"/>
          <w:szCs w:val="48"/>
          <w:highlight w:val="none"/>
          <w:lang w:val="en-US" w:eastAsia="zh-CN"/>
        </w:rPr>
        <w:t>3</w:t>
      </w:r>
      <w:r>
        <w:rPr>
          <w:rFonts w:ascii="方正小标宋简体" w:eastAsia="方正小标宋简体" w:hAnsi="方正小标宋简体" w:cs="方正小标宋简体" w:hint="eastAsia"/>
          <w:sz w:val="48"/>
          <w:szCs w:val="48"/>
          <w:highlight w:val="none"/>
        </w:rPr>
        <w:t>年度部门决算</w:t>
      </w:r>
    </w:p>
    <w:p w14:paraId="527484CF">
      <w:pPr>
        <w:pageBreakBefore w:val="0"/>
        <w:kinsoku/>
        <w:wordWrap/>
        <w:overflowPunct/>
        <w:topLinePunct w:val="0"/>
        <w:autoSpaceDE/>
        <w:autoSpaceDN/>
        <w:bidi w:val="0"/>
        <w:snapToGrid/>
        <w:spacing w:line="580" w:lineRule="exact"/>
        <w:jc w:val="center"/>
        <w:rPr>
          <w:rFonts w:ascii="黑体" w:eastAsia="黑体" w:hint="eastAsia"/>
          <w:sz w:val="44"/>
          <w:szCs w:val="44"/>
          <w:highlight w:val="none"/>
        </w:rPr>
      </w:pPr>
    </w:p>
    <w:p w14:paraId="5EF768AF">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sectPr>
          <w:pgSz w:w="11906" w:h="16838"/>
          <w:pgMar w:top="1440" w:right="1800" w:bottom="1440" w:left="1800" w:header="851" w:footer="992" w:gutter="0"/>
          <w:pgNumType w:start="1"/>
          <w:cols w:num="1" w:space="720"/>
          <w:docGrid w:type="lines" w:linePitch="312" w:charSpace="0"/>
        </w:sectPr>
      </w:pPr>
    </w:p>
    <w:p w14:paraId="5FE03D61">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pPr>
    </w:p>
    <w:p w14:paraId="340F20B9">
      <w:pPr>
        <w:pageBreakBefore w:val="0"/>
        <w:kinsoku/>
        <w:wordWrap/>
        <w:overflowPunct/>
        <w:topLinePunct w:val="0"/>
        <w:autoSpaceDE/>
        <w:autoSpaceDN/>
        <w:bidi w:val="0"/>
        <w:snapToGrid/>
        <w:spacing w:line="600" w:lineRule="exact"/>
        <w:jc w:val="center"/>
        <w:rPr>
          <w:rFonts w:ascii="黑体" w:eastAsia="黑体" w:hint="eastAsia"/>
          <w:sz w:val="44"/>
          <w:szCs w:val="44"/>
        </w:rPr>
      </w:pPr>
      <w:r>
        <w:rPr>
          <w:rFonts w:ascii="黑体" w:eastAsia="黑体" w:hint="eastAsia"/>
          <w:sz w:val="44"/>
          <w:szCs w:val="44"/>
        </w:rPr>
        <w:t>目   录</w:t>
      </w:r>
    </w:p>
    <w:p w14:paraId="37D8886D">
      <w:pPr>
        <w:pageBreakBefore w:val="0"/>
        <w:kinsoku/>
        <w:wordWrap/>
        <w:overflowPunct/>
        <w:topLinePunct w:val="0"/>
        <w:autoSpaceDE/>
        <w:autoSpaceDN/>
        <w:bidi w:val="0"/>
        <w:snapToGrid/>
        <w:spacing w:line="600" w:lineRule="exact"/>
        <w:rPr>
          <w:rFonts w:ascii="黑体" w:eastAsia="黑体" w:hint="eastAsia"/>
          <w:sz w:val="30"/>
          <w:szCs w:val="30"/>
          <w:highlight w:val="none"/>
        </w:rPr>
      </w:pPr>
    </w:p>
    <w:p w14:paraId="7A1C0097">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r>
        <w:rPr>
          <w:rFonts w:ascii="Times New Roman" w:eastAsia="仿宋_GB2312" w:hAnsi="Times New Roman" w:cs="Times New Roman"/>
          <w:sz w:val="30"/>
          <w:szCs w:val="30"/>
          <w:highlight w:val="none"/>
        </w:rPr>
        <w:fldChar w:fldCharType="begin"/>
      </w:r>
      <w:r>
        <w:rPr>
          <w:rFonts w:ascii="Times New Roman" w:eastAsia="仿宋_GB2312" w:hAnsi="Times New Roman" w:cs="Times New Roman"/>
          <w:sz w:val="30"/>
          <w:szCs w:val="30"/>
          <w:highlight w:val="none"/>
        </w:rPr>
        <w:instrText xml:space="preserve"> TOC \o "1-3" \h \z \u </w:instrText>
      </w:r>
      <w:r>
        <w:rPr>
          <w:rFonts w:ascii="Times New Roman" w:eastAsia="仿宋_GB2312" w:hAnsi="Times New Roman" w:cs="Times New Roman"/>
          <w:sz w:val="30"/>
          <w:szCs w:val="30"/>
          <w:highlight w:val="none"/>
        </w:rPr>
        <w:fldChar w:fldCharType="separate"/>
      </w:r>
      <w:hyperlink w:anchor="_Toc7076" w:history="1">
        <w:r>
          <w:rPr>
            <w:rFonts w:ascii="方正小标宋简体" w:eastAsia="方正小标宋简体" w:hAnsi="方正小标宋简体" w:cs="方正小标宋简体" w:hint="eastAsia"/>
            <w:b w:val="0"/>
            <w:bCs w:val="0"/>
            <w:sz w:val="30"/>
            <w:szCs w:val="30"/>
            <w:highlight w:val="none"/>
          </w:rPr>
          <w:t>第一部分  概 况</w:t>
        </w:r>
        <w:r>
          <w:rPr>
            <w:rFonts w:ascii="方正小标宋简体" w:eastAsia="方正小标宋简体" w:hAnsi="方正小标宋简体" w:cs="方正小标宋简体" w:hint="eastAsia"/>
            <w:b w:val="0"/>
            <w:bCs w:val="0"/>
            <w:sz w:val="30"/>
            <w:szCs w:val="30"/>
          </w:rPr>
          <w:tab/>
        </w:r>
        <w:r>
          <w:rPr>
            <w:rFonts w:ascii="方正小标宋简体" w:eastAsia="方正小标宋简体" w:hAnsi="方正小标宋简体" w:cs="方正小标宋简体" w:hint="eastAsia"/>
            <w:b w:val="0"/>
            <w:bCs w:val="0"/>
            <w:sz w:val="30"/>
            <w:szCs w:val="30"/>
          </w:rPr>
          <w:fldChar w:fldCharType="begin"/>
        </w:r>
        <w:r>
          <w:rPr>
            <w:rFonts w:ascii="方正小标宋简体" w:eastAsia="方正小标宋简体" w:hAnsi="方正小标宋简体" w:cs="方正小标宋简体" w:hint="eastAsia"/>
            <w:b w:val="0"/>
            <w:bCs w:val="0"/>
            <w:sz w:val="30"/>
            <w:szCs w:val="30"/>
          </w:rPr>
          <w:instrText xml:space="preserve"> PAGEREF _Toc7076 </w:instrText>
        </w:r>
        <w:r>
          <w:rPr>
            <w:rFonts w:ascii="方正小标宋简体" w:eastAsia="方正小标宋简体" w:hAnsi="方正小标宋简体" w:cs="方正小标宋简体" w:hint="eastAsia"/>
            <w:b w:val="0"/>
            <w:bCs w:val="0"/>
            <w:sz w:val="30"/>
            <w:szCs w:val="30"/>
          </w:rPr>
          <w:fldChar w:fldCharType="separate"/>
        </w:r>
        <w:r>
          <w:rPr>
            <w:rFonts w:ascii="方正小标宋简体" w:eastAsia="方正小标宋简体" w:hAnsi="方正小标宋简体" w:cs="方正小标宋简体" w:hint="eastAsia"/>
            <w:b w:val="0"/>
            <w:bCs w:val="0"/>
            <w:sz w:val="30"/>
            <w:szCs w:val="30"/>
          </w:rPr>
          <w:t>1</w:t>
        </w:r>
        <w:r>
          <w:rPr>
            <w:rFonts w:ascii="方正小标宋简体" w:eastAsia="方正小标宋简体" w:hAnsi="方正小标宋简体" w:cs="方正小标宋简体" w:hint="eastAsia"/>
            <w:b w:val="0"/>
            <w:bCs w:val="0"/>
            <w:sz w:val="30"/>
            <w:szCs w:val="30"/>
          </w:rPr>
          <w:fldChar w:fldCharType="end"/>
        </w:r>
      </w:hyperlink>
    </w:p>
    <w:p w14:paraId="255B2CE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809" w:history="1">
        <w:r>
          <w:rPr>
            <w:rFonts w:ascii="仿宋_GB2312" w:eastAsia="仿宋_GB2312" w:hAnsi="仿宋_GB2312" w:cs="仿宋_GB2312" w:hint="eastAsia"/>
            <w:bCs w:val="0"/>
            <w:sz w:val="30"/>
            <w:szCs w:val="30"/>
            <w:highlight w:val="none"/>
          </w:rPr>
          <w:t>一、主要职责</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_Toc13809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3CEA7295">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0426" w:history="1">
        <w:r>
          <w:rPr>
            <w:rFonts w:ascii="仿宋_GB2312" w:eastAsia="仿宋_GB2312" w:hAnsi="仿宋_GB2312" w:cs="仿宋_GB2312" w:hint="eastAsia"/>
            <w:bCs w:val="0"/>
            <w:sz w:val="30"/>
            <w:szCs w:val="30"/>
            <w:highlight w:val="none"/>
          </w:rPr>
          <w:t>二、机构设置</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_Toc20426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63E6C9E8">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5731" w:history="1">
        <w:r>
          <w:rPr>
            <w:rFonts w:ascii="方正小标宋简体" w:eastAsia="方正小标宋简体" w:hAnsi="方正小标宋简体" w:cs="方正小标宋简体" w:hint="eastAsia"/>
            <w:b w:val="0"/>
            <w:bCs w:val="0"/>
            <w:sz w:val="30"/>
            <w:szCs w:val="30"/>
            <w:highlight w:val="none"/>
          </w:rPr>
          <w:t xml:space="preserve">第二部分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年度部门决算表</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_Toc15731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2</w:t>
        </w:r>
        <w:r>
          <w:rPr>
            <w:rFonts w:ascii="方正小标宋简体" w:eastAsia="方正小标宋简体" w:hAnsi="方正小标宋简体" w:cs="方正小标宋简体" w:hint="eastAsia"/>
            <w:b w:val="0"/>
            <w:bCs w:val="0"/>
            <w:sz w:val="30"/>
            <w:szCs w:val="30"/>
            <w:highlight w:val="none"/>
          </w:rPr>
          <w:fldChar w:fldCharType="end"/>
        </w:r>
      </w:hyperlink>
    </w:p>
    <w:p w14:paraId="5745C42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843" w:history="1">
        <w:r>
          <w:rPr>
            <w:rFonts w:ascii="仿宋_GB2312" w:eastAsia="仿宋_GB2312" w:hAnsi="仿宋_GB2312" w:cs="仿宋_GB2312" w:hint="eastAsia"/>
            <w:sz w:val="30"/>
            <w:szCs w:val="30"/>
            <w:highlight w:val="none"/>
          </w:rPr>
          <w:t>一、《收入支出决算总表》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_Toc8843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E3AED2">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52" w:history="1">
        <w:r>
          <w:rPr>
            <w:rFonts w:ascii="仿宋_GB2312" w:eastAsia="仿宋_GB2312" w:hAnsi="仿宋_GB2312" w:cs="仿宋_GB2312" w:hint="eastAsia"/>
            <w:sz w:val="30"/>
            <w:szCs w:val="30"/>
            <w:highlight w:val="none"/>
          </w:rPr>
          <w:t>二、《收入决算表（按功能分类列示）》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_Toc2552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C7371C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841" w:history="1">
        <w:r>
          <w:rPr>
            <w:rFonts w:ascii="仿宋_GB2312" w:eastAsia="仿宋_GB2312" w:hAnsi="仿宋_GB2312" w:cs="仿宋_GB2312" w:hint="eastAsia"/>
            <w:sz w:val="30"/>
            <w:szCs w:val="30"/>
            <w:highlight w:val="none"/>
          </w:rPr>
          <w:t>三、《收入决算表（按单位列示）》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_Toc27841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257E23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617" w:history="1">
        <w:r>
          <w:rPr>
            <w:rFonts w:ascii="仿宋_GB2312" w:eastAsia="仿宋_GB2312" w:hAnsi="仿宋_GB2312" w:cs="仿宋_GB2312" w:hint="eastAsia"/>
            <w:sz w:val="30"/>
            <w:szCs w:val="30"/>
            <w:highlight w:val="none"/>
          </w:rPr>
          <w:t>四、《支出决算表》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_Toc8617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5B1ED0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763" w:history="1">
        <w:r>
          <w:rPr>
            <w:rFonts w:ascii="仿宋_GB2312" w:eastAsia="仿宋_GB2312" w:hAnsi="仿宋_GB2312" w:cs="仿宋_GB2312" w:hint="eastAsia"/>
            <w:sz w:val="30"/>
            <w:szCs w:val="30"/>
            <w:highlight w:val="none"/>
          </w:rPr>
          <w:t>五、《财政拨款收入支出决算总表》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_Toc12763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C6C4D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4693" w:history="1">
        <w:r>
          <w:rPr>
            <w:rFonts w:ascii="仿宋_GB2312" w:eastAsia="仿宋_GB2312" w:hAnsi="仿宋_GB2312" w:cs="仿宋_GB2312" w:hint="eastAsia"/>
            <w:sz w:val="30"/>
            <w:szCs w:val="30"/>
            <w:highlight w:val="none"/>
          </w:rPr>
          <w:t>六、《一般公共预算财政拨款支出决算表》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_Toc24693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C8D7AA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25" w:history="1">
        <w:r>
          <w:rPr>
            <w:rFonts w:ascii="仿宋_GB2312" w:eastAsia="仿宋_GB2312" w:hAnsi="仿宋_GB2312" w:cs="仿宋_GB2312" w:hint="eastAsia"/>
            <w:sz w:val="30"/>
            <w:szCs w:val="30"/>
            <w:highlight w:val="none"/>
          </w:rPr>
          <w:t>七、《一般公共预算财政拨款基本支出决算表》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_Toc13125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2271CE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248"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、《政府性基金预算财政拨款收入支出决算表》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_Toc27248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1ECC3FF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5066"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、《国有资本经营预算财政拨款收入支出决算表》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_Toc5066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5F80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1014" w:history="1">
        <w:r>
          <w:rPr>
            <w:rFonts w:ascii="仿宋_GB2312" w:eastAsia="仿宋_GB2312" w:hAnsi="仿宋_GB2312" w:cs="仿宋_GB2312" w:hint="eastAsia"/>
            <w:sz w:val="30"/>
            <w:szCs w:val="30"/>
            <w:highlight w:val="none"/>
            <w:lang w:eastAsia="zh-CN"/>
          </w:rPr>
          <w:t>十</w:t>
        </w:r>
        <w:r>
          <w:rPr>
            <w:rFonts w:ascii="仿宋_GB2312" w:eastAsia="仿宋_GB2312" w:hAnsi="仿宋_GB2312" w:cs="仿宋_GB2312" w:hint="eastAsia"/>
            <w:sz w:val="30"/>
            <w:szCs w:val="30"/>
            <w:highlight w:val="none"/>
          </w:rPr>
          <w:t>、《财政拨款“三公”经费支出决算表》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_Toc21014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7DD5B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44"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、《项目支出决算表》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49A43F59">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6548" w:history="1">
        <w:r>
          <w:rPr>
            <w:rFonts w:ascii="方正小标宋简体" w:eastAsia="方正小标宋简体" w:hAnsi="方正小标宋简体" w:cs="方正小标宋简体" w:hint="eastAsia"/>
            <w:b w:val="0"/>
            <w:bCs w:val="0"/>
            <w:sz w:val="30"/>
            <w:szCs w:val="30"/>
            <w:highlight w:val="none"/>
          </w:rPr>
          <w:t xml:space="preserve">第三部分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年度部门决算情况说明</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_Toc6548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4</w:t>
        </w:r>
        <w:r>
          <w:rPr>
            <w:rFonts w:ascii="方正小标宋简体" w:eastAsia="方正小标宋简体" w:hAnsi="方正小标宋简体" w:cs="方正小标宋简体" w:hint="eastAsia"/>
            <w:b w:val="0"/>
            <w:bCs w:val="0"/>
            <w:sz w:val="30"/>
            <w:szCs w:val="30"/>
            <w:highlight w:val="none"/>
          </w:rPr>
          <w:fldChar w:fldCharType="end"/>
        </w:r>
      </w:hyperlink>
    </w:p>
    <w:p w14:paraId="6665115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044" w:history="1">
        <w:r>
          <w:rPr>
            <w:rFonts w:ascii="仿宋_GB2312" w:eastAsia="仿宋_GB2312" w:hAnsi="仿宋_GB2312" w:cs="仿宋_GB2312" w:hint="eastAsia"/>
            <w:sz w:val="30"/>
            <w:szCs w:val="30"/>
            <w:highlight w:val="none"/>
          </w:rPr>
          <w:t>一、收入支出决算总体情况说明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_Toc28044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3EF27B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76" w:history="1">
        <w:r>
          <w:rPr>
            <w:rFonts w:ascii="仿宋_GB2312" w:eastAsia="仿宋_GB2312" w:hAnsi="仿宋_GB2312" w:cs="仿宋_GB2312" w:hint="eastAsia"/>
            <w:sz w:val="30"/>
            <w:szCs w:val="30"/>
            <w:highlight w:val="none"/>
          </w:rPr>
          <w:t>二、收入决算情况说明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_Toc12176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B1F54F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1212" w:history="1">
        <w:r>
          <w:rPr>
            <w:rFonts w:ascii="仿宋_GB2312" w:eastAsia="仿宋_GB2312" w:hAnsi="仿宋_GB2312" w:cs="仿宋_GB2312" w:hint="eastAsia"/>
            <w:sz w:val="30"/>
            <w:szCs w:val="30"/>
            <w:highlight w:val="none"/>
          </w:rPr>
          <w:t>三、支出决算情况说明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_Toc31212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08C2ECD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9211" w:history="1">
        <w:r>
          <w:rPr>
            <w:rFonts w:ascii="仿宋_GB2312" w:eastAsia="仿宋_GB2312" w:hAnsi="仿宋_GB2312" w:cs="仿宋_GB2312" w:hint="eastAsia"/>
            <w:sz w:val="30"/>
            <w:szCs w:val="30"/>
            <w:highlight w:val="none"/>
          </w:rPr>
          <w:t>四、财政拨款收支决算总体情况说明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_Toc19211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5005F8A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286" w:history="1">
        <w:r>
          <w:rPr>
            <w:rFonts w:ascii="仿宋_GB2312" w:eastAsia="仿宋_GB2312" w:hAnsi="仿宋_GB2312" w:cs="仿宋_GB2312" w:hint="eastAsia"/>
            <w:sz w:val="30"/>
            <w:szCs w:val="30"/>
            <w:highlight w:val="none"/>
          </w:rPr>
          <w:t>五、一般公共预算财政拨款支出决算情况说明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_Toc25286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14:paraId="002A0E1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433" w:history="1">
        <w:r>
          <w:rPr>
            <w:rFonts w:ascii="仿宋_GB2312" w:eastAsia="仿宋_GB2312" w:hAnsi="仿宋_GB2312" w:cs="仿宋_GB2312" w:hint="eastAsia"/>
            <w:sz w:val="30"/>
            <w:szCs w:val="30"/>
            <w:highlight w:val="none"/>
          </w:rPr>
          <w:t>六、一般公共预算财政拨款基本支出决算情况</w:t>
        </w:r>
        <w:r>
          <w:rPr>
            <w:rFonts w:ascii="仿宋_GB2312" w:eastAsia="仿宋_GB2312" w:hAnsi="仿宋_GB2312" w:cs="仿宋_GB2312" w:hint="eastAsia"/>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_Toc26433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4B2BEC7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665" w:history="1">
        <w:r>
          <w:rPr>
            <w:rFonts w:ascii="仿宋_GB2312" w:eastAsia="仿宋_GB2312" w:hAnsi="仿宋_GB2312" w:cs="仿宋_GB2312" w:hint="eastAsia"/>
            <w:sz w:val="30"/>
            <w:szCs w:val="30"/>
            <w:highlight w:val="none"/>
            <w:lang w:eastAsia="zh-CN"/>
          </w:rPr>
          <w:t>七</w:t>
        </w:r>
        <w:r>
          <w:rPr>
            <w:rFonts w:ascii="仿宋_GB2312" w:eastAsia="仿宋_GB2312" w:hAnsi="仿宋_GB2312" w:cs="仿宋_GB2312" w:hint="eastAsia"/>
            <w:sz w:val="30"/>
            <w:szCs w:val="30"/>
            <w:highlight w:val="none"/>
          </w:rPr>
          <w:t>、政府性基金预算财政拨款收支决算情况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_Toc28665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49D078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562"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、国有资本经营预算财政拨款收支决算情况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_Toc26562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15B010B8">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397"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、财政拨款“三公”经费支出决算情况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_Toc3397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fldChar w:fldCharType="end"/>
        </w:r>
      </w:hyperlink>
    </w:p>
    <w:p w14:paraId="07A03F7B">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180" w:history="1">
        <w:r>
          <w:rPr>
            <w:rFonts w:ascii="仿宋_GB2312" w:eastAsia="仿宋_GB2312" w:hAnsi="仿宋_GB2312" w:cs="仿宋_GB2312" w:hint="eastAsia"/>
            <w:sz w:val="30"/>
            <w:szCs w:val="30"/>
            <w:highlight w:val="none"/>
          </w:rPr>
          <w:t>十、机关运行经费支出情况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_Toc28180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3A140E9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238"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、政府采购支出情况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_Toc12238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4196E11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0109"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二</w:t>
        </w:r>
        <w:r>
          <w:rPr>
            <w:rFonts w:ascii="仿宋_GB2312" w:eastAsia="仿宋_GB2312" w:hAnsi="仿宋_GB2312" w:cs="仿宋_GB2312" w:hint="eastAsia"/>
            <w:sz w:val="30"/>
            <w:szCs w:val="30"/>
            <w:highlight w:val="none"/>
          </w:rPr>
          <w:t>、国有资产占有使用情况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_Toc30109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4668112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7408" w:history="1">
        <w:r>
          <w:rPr>
            <w:rFonts w:ascii="仿宋_GB2312" w:eastAsia="仿宋_GB2312" w:hAnsi="仿宋_GB2312" w:cs="仿宋_GB2312" w:hint="eastAsia"/>
            <w:bCs w:val="0"/>
            <w:sz w:val="30"/>
            <w:szCs w:val="30"/>
          </w:rPr>
          <w:t xml:space="preserve">十三、 </w:t>
        </w:r>
        <w:r>
          <w:rPr>
            <w:rFonts w:ascii="仿宋_GB2312" w:eastAsia="仿宋_GB2312" w:hAnsi="仿宋_GB2312" w:cs="仿宋_GB2312" w:hint="eastAsia"/>
            <w:bCs w:val="0"/>
            <w:sz w:val="30"/>
            <w:szCs w:val="30"/>
            <w:highlight w:val="none"/>
          </w:rPr>
          <w:t>预算绩效情况说明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_Toc7408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163A91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98" w:history="1">
        <w:r>
          <w:rPr>
            <w:rFonts w:ascii="仿宋_GB2312" w:eastAsia="仿宋_GB2312" w:hAnsi="仿宋_GB2312" w:cs="仿宋_GB2312" w:hint="eastAsia"/>
            <w:bCs w:val="0"/>
            <w:sz w:val="30"/>
            <w:szCs w:val="30"/>
          </w:rPr>
          <w:t xml:space="preserve">十四、 </w:t>
        </w:r>
        <w:r>
          <w:rPr>
            <w:rFonts w:ascii="仿宋_GB2312" w:eastAsia="仿宋_GB2312" w:hAnsi="仿宋_GB2312" w:cs="仿宋_GB2312" w:hint="eastAsia"/>
            <w:bCs w:val="0"/>
            <w:sz w:val="30"/>
            <w:szCs w:val="30"/>
            <w:highlight w:val="none"/>
          </w:rPr>
          <w:t>教育、医疗卫生、社会保障和就业、住房保障、涉农补贴等民生支出情况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_Toc12198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4A8E55AA">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17573" w:history="1">
        <w:r>
          <w:rPr>
            <w:rFonts w:ascii="方正小标宋简体" w:eastAsia="方正小标宋简体" w:hAnsi="方正小标宋简体" w:cs="方正小标宋简体" w:hint="eastAsia"/>
            <w:b w:val="0"/>
            <w:bCs w:val="0"/>
            <w:sz w:val="30"/>
            <w:szCs w:val="30"/>
            <w:highlight w:val="none"/>
          </w:rPr>
          <w:t>第四部分  名词解释</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_Toc17573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11</w:t>
        </w:r>
        <w:r>
          <w:rPr>
            <w:rFonts w:ascii="方正小标宋简体" w:eastAsia="方正小标宋简体" w:hAnsi="方正小标宋简体" w:cs="方正小标宋简体" w:hint="eastAsia"/>
            <w:b w:val="0"/>
            <w:bCs w:val="0"/>
            <w:sz w:val="30"/>
            <w:szCs w:val="30"/>
            <w:highlight w:val="none"/>
          </w:rPr>
          <w:fldChar w:fldCharType="end"/>
        </w:r>
      </w:hyperlink>
    </w:p>
    <w:p w14:paraId="076A79FC">
      <w:pPr>
        <w:pStyle w:val="TOC2"/>
        <w:pageBreakBefore w:val="0"/>
        <w:tabs>
          <w:tab w:val="right" w:leader="dot" w:pos="8296"/>
        </w:tabs>
        <w:kinsoku/>
        <w:wordWrap/>
        <w:overflowPunct/>
        <w:topLinePunct w:val="0"/>
        <w:autoSpaceDE/>
        <w:autoSpaceDN/>
        <w:bidi w:val="0"/>
        <w:snapToGrid/>
        <w:spacing w:after="0" w:line="600" w:lineRule="exact"/>
        <w:rPr>
          <w:rFonts w:ascii="Times New Roman" w:eastAsia="仿宋_GB2312" w:hAnsi="Times New Roman"/>
          <w:sz w:val="32"/>
          <w:szCs w:val="32"/>
          <w:highlight w:val="none"/>
        </w:rPr>
        <w:sectPr>
          <w:footerReference w:type="default" r:id="rId5"/>
          <w:pgSz w:w="11906" w:h="16838"/>
          <w:pgMar w:top="1440" w:right="1800" w:bottom="1440" w:left="1800" w:header="851" w:footer="992" w:gutter="0"/>
          <w:pgNumType w:start="1"/>
          <w:cols w:num="1" w:space="720"/>
          <w:docGrid w:type="lines" w:linePitch="312" w:charSpace="0"/>
        </w:sectPr>
      </w:pPr>
      <w:r>
        <w:rPr>
          <w:rFonts w:ascii="Times New Roman" w:eastAsia="仿宋_GB2312" w:hAnsi="Times New Roman"/>
          <w:szCs w:val="30"/>
          <w:highlight w:val="none"/>
        </w:rPr>
        <w:fldChar w:fldCharType="end"/>
      </w:r>
    </w:p>
    <w:p w14:paraId="5A5B8137">
      <w:pPr>
        <w:pageBreakBefore w:val="0"/>
        <w:kinsoku/>
        <w:wordWrap/>
        <w:overflowPunct/>
        <w:topLinePunct w:val="0"/>
        <w:autoSpaceDE/>
        <w:autoSpaceDN/>
        <w:bidi w:val="0"/>
        <w:snapToGrid/>
        <w:rPr>
          <w:rFonts w:hint="eastAsia"/>
          <w:highlight w:val="none"/>
        </w:rPr>
      </w:pPr>
    </w:p>
    <w:p w14:paraId="56223CF8">
      <w:pPr>
        <w:pageBreakBefore w:val="0"/>
        <w:kinsoku/>
        <w:wordWrap/>
        <w:overflowPunct/>
        <w:topLinePunct w:val="0"/>
        <w:autoSpaceDE/>
        <w:autoSpaceDN/>
        <w:bidi w:val="0"/>
        <w:snapToGrid/>
        <w:rPr>
          <w:rFonts w:hint="eastAsia"/>
        </w:rPr>
      </w:pPr>
    </w:p>
    <w:p w14:paraId="43A021BA">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0" w:name="_Toc7076"/>
      <w:r>
        <w:rPr>
          <w:rFonts w:ascii="方正小标宋简体" w:eastAsia="方正小标宋简体" w:hAnsi="方正小标宋简体" w:cs="方正小标宋简体" w:hint="eastAsia"/>
          <w:b w:val="0"/>
          <w:sz w:val="44"/>
          <w:szCs w:val="44"/>
          <w:highlight w:val="none"/>
        </w:rPr>
        <w:t>第一部分  概 况</w:t>
      </w:r>
      <w:bookmarkEnd w:id="0"/>
    </w:p>
    <w:p w14:paraId="4397E50D">
      <w:pPr>
        <w:pageBreakBefore w:val="0"/>
        <w:kinsoku/>
        <w:wordWrap/>
        <w:overflowPunct/>
        <w:topLinePunct w:val="0"/>
        <w:autoSpaceDE/>
        <w:autoSpaceDN/>
        <w:bidi w:val="0"/>
        <w:snapToGrid/>
        <w:spacing w:line="600" w:lineRule="exact"/>
        <w:rPr>
          <w:rFonts w:hint="eastAsia"/>
          <w:highlight w:val="none"/>
        </w:rPr>
      </w:pPr>
    </w:p>
    <w:p w14:paraId="6874DB43">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1" w:name="_Toc13809"/>
      <w:r>
        <w:rPr>
          <w:rFonts w:ascii="黑体" w:eastAsia="黑体" w:hAnsi="黑体" w:hint="eastAsia"/>
          <w:b w:val="0"/>
          <w:bCs w:val="0"/>
          <w:sz w:val="30"/>
          <w:szCs w:val="30"/>
          <w:highlight w:val="none"/>
        </w:rPr>
        <w:t>一、主要职责</w:t>
      </w:r>
      <w:bookmarkEnd w:id="1"/>
    </w:p>
    <w:p w14:paraId="2E5C27EE">
      <w:pPr>
        <w:pageBreakBefore w:val="0"/>
        <w:kinsoku/>
        <w:wordWrap/>
        <w:overflowPunct/>
        <w:topLinePunct w:val="0"/>
        <w:autoSpaceDE/>
        <w:autoSpaceDN/>
        <w:bidi w:val="0"/>
        <w:snapToGrid/>
        <w:spacing w:line="600" w:lineRule="exact"/>
        <w:ind w:firstLine="600" w:firstLineChars="200"/>
        <w:jc w:val="both"/>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为学龄前儿童提供保育和教育服务。</w:t>
      </w:r>
    </w:p>
    <w:p w14:paraId="643966F6">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2" w:name="_Toc20426"/>
      <w:r>
        <w:rPr>
          <w:rFonts w:ascii="黑体" w:eastAsia="黑体" w:hAnsi="黑体" w:hint="eastAsia"/>
          <w:b w:val="0"/>
          <w:bCs w:val="0"/>
          <w:sz w:val="30"/>
          <w:szCs w:val="30"/>
          <w:highlight w:val="none"/>
        </w:rPr>
        <w:t>二、机构设置</w:t>
      </w:r>
      <w:bookmarkEnd w:id="2"/>
    </w:p>
    <w:p w14:paraId="0E316961">
      <w:pPr>
        <w:pageBreakBefore w:val="0"/>
        <w:numPr>
          <w:ilvl w:val="0"/>
          <w:numId w:val="0"/>
        </w:numPr>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Times New Roman" w:cs="Times New Roman" w:hint="eastAsia"/>
          <w:sz w:val="30"/>
          <w:szCs w:val="30"/>
          <w:highlight w:val="none"/>
          <w:lang w:val="en-US" w:eastAsia="zh-CN"/>
        </w:rPr>
        <w:t>天津市津南区第十幼儿园内设6个职能</w:t>
      </w:r>
      <w:r>
        <w:rPr>
          <w:rFonts w:ascii="仿宋_GB2312" w:eastAsia="仿宋_GB2312" w:cs="Times New Roman" w:hint="eastAsia"/>
          <w:sz w:val="30"/>
          <w:szCs w:val="30"/>
          <w:highlight w:val="none"/>
          <w:lang w:val="en-US" w:eastAsia="zh-CN"/>
        </w:rPr>
        <w:t>科</w:t>
      </w:r>
      <w:r>
        <w:rPr>
          <w:rFonts w:ascii="仿宋_GB2312" w:eastAsia="仿宋_GB2312" w:hAnsi="Times New Roman" w:cs="Times New Roman" w:hint="eastAsia"/>
          <w:sz w:val="30"/>
          <w:szCs w:val="30"/>
          <w:highlight w:val="none"/>
          <w:lang w:val="en-US" w:eastAsia="zh-CN"/>
        </w:rPr>
        <w:t xml:space="preserve">室。 </w:t>
      </w:r>
      <w:r>
        <w:rPr>
          <w:rFonts w:eastAsia="楷体_GB2312"/>
          <w:b/>
          <w:sz w:val="30"/>
          <w:szCs w:val="30"/>
          <w:highlight w:val="none"/>
        </w:rPr>
        <w:br w:type="page"/>
      </w:r>
    </w:p>
    <w:p w14:paraId="671C2795">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 w:name="_Toc15731"/>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二</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表</w:t>
      </w:r>
      <w:bookmarkEnd w:id="3"/>
    </w:p>
    <w:p w14:paraId="78377056">
      <w:pPr>
        <w:pageBreakBefore w:val="0"/>
        <w:kinsoku/>
        <w:wordWrap/>
        <w:overflowPunct/>
        <w:topLinePunct w:val="0"/>
        <w:autoSpaceDE/>
        <w:autoSpaceDN/>
        <w:bidi w:val="0"/>
        <w:snapToGrid/>
        <w:spacing w:line="600" w:lineRule="exact"/>
        <w:rPr>
          <w:rFonts w:hint="eastAsia"/>
          <w:highlight w:val="none"/>
        </w:rPr>
      </w:pPr>
    </w:p>
    <w:p w14:paraId="2A765E7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4" w:name="_Toc8843"/>
      <w:r>
        <w:rPr>
          <w:rFonts w:ascii="黑体" w:eastAsia="黑体" w:hAnsi="黑体"/>
          <w:b w:val="0"/>
          <w:sz w:val="30"/>
          <w:szCs w:val="30"/>
          <w:highlight w:val="none"/>
        </w:rPr>
        <w:t>一</w:t>
      </w:r>
      <w:r>
        <w:rPr>
          <w:rFonts w:ascii="黑体" w:eastAsia="黑体" w:hAnsi="黑体" w:hint="eastAsia"/>
          <w:b w:val="0"/>
          <w:sz w:val="30"/>
          <w:szCs w:val="30"/>
          <w:highlight w:val="none"/>
        </w:rPr>
        <w:t>、</w:t>
      </w:r>
      <w:r>
        <w:rPr>
          <w:rFonts w:ascii="黑体" w:eastAsia="黑体" w:hAnsi="黑体"/>
          <w:b w:val="0"/>
          <w:sz w:val="30"/>
          <w:szCs w:val="30"/>
          <w:highlight w:val="none"/>
        </w:rPr>
        <w:t>《</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4"/>
    </w:p>
    <w:p w14:paraId="464FD5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5" w:name="_Toc2552"/>
      <w:r>
        <w:rPr>
          <w:rFonts w:ascii="黑体" w:eastAsia="黑体" w:hAnsi="黑体"/>
          <w:b w:val="0"/>
          <w:sz w:val="30"/>
          <w:szCs w:val="30"/>
          <w:highlight w:val="none"/>
        </w:rPr>
        <w:t>二、《收入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（按功能分类列示）</w:t>
      </w:r>
      <w:r>
        <w:rPr>
          <w:rFonts w:ascii="黑体" w:eastAsia="黑体" w:hAnsi="黑体"/>
          <w:b w:val="0"/>
          <w:sz w:val="30"/>
          <w:szCs w:val="30"/>
          <w:highlight w:val="none"/>
        </w:rPr>
        <w:t>》</w:t>
      </w:r>
      <w:bookmarkEnd w:id="5"/>
    </w:p>
    <w:p w14:paraId="426CA0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6" w:name="_Toc27841"/>
      <w:r>
        <w:rPr>
          <w:rFonts w:ascii="黑体" w:eastAsia="黑体" w:hAnsi="黑体" w:hint="eastAsia"/>
          <w:b w:val="0"/>
          <w:sz w:val="30"/>
          <w:szCs w:val="30"/>
          <w:highlight w:val="none"/>
        </w:rPr>
        <w:t>三</w:t>
      </w:r>
      <w:r>
        <w:rPr>
          <w:rFonts w:ascii="黑体" w:eastAsia="黑体" w:hAnsi="黑体"/>
          <w:b w:val="0"/>
          <w:sz w:val="30"/>
          <w:szCs w:val="30"/>
          <w:highlight w:val="none"/>
        </w:rPr>
        <w:t>、《收入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（按单位列示）</w:t>
      </w:r>
      <w:r>
        <w:rPr>
          <w:rFonts w:ascii="黑体" w:eastAsia="黑体" w:hAnsi="黑体"/>
          <w:b w:val="0"/>
          <w:sz w:val="30"/>
          <w:szCs w:val="30"/>
          <w:highlight w:val="none"/>
        </w:rPr>
        <w:t>》</w:t>
      </w:r>
      <w:bookmarkEnd w:id="6"/>
    </w:p>
    <w:p w14:paraId="475FBA8F">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7" w:name="_Toc8617"/>
      <w:r>
        <w:rPr>
          <w:rFonts w:ascii="黑体" w:eastAsia="黑体" w:hAnsi="黑体" w:hint="eastAsia"/>
          <w:b w:val="0"/>
          <w:sz w:val="30"/>
          <w:szCs w:val="30"/>
          <w:highlight w:val="none"/>
        </w:rPr>
        <w:t>四、</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7"/>
    </w:p>
    <w:p w14:paraId="270015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8" w:name="_Toc12763"/>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8"/>
    </w:p>
    <w:p w14:paraId="0EC24594">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9" w:name="_Toc24693"/>
      <w:r>
        <w:rPr>
          <w:rFonts w:ascii="黑体" w:eastAsia="黑体" w:hAnsi="黑体"/>
          <w:b w:val="0"/>
          <w:sz w:val="30"/>
          <w:szCs w:val="30"/>
          <w:highlight w:val="none"/>
        </w:rPr>
        <w:t>六</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9"/>
    </w:p>
    <w:p w14:paraId="4AD9931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b w:val="0"/>
          <w:sz w:val="30"/>
          <w:szCs w:val="30"/>
          <w:highlight w:val="none"/>
        </w:rPr>
      </w:pPr>
      <w:bookmarkStart w:id="10" w:name="_Toc13125"/>
      <w:r>
        <w:rPr>
          <w:rFonts w:ascii="黑体" w:eastAsia="黑体" w:hAnsi="黑体"/>
          <w:b w:val="0"/>
          <w:sz w:val="30"/>
          <w:szCs w:val="30"/>
          <w:highlight w:val="none"/>
        </w:rPr>
        <w:t>七</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《一般公共预算财政拨款基本支出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0"/>
    </w:p>
    <w:p w14:paraId="7B7351B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1" w:name="_Toc27248"/>
      <w:r>
        <w:rPr>
          <w:rFonts w:ascii="黑体" w:eastAsia="黑体" w:hAnsi="黑体" w:hint="eastAsia"/>
          <w:b w:val="0"/>
          <w:sz w:val="30"/>
          <w:szCs w:val="30"/>
          <w:highlight w:val="none"/>
          <w:lang w:eastAsia="zh-CN"/>
        </w:rPr>
        <w:t>八</w:t>
      </w:r>
      <w:r>
        <w:rPr>
          <w:rFonts w:ascii="黑体" w:eastAsia="黑体" w:hAnsi="黑体" w:hint="eastAsia"/>
          <w:b w:val="0"/>
          <w:sz w:val="30"/>
          <w:szCs w:val="30"/>
          <w:highlight w:val="none"/>
        </w:rPr>
        <w:t>、</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1"/>
    </w:p>
    <w:p w14:paraId="583F435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2" w:name="_Toc5066"/>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《国有资本经营预算财政拨款</w:t>
      </w:r>
      <w:r>
        <w:rPr>
          <w:rFonts w:ascii="黑体" w:eastAsia="黑体" w:hAnsi="黑体" w:hint="eastAsia"/>
          <w:b w:val="0"/>
          <w:sz w:val="30"/>
          <w:szCs w:val="30"/>
          <w:highlight w:val="none"/>
        </w:rPr>
        <w:t>收入支出决算</w:t>
      </w:r>
      <w:r>
        <w:rPr>
          <w:rFonts w:ascii="黑体" w:eastAsia="黑体" w:hAnsi="黑体"/>
          <w:b w:val="0"/>
          <w:sz w:val="30"/>
          <w:szCs w:val="30"/>
          <w:highlight w:val="none"/>
        </w:rPr>
        <w:t>表》</w:t>
      </w:r>
      <w:bookmarkEnd w:id="12"/>
    </w:p>
    <w:p w14:paraId="3B9CB3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3" w:name="_Toc21014"/>
      <w:r>
        <w:rPr>
          <w:rFonts w:ascii="黑体" w:eastAsia="黑体" w:hAnsi="黑体" w:hint="eastAsia"/>
          <w:b w:val="0"/>
          <w:sz w:val="30"/>
          <w:szCs w:val="30"/>
          <w:highlight w:val="none"/>
          <w:lang w:eastAsia="zh-CN"/>
        </w:rPr>
        <w:t>十</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3"/>
    </w:p>
    <w:p w14:paraId="5E3E5525">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4" w:name="_Toc13144"/>
      <w:r>
        <w:rPr>
          <w:rFonts w:ascii="黑体" w:eastAsia="黑体" w:hAnsi="黑体"/>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《项目支出决算表》</w:t>
      </w:r>
      <w:bookmarkEnd w:id="14"/>
    </w:p>
    <w:p w14:paraId="4FB5AA28">
      <w:pPr>
        <w:pageBreakBefore w:val="0"/>
        <w:kinsoku/>
        <w:wordWrap/>
        <w:overflowPunct/>
        <w:topLinePunct w:val="0"/>
        <w:autoSpaceDE/>
        <w:autoSpaceDN/>
        <w:bidi w:val="0"/>
        <w:snapToGrid/>
        <w:spacing w:line="800" w:lineRule="exact"/>
        <w:ind w:left="600" w:hanging="600" w:hangingChars="200"/>
        <w:rPr>
          <w:rFonts w:ascii="黑体" w:eastAsia="黑体" w:hAnsi="黑体" w:hint="eastAsia"/>
          <w:b w:val="0"/>
          <w:bCs w:val="0"/>
          <w:sz w:val="30"/>
          <w:szCs w:val="30"/>
          <w:highlight w:val="none"/>
        </w:rPr>
      </w:pPr>
      <w:r>
        <w:rPr>
          <w:rFonts w:eastAsia="楷体" w:hint="eastAsia"/>
          <w:sz w:val="30"/>
          <w:szCs w:val="30"/>
          <w:highlight w:val="none"/>
        </w:rPr>
        <w:t>注：以上决算公开表均作为附表，附于决算公开说明文档后。</w:t>
      </w:r>
      <w:r>
        <w:rPr>
          <w:rFonts w:hint="eastAsia"/>
          <w:b w:val="0"/>
          <w:bCs w:val="0"/>
          <w:highlight w:val="none"/>
          <w:lang w:val="en-US" w:eastAsia="zh-CN"/>
        </w:rPr>
        <w:t xml:space="preserve">    </w:t>
      </w:r>
      <w:r>
        <w:rPr>
          <w:rFonts w:ascii="黑体" w:eastAsia="黑体" w:hAnsi="黑体" w:cs="Times New Roman" w:hint="eastAsia"/>
          <w:b w:val="0"/>
          <w:bCs/>
          <w:sz w:val="30"/>
          <w:szCs w:val="30"/>
          <w:highlight w:val="none"/>
          <w:lang w:val="en-US" w:eastAsia="zh-CN" w:bidi="ar-SA"/>
        </w:rPr>
        <w:t>十二、关于空表的说明</w:t>
      </w:r>
    </w:p>
    <w:p w14:paraId="4698F441">
      <w:pPr>
        <w:pageBreakBefore w:val="0"/>
        <w:numPr>
          <w:ilvl w:val="0"/>
          <w:numId w:val="0"/>
        </w:numPr>
        <w:kinsoku/>
        <w:wordWrap/>
        <w:overflowPunct/>
        <w:topLinePunct w:val="0"/>
        <w:autoSpaceDE/>
        <w:autoSpaceDN/>
        <w:bidi w:val="0"/>
        <w:snapToGrid/>
        <w:spacing w:line="600" w:lineRule="exact"/>
        <w:ind w:firstLine="600" w:firstLineChars="200"/>
        <w:jc w:val="both"/>
        <w:rPr>
          <w:rFonts w:ascii="仿宋_GB2312" w:eastAsia="仿宋_GB2312" w:hAnsi="Times New Roman" w:cs="Times New Roman" w:hint="default"/>
          <w:sz w:val="30"/>
          <w:szCs w:val="30"/>
          <w:highlight w:val="none"/>
          <w:lang w:val="en-US" w:eastAsia="zh-CN"/>
        </w:rPr>
        <w:sectPr>
          <w:footerReference w:type="default" r:id="rId6"/>
          <w:pgSz w:w="11906" w:h="16838"/>
          <w:pgMar w:top="1440" w:right="1800" w:bottom="1440" w:left="1800" w:header="851" w:footer="992" w:gutter="0"/>
          <w:pgNumType w:start="1"/>
          <w:cols w:num="1" w:space="720"/>
          <w:docGrid w:type="lines" w:linePitch="312" w:charSpace="0"/>
        </w:sectPr>
      </w:pPr>
      <w:r>
        <w:rPr>
          <w:rFonts w:ascii="仿宋_GB2312" w:eastAsia="仿宋_GB2312" w:hAnsi="Times New Roman" w:cs="Times New Roman" w:hint="eastAsia"/>
          <w:sz w:val="30"/>
          <w:szCs w:val="30"/>
          <w:highlight w:val="none"/>
          <w:lang w:val="en-US" w:eastAsia="zh-CN"/>
        </w:rPr>
        <w:t>1.天津市津南区第十幼儿园2023年度政府性基金预算财政拨款收入支出决算表为空表。</w:t>
        <w:br/>
        <w:t>　　2.天津市津南区第十幼儿园2023年度国有资本经营预算财政拨款收入支出决算表为空表。</w:t>
        <w:br/>
        <w:t>　　3.天津市津南区第十幼儿园2023年度财政拨款“三公”经费支出决算表为空表。</w:t>
      </w:r>
    </w:p>
    <w:p w14:paraId="2224BE62">
      <w:pPr>
        <w:pageBreakBefore w:val="0"/>
        <w:kinsoku/>
        <w:wordWrap/>
        <w:overflowPunct/>
        <w:topLinePunct w:val="0"/>
        <w:autoSpaceDE/>
        <w:autoSpaceDN/>
        <w:bidi w:val="0"/>
        <w:snapToGrid/>
        <w:spacing w:line="640" w:lineRule="exact"/>
        <w:jc w:val="center"/>
        <w:rPr>
          <w:rFonts w:eastAsia="黑体" w:hint="eastAsia"/>
          <w:sz w:val="30"/>
          <w:szCs w:val="30"/>
          <w:highlight w:val="none"/>
        </w:rPr>
      </w:pPr>
    </w:p>
    <w:p w14:paraId="79BC762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15" w:name="_Toc6548"/>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三</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情况</w:t>
      </w:r>
      <w:r>
        <w:rPr>
          <w:rFonts w:ascii="方正小标宋简体" w:eastAsia="方正小标宋简体" w:hAnsi="方正小标宋简体" w:cs="方正小标宋简体"/>
          <w:b w:val="0"/>
          <w:sz w:val="44"/>
          <w:szCs w:val="44"/>
          <w:highlight w:val="none"/>
        </w:rPr>
        <w:t>说明</w:t>
      </w:r>
      <w:bookmarkEnd w:id="15"/>
    </w:p>
    <w:p w14:paraId="7E86362F">
      <w:pPr>
        <w:pageBreakBefore w:val="0"/>
        <w:kinsoku/>
        <w:wordWrap/>
        <w:overflowPunct/>
        <w:topLinePunct w:val="0"/>
        <w:autoSpaceDE/>
        <w:autoSpaceDN/>
        <w:bidi w:val="0"/>
        <w:snapToGrid/>
        <w:spacing w:line="600" w:lineRule="exact"/>
        <w:ind w:firstLine="600" w:firstLineChars="200"/>
        <w:rPr>
          <w:rFonts w:ascii="黑体" w:eastAsia="黑体" w:hint="eastAsia"/>
          <w:sz w:val="30"/>
          <w:szCs w:val="30"/>
          <w:highlight w:val="none"/>
        </w:rPr>
      </w:pPr>
    </w:p>
    <w:p w14:paraId="033FFF87">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6" w:name="_Toc28044"/>
      <w:r>
        <w:rPr>
          <w:rFonts w:ascii="黑体" w:eastAsia="黑体" w:hAnsi="黑体" w:hint="eastAsia"/>
          <w:b w:val="0"/>
          <w:sz w:val="30"/>
          <w:szCs w:val="30"/>
          <w:highlight w:val="none"/>
        </w:rPr>
        <w:t>一、收入支出决算总体情况说明</w:t>
      </w:r>
      <w:bookmarkEnd w:id="16"/>
    </w:p>
    <w:p w14:paraId="7BA9BE3C">
      <w:pPr>
        <w:pageBreakBefore w:val="0"/>
        <w:kinsoku/>
        <w:wordWrap/>
        <w:overflowPunct/>
        <w:topLinePunct w:val="0"/>
        <w:autoSpaceDE/>
        <w:autoSpaceDN/>
        <w:bidi w:val="0"/>
        <w:snapToGrid/>
        <w:spacing w:line="600" w:lineRule="exact"/>
        <w:jc w:val="both"/>
        <w:rPr>
          <w:rFonts w:eastAsia="楷体_GB2312" w:hint="eastAsia"/>
          <w:b/>
          <w:sz w:val="30"/>
          <w:szCs w:val="30"/>
          <w:highlight w:val="none"/>
        </w:rPr>
      </w:pPr>
      <w:r>
        <w:rPr>
          <w:rFonts w:eastAsia="仿宋_GB2312" w:hint="eastAsia"/>
          <w:sz w:val="30"/>
          <w:szCs w:val="30"/>
          <w:highlight w:val="none"/>
        </w:rPr>
        <w:t xml:space="preserve">   </w:t>
      </w:r>
      <w:r>
        <w:rPr>
          <w:rFonts w:ascii="Times New Roman" w:eastAsia="仿宋_GB2312" w:hAnsi="Times New Roman" w:cs="Times New Roman" w:hint="eastAsia"/>
          <w:sz w:val="30"/>
          <w:szCs w:val="30"/>
          <w:highlight w:val="none"/>
        </w:rPr>
        <w:t xml:space="preserve"> </w:t>
      </w:r>
      <w:r>
        <w:rPr>
          <w:rFonts w:ascii="仿宋_GB2312" w:eastAsia="仿宋_GB2312" w:hAnsi="仿宋_GB2312" w:cs="仿宋_GB2312" w:hint="eastAsia"/>
          <w:sz w:val="30"/>
          <w:szCs w:val="30"/>
          <w:highlight w:val="none"/>
          <w:lang w:val="en-US" w:eastAsia="zh-CN"/>
        </w:rPr>
        <w:t>天津市津南区第十幼儿园2023年度收入、支出决算总计12,534,620.18元。与2022年度相比，收、支总计各增加1,561,537.06元，增长14.23%，主要原因是本年度增加了长聘人员，增加了人员经费；加大了日常公用经费和项目资金的投入。</w:t>
      </w:r>
    </w:p>
    <w:p w14:paraId="115E107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7" w:name="_Toc12176"/>
      <w:r>
        <w:rPr>
          <w:rFonts w:ascii="黑体" w:eastAsia="黑体" w:hAnsi="黑体" w:cs="仿宋_GB2312" w:hint="eastAsia"/>
          <w:b w:val="0"/>
          <w:sz w:val="30"/>
          <w:szCs w:val="30"/>
          <w:highlight w:val="none"/>
        </w:rPr>
        <w:t>二、收入决算情况说明</w:t>
      </w:r>
      <w:bookmarkEnd w:id="17"/>
    </w:p>
    <w:p w14:paraId="27E464C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第十幼儿园2023年度本年收入合计12,534,620.18元。与2022年度相比增加1,561,537.06元，主要原因是本年度增加了长聘人员，增加了人员经费；加大了日常公用经费和项目资金的投入。其中：一般公共预算财政拨款收入12,534,620.18元，占100.00%。</w:t>
      </w:r>
    </w:p>
    <w:p w14:paraId="72BD76E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8" w:name="_Toc31212"/>
      <w:r>
        <w:rPr>
          <w:rFonts w:ascii="黑体" w:eastAsia="黑体" w:hAnsi="黑体" w:cs="仿宋_GB2312" w:hint="eastAsia"/>
          <w:b w:val="0"/>
          <w:sz w:val="30"/>
          <w:szCs w:val="30"/>
          <w:highlight w:val="none"/>
        </w:rPr>
        <w:t>三、</w:t>
      </w:r>
      <w:r>
        <w:rPr>
          <w:rFonts w:ascii="黑体" w:eastAsia="黑体" w:hAnsi="黑体" w:cs="仿宋_GB2312"/>
          <w:b w:val="0"/>
          <w:sz w:val="30"/>
          <w:szCs w:val="30"/>
          <w:highlight w:val="none"/>
        </w:rPr>
        <w:t>支出</w:t>
      </w:r>
      <w:r>
        <w:rPr>
          <w:rFonts w:ascii="黑体" w:eastAsia="黑体" w:hAnsi="黑体" w:cs="仿宋_GB2312" w:hint="eastAsia"/>
          <w:b w:val="0"/>
          <w:sz w:val="30"/>
          <w:szCs w:val="30"/>
          <w:highlight w:val="none"/>
        </w:rPr>
        <w:t>决算</w:t>
      </w:r>
      <w:r>
        <w:rPr>
          <w:rFonts w:ascii="黑体" w:eastAsia="黑体" w:hAnsi="黑体" w:cs="仿宋_GB2312"/>
          <w:b w:val="0"/>
          <w:sz w:val="30"/>
          <w:szCs w:val="30"/>
          <w:highlight w:val="none"/>
        </w:rPr>
        <w:t>情况</w:t>
      </w:r>
      <w:r>
        <w:rPr>
          <w:rFonts w:ascii="黑体" w:eastAsia="黑体" w:hAnsi="黑体" w:cs="仿宋_GB2312" w:hint="eastAsia"/>
          <w:b w:val="0"/>
          <w:sz w:val="30"/>
          <w:szCs w:val="30"/>
          <w:highlight w:val="none"/>
        </w:rPr>
        <w:t>说明</w:t>
      </w:r>
      <w:bookmarkEnd w:id="18"/>
    </w:p>
    <w:p w14:paraId="014FC260">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第十幼儿园2023年度本年支出合计12,534,620.18元。与2022年度相比增加1,561,537.06元，主要原因是为了实现两个只增不减，本年度加大了项目资金投入。其中：基本支出11,795,332.32元，占94.10%；项目支出739,287.86元，占5.90%。</w:t>
      </w:r>
    </w:p>
    <w:p w14:paraId="27F86E7C">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9" w:name="_Toc19211"/>
      <w:r>
        <w:rPr>
          <w:rFonts w:ascii="黑体" w:eastAsia="黑体" w:hAnsi="黑体" w:hint="eastAsia"/>
          <w:b w:val="0"/>
          <w:sz w:val="30"/>
          <w:szCs w:val="30"/>
          <w:highlight w:val="none"/>
        </w:rPr>
        <w:t>四、财政拨款收支决算总体情况说明</w:t>
      </w:r>
      <w:bookmarkEnd w:id="19"/>
    </w:p>
    <w:p w14:paraId="035EADBC">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市津南区第十幼儿园2023年度财政拨款收入、支出决算总计12,534,620.18元。与2022年度相比，财政拨款收、支总计各增加1,561,765.66元，增长14.23%，主要原因是本年度加大了日常公用经费和项目资金的支出；增加长聘人员，人员经费支出比上年增加。</w:t>
      </w:r>
    </w:p>
    <w:p w14:paraId="64D9186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0" w:name="_Toc25286"/>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一般公共预算财政拨款支出决算情况</w:t>
      </w:r>
      <w:r>
        <w:rPr>
          <w:rFonts w:ascii="黑体" w:eastAsia="黑体" w:hAnsi="黑体" w:hint="eastAsia"/>
          <w:b w:val="0"/>
          <w:sz w:val="30"/>
          <w:szCs w:val="30"/>
          <w:highlight w:val="none"/>
        </w:rPr>
        <w:t>说明</w:t>
      </w:r>
      <w:bookmarkEnd w:id="20"/>
    </w:p>
    <w:p w14:paraId="0D6DBCCF">
      <w:pPr>
        <w:pageBreakBefore w:val="0"/>
        <w:kinsoku/>
        <w:wordWrap/>
        <w:overflowPunct/>
        <w:topLinePunct w:val="0"/>
        <w:autoSpaceDE/>
        <w:autoSpaceDN/>
        <w:bidi w:val="0"/>
        <w:snapToGrid/>
        <w:spacing w:line="600" w:lineRule="exact"/>
        <w:ind w:left="480" w:left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（一）总体情况</w:t>
      </w:r>
    </w:p>
    <w:p w14:paraId="2CCD4E54">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市津南区第十幼儿园2023年度部门决算一般公共预算财政拨款支出合计12,534,620.18元，占本年支出合计的100.00%。与2022年度相比，一般公共预算财政拨款支出增加1,561,765.66元，增长14.23%，主要原因是本年度加大了日常公用经费和项目资金的支出；增加长聘人员，人员经费支出比上年增加。</w:t>
      </w:r>
    </w:p>
    <w:p w14:paraId="6DC3EBD7">
      <w:pPr>
        <w:pageBreakBefore w:val="0"/>
        <w:kinsoku/>
        <w:wordWrap/>
        <w:overflowPunct/>
        <w:topLinePunct w:val="0"/>
        <w:autoSpaceDE/>
        <w:autoSpaceDN/>
        <w:bidi w:val="0"/>
        <w:snapToGrid/>
        <w:spacing w:line="600" w:lineRule="exact"/>
        <w:ind w:firstLine="600" w:firstLine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（二）支出结构情况</w:t>
      </w:r>
    </w:p>
    <w:p w14:paraId="4FE5B959">
      <w:pPr>
        <w:pageBreakBefore w:val="0"/>
        <w:kinsoku/>
        <w:wordWrap/>
        <w:overflowPunct/>
        <w:topLinePunct w:val="0"/>
        <w:autoSpaceDE/>
        <w:autoSpaceDN/>
        <w:bidi w:val="0"/>
        <w:snapToGrid/>
        <w:spacing w:line="600" w:lineRule="exact"/>
        <w:ind w:firstLine="600" w:firstLineChars="200"/>
        <w:jc w:val="both"/>
        <w:rPr>
          <w:rFonts w:eastAsia="仿宋_GB2312" w:hint="eastAsia"/>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2023年度一般公共预算财政拨款支出12,534,620.18元，主要用于以下方面：</w:t>
        <w:br/>
        <w:t>　　教育支出（类）支出10,893,118.99元，占86.90%；</w:t>
        <w:br/>
        <w:t>　　社会保障和就业支出（类）支出751,231.92元，占5.99%；</w:t>
        <w:br/>
        <w:t>　　卫生健康支出（类）支出367,504.27元，占2.93%；</w:t>
        <w:br/>
        <w:t>　　住房保障支出（类）支出522,765.00元，占4.18%。</w:t>
      </w:r>
    </w:p>
    <w:p w14:paraId="25EC0BDB">
      <w:pPr>
        <w:pageBreakBefore w:val="0"/>
        <w:numPr>
          <w:ilvl w:val="0"/>
          <w:numId w:val="1"/>
        </w:numPr>
        <w:kinsoku/>
        <w:wordWrap/>
        <w:overflowPunct/>
        <w:topLinePunct w:val="0"/>
        <w:autoSpaceDE/>
        <w:autoSpaceDN/>
        <w:bidi w:val="0"/>
        <w:snapToGrid/>
        <w:spacing w:line="600" w:lineRule="exact"/>
        <w:ind w:firstLine="600" w:firstLineChars="200"/>
        <w:rPr>
          <w:rFonts w:ascii="楷体" w:eastAsia="楷体" w:hAnsi="楷体" w:cs="仿宋_GB2312"/>
          <w:b/>
          <w:sz w:val="30"/>
          <w:szCs w:val="30"/>
          <w:highlight w:val="none"/>
        </w:rPr>
      </w:pPr>
      <w:r>
        <w:rPr>
          <w:rFonts w:ascii="楷体" w:eastAsia="楷体" w:hAnsi="楷体" w:cs="仿宋_GB2312"/>
          <w:b/>
          <w:sz w:val="30"/>
          <w:szCs w:val="30"/>
          <w:highlight w:val="none"/>
        </w:rPr>
        <w:t>具体情况</w:t>
      </w:r>
    </w:p>
    <w:p w14:paraId="0502470A">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2023年度一般公共预算财政拨款支出年初预算为12,912,020.58元，支出决算为12,534,620.18元，完成年初预算的97.08%。其中：</w:t>
        <w:br/>
        <w:t>　　1.教育支出（类）普通教育（款）学前教育（项）年初预算为11,225,419.50元，支出决算为10,893,118.99元，完成年初预算的97.04%，决算数小于年初预算数的主要原因是在职人员考评绩效实际发放标准小于年初预算标准。</w:t>
        <w:br/>
        <w:t>　　2.社会保障和就业支出（类）行政事业单位养老支出（款）机关事业单位基本养老保险缴费支出（项）年初预算为513,970.44元，支出决算为500,821.28元，完成年初预算的97.44%，决算数小于年初预算数的主要原因是实际缴费标准小于年初预算标准。</w:t>
        <w:br/>
        <w:t>　　3.社会保障和就业支出（类）行政事业单位养老支出（款）机关事业单位职业年金缴费支出（项）年初预算为256,985.28元，支出决算为250,410.64元，完成年初预算的97.44%，决算数小于年初预算数的主要原因是实际缴费标准小于年初预算标准。</w:t>
        <w:br/>
        <w:t>　　4.卫生健康支出（类）行政事业单位医疗（款）事业单位医疗（项）年初预算为337,293.36元，支出决算为326,104.27元，完成年初预算的96.68%，决算数小于年初预算数的主要原因是实际缴费标准小于年初预算标准。</w:t>
        <w:br/>
        <w:t>　　5.卫生健康支出（类）行政事业单位医疗（款）其他行政事业单位医疗支出（项）年初预算为43,200.00元，支出决算为41,400.00元，完成年初预算的95.83%，决算数小于年初预算数的主要原因是实际缴费标准小于年初预算标准。</w:t>
        <w:br/>
        <w:t>　　6.住房保障支出（类）住房改革支出（款）住房公积金（项）年初预算为535,152.00元，支出决算为522,765.00元，完成年初预算的97.68%，决算数小于年初预算数的主要原因是部分人员公积金基数调整后略有下降。</w:t>
      </w:r>
    </w:p>
    <w:p w14:paraId="36C75B1F">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1" w:name="_Toc26433"/>
      <w:r>
        <w:rPr>
          <w:rFonts w:ascii="黑体" w:eastAsia="黑体" w:hAnsi="黑体"/>
          <w:b w:val="0"/>
          <w:sz w:val="30"/>
          <w:szCs w:val="30"/>
          <w:highlight w:val="none"/>
        </w:rPr>
        <w:t>六、一般公共预算财政拨款基本支出决算情况</w:t>
      </w:r>
      <w:r>
        <w:rPr>
          <w:rFonts w:ascii="黑体" w:eastAsia="黑体" w:hAnsi="黑体" w:hint="eastAsia"/>
          <w:b w:val="0"/>
          <w:sz w:val="30"/>
          <w:szCs w:val="30"/>
          <w:highlight w:val="none"/>
          <w:lang w:eastAsia="zh-CN"/>
        </w:rPr>
        <w:t>说明</w:t>
      </w:r>
      <w:bookmarkEnd w:id="21"/>
    </w:p>
    <w:p w14:paraId="69C6373B">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天津市津南区第十幼儿园2023年度部门决算一般公共预算财政拨款基本支出合计11,795,332.32元，与2022年度相比增加1,309,835.18元，主要原因是本年度人员社保、公积金基数上调，部分人员晋级调标。幼儿园正常运转，公用经费支出增加。其中：</w:t>
        <w:br/>
        <w:t>　　人员经费10,302,798.96元，主要包括基本工资、津贴补贴、绩效工资、机关事业单位养老保险缴费、职业年金缴费、职工基本医疗保险缴费、其他社会保障缴费、住房公积金、其他工资福利支出；</w:t>
        <w:br/>
        <w:t>　　公用经费1,492,533.36元，主要包括办公费、咨询费、手续费、水费、电费、邮电费、取暖费、物业管理费、差旅费、维修（护）费、培训费、专用材料费、工会经费、福利费、其他交通费用、其他商品和服务支出、办公设备购置。</w:t>
      </w:r>
    </w:p>
    <w:p w14:paraId="32521B65">
      <w:pPr>
        <w:pStyle w:val="Heading2"/>
        <w:pageBreakBefore w:val="0"/>
        <w:kinsoku/>
        <w:wordWrap/>
        <w:overflowPunct/>
        <w:topLinePunct w:val="0"/>
        <w:autoSpaceDE/>
        <w:autoSpaceDN/>
        <w:bidi w:val="0"/>
        <w:snapToGrid/>
        <w:spacing w:before="0" w:after="0" w:line="600" w:lineRule="exact"/>
        <w:ind w:firstLine="600" w:firstLineChars="200"/>
        <w:rPr>
          <w:rFonts w:ascii="楷体" w:eastAsia="楷体" w:hAnsi="楷体" w:cs="仿宋_GB2312" w:hint="eastAsia"/>
          <w:b w:val="0"/>
          <w:sz w:val="30"/>
          <w:szCs w:val="30"/>
          <w:highlight w:val="none"/>
        </w:rPr>
      </w:pPr>
      <w:bookmarkStart w:id="22" w:name="_Toc28665"/>
      <w:r>
        <w:rPr>
          <w:rFonts w:ascii="黑体" w:eastAsia="黑体" w:hAnsi="黑体" w:hint="eastAsia"/>
          <w:b w:val="0"/>
          <w:sz w:val="30"/>
          <w:szCs w:val="30"/>
          <w:highlight w:val="none"/>
          <w:lang w:eastAsia="zh-CN"/>
        </w:rPr>
        <w:t>七</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收支决算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2"/>
    </w:p>
    <w:p w14:paraId="1B334BE6">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天津市津南区第十幼儿园2023年度无政府性基金预算财政拨款收入、支出和结转结余。</w:t>
      </w:r>
    </w:p>
    <w:p w14:paraId="1925F1C1">
      <w:pPr>
        <w:pStyle w:val="Heading2"/>
        <w:pageBreakBefore w:val="0"/>
        <w:kinsoku/>
        <w:wordWrap/>
        <w:overflowPunct/>
        <w:topLinePunct w:val="0"/>
        <w:autoSpaceDE/>
        <w:autoSpaceDN/>
        <w:bidi w:val="0"/>
        <w:snapToGrid/>
        <w:spacing w:before="0" w:after="0" w:line="600" w:lineRule="exact"/>
        <w:ind w:firstLine="600" w:firstLineChars="200"/>
        <w:rPr>
          <w:rFonts w:eastAsia="黑体" w:hint="eastAsia"/>
          <w:b w:val="0"/>
          <w:sz w:val="30"/>
          <w:szCs w:val="30"/>
          <w:highlight w:val="none"/>
        </w:rPr>
      </w:pPr>
      <w:bookmarkStart w:id="23" w:name="_Toc26562"/>
      <w:r>
        <w:rPr>
          <w:rFonts w:eastAsia="黑体" w:hint="eastAsia"/>
          <w:b w:val="0"/>
          <w:sz w:val="30"/>
          <w:szCs w:val="30"/>
          <w:highlight w:val="none"/>
          <w:lang w:eastAsia="zh-CN"/>
        </w:rPr>
        <w:t>八</w:t>
      </w:r>
      <w:r>
        <w:rPr>
          <w:rFonts w:eastAsia="黑体" w:hint="eastAsia"/>
          <w:b w:val="0"/>
          <w:sz w:val="30"/>
          <w:szCs w:val="30"/>
          <w:highlight w:val="none"/>
        </w:rPr>
        <w:t>、国有资本经营预算财政拨款收支决算情况</w:t>
      </w:r>
      <w:r>
        <w:rPr>
          <w:rFonts w:ascii="黑体" w:eastAsia="黑体" w:hAnsi="黑体" w:hint="eastAsia"/>
          <w:b w:val="0"/>
          <w:bCs w:val="0"/>
          <w:sz w:val="30"/>
          <w:szCs w:val="30"/>
          <w:highlight w:val="none"/>
          <w:lang w:eastAsia="zh-CN"/>
        </w:rPr>
        <w:t>说明</w:t>
      </w:r>
      <w:bookmarkEnd w:id="23"/>
    </w:p>
    <w:p w14:paraId="48023ADA">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天津市津南区第十幼儿园2023年度无国有资本经营预算财政拨款收入、支出和结转结余。</w:t>
      </w:r>
    </w:p>
    <w:p w14:paraId="4AA74E2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4" w:name="_Toc3397"/>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w:t>
      </w:r>
      <w:r>
        <w:rPr>
          <w:rFonts w:ascii="黑体" w:eastAsia="黑体" w:hAnsi="黑体" w:hint="eastAsia"/>
          <w:b w:val="0"/>
          <w:sz w:val="30"/>
          <w:szCs w:val="30"/>
          <w:highlight w:val="none"/>
        </w:rPr>
        <w:t>支出决算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4"/>
    </w:p>
    <w:p w14:paraId="36A8B7BB">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（一）总体情况</w:t>
      </w:r>
    </w:p>
    <w:p w14:paraId="67092F27">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14:paraId="7A19286E">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（二）具体情况</w:t>
      </w:r>
    </w:p>
    <w:p w14:paraId="0267BA7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br/>
        <w:t>　　2023年本单位组织的出国团组0个，出国0人次。</w:t>
      </w:r>
    </w:p>
    <w:p w14:paraId="4F87161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b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截至2023年12月31日，使用财政拨款开支运行维护费的公务用车保有量为0辆。</w:t>
        <w:b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14:paraId="1B2104BE">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14:paraId="4096F305">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5" w:name="_Toc28180"/>
      <w:r>
        <w:rPr>
          <w:rFonts w:ascii="黑体" w:eastAsia="黑体" w:hAnsi="黑体" w:hint="eastAsia"/>
          <w:b w:val="0"/>
          <w:sz w:val="30"/>
          <w:szCs w:val="30"/>
          <w:highlight w:val="none"/>
        </w:rPr>
        <w:t>十、</w:t>
      </w:r>
      <w:r>
        <w:rPr>
          <w:rFonts w:ascii="黑体" w:eastAsia="黑体" w:hAnsi="黑体"/>
          <w:b w:val="0"/>
          <w:sz w:val="30"/>
          <w:szCs w:val="30"/>
          <w:highlight w:val="none"/>
        </w:rPr>
        <w:t>机关运行经费</w:t>
      </w:r>
      <w:r>
        <w:rPr>
          <w:rFonts w:ascii="黑体" w:eastAsia="黑体" w:hAnsi="黑体" w:hint="eastAsia"/>
          <w:b w:val="0"/>
          <w:sz w:val="30"/>
          <w:szCs w:val="30"/>
          <w:highlight w:val="none"/>
        </w:rPr>
        <w:t>支出情况</w:t>
      </w:r>
      <w:r>
        <w:rPr>
          <w:rFonts w:ascii="黑体" w:eastAsia="黑体" w:hAnsi="黑体" w:hint="eastAsia"/>
          <w:b w:val="0"/>
          <w:bCs w:val="0"/>
          <w:sz w:val="30"/>
          <w:szCs w:val="30"/>
          <w:highlight w:val="none"/>
          <w:lang w:eastAsia="zh-CN"/>
        </w:rPr>
        <w:t>说明</w:t>
      </w:r>
      <w:bookmarkEnd w:id="25"/>
    </w:p>
    <w:p w14:paraId="58ACC37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天津市津南区第十幼儿园2023年度无机关运行经费。</w:t>
      </w:r>
    </w:p>
    <w:p w14:paraId="6BA0F1F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6" w:name="_Toc12238"/>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政府采购</w:t>
      </w:r>
      <w:r>
        <w:rPr>
          <w:rFonts w:ascii="黑体" w:eastAsia="黑体" w:hAnsi="黑体" w:hint="eastAsia"/>
          <w:b w:val="0"/>
          <w:sz w:val="30"/>
          <w:szCs w:val="30"/>
          <w:highlight w:val="none"/>
        </w:rPr>
        <w:t>支出</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6"/>
    </w:p>
    <w:p w14:paraId="2B7763DA">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天津市津南区第十幼儿园2023年政府采购支出总额796,518.00元，其中：政府采购货物支出4,887.00元、政府采购工程支出0.00元、政府采购服务支出791,631.00元。授予中小企业合同金额791,631.00元，占政府采购支出总额的99.39%，其中：授予小微企业合同金额791,631.00元，占政府采购支出总额的99.39%；货物采购授予中小企业合同金额占货物支出金额的100.00%，工程采购授予中小企业合同金额占工程支出金额的0.00%，服务采购授予中小企业合同金额占服务支出金额的100.00%。</w:t>
      </w:r>
    </w:p>
    <w:p w14:paraId="37455A8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7" w:name="_Toc30109"/>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二</w:t>
      </w:r>
      <w:r>
        <w:rPr>
          <w:rFonts w:ascii="黑体" w:eastAsia="黑体" w:hAnsi="黑体" w:hint="eastAsia"/>
          <w:b w:val="0"/>
          <w:sz w:val="30"/>
          <w:szCs w:val="30"/>
          <w:highlight w:val="none"/>
        </w:rPr>
        <w:t>、国有资产占有使用情况</w:t>
      </w:r>
      <w:r>
        <w:rPr>
          <w:rFonts w:ascii="黑体" w:eastAsia="黑体" w:hAnsi="黑体" w:hint="eastAsia"/>
          <w:b w:val="0"/>
          <w:bCs w:val="0"/>
          <w:sz w:val="30"/>
          <w:szCs w:val="30"/>
          <w:highlight w:val="none"/>
          <w:lang w:eastAsia="zh-CN"/>
        </w:rPr>
        <w:t>说明</w:t>
      </w:r>
      <w:bookmarkEnd w:id="27"/>
    </w:p>
    <w:p w14:paraId="688F01D0">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天津市津南区第十幼儿园2023年度无国有资产占有使用情况。</w:t>
      </w:r>
    </w:p>
    <w:p w14:paraId="196FFC43">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8" w:name="_Toc7408"/>
      <w:r>
        <w:rPr>
          <w:rFonts w:ascii="黑体" w:eastAsia="黑体" w:hAnsi="黑体" w:hint="eastAsia"/>
          <w:b w:val="0"/>
          <w:bCs w:val="0"/>
          <w:sz w:val="30"/>
          <w:szCs w:val="30"/>
          <w:highlight w:val="none"/>
        </w:rPr>
        <w:t>预算绩效情况说明</w:t>
      </w:r>
      <w:bookmarkEnd w:id="28"/>
    </w:p>
    <w:p w14:paraId="6949F8BB">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天津市津南区第十幼儿园2023年度无需公开项目支出绩效自评结果。</w:t>
      </w:r>
    </w:p>
    <w:p w14:paraId="48A05015">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9" w:name="_Toc12198"/>
      <w:r>
        <w:rPr>
          <w:rFonts w:ascii="黑体" w:eastAsia="黑体" w:hAnsi="黑体" w:hint="eastAsia"/>
          <w:b w:val="0"/>
          <w:bCs w:val="0"/>
          <w:sz w:val="30"/>
          <w:szCs w:val="30"/>
          <w:highlight w:val="none"/>
        </w:rPr>
        <w:t>教育、医疗卫生、社会保障和就业、住房保障、涉农补贴等民生支出情况</w:t>
      </w:r>
      <w:r>
        <w:rPr>
          <w:rFonts w:ascii="黑体" w:eastAsia="黑体" w:hAnsi="黑体" w:hint="eastAsia"/>
          <w:b w:val="0"/>
          <w:bCs w:val="0"/>
          <w:sz w:val="30"/>
          <w:szCs w:val="30"/>
          <w:highlight w:val="none"/>
          <w:lang w:eastAsia="zh-CN"/>
        </w:rPr>
        <w:t>说明</w:t>
      </w:r>
      <w:bookmarkEnd w:id="29"/>
    </w:p>
    <w:p w14:paraId="32BC4F5E">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num="1" w:space="720"/>
          <w:docGrid w:type="lines" w:linePitch="312" w:charSpace="0"/>
        </w:sectPr>
      </w:pPr>
      <w:r>
        <w:rPr>
          <w:rFonts w:ascii="仿宋_GB2312" w:eastAsia="仿宋_GB2312" w:hAnsi="仿宋_GB2312" w:cs="仿宋_GB2312" w:hint="eastAsia"/>
          <w:sz w:val="30"/>
          <w:szCs w:val="30"/>
          <w:highlight w:val="none"/>
          <w:lang w:val="en-US" w:eastAsia="zh-CN"/>
        </w:rPr>
        <w:t>天津市津南区第十幼儿园不属于乡、镇、街级单位，不涉及公开2023年度教育、医疗卫生、社会保障和就业、住房保障、涉农补贴等民生支出情况。</w:t>
      </w:r>
    </w:p>
    <w:p w14:paraId="2BFEB69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0" w:name="_Toc17573"/>
      <w:r>
        <w:rPr>
          <w:rFonts w:ascii="方正小标宋简体" w:eastAsia="方正小标宋简体" w:hAnsi="方正小标宋简体" w:cs="方正小标宋简体" w:hint="eastAsia"/>
          <w:b w:val="0"/>
          <w:sz w:val="44"/>
          <w:szCs w:val="44"/>
          <w:highlight w:val="none"/>
        </w:rPr>
        <w:t>第四部分  名词解释</w:t>
      </w:r>
      <w:bookmarkEnd w:id="30"/>
    </w:p>
    <w:p w14:paraId="2C06E5B6">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rPr>
      </w:pPr>
    </w:p>
    <w:p w14:paraId="65EDB0B7">
      <w:pPr>
        <w:pageBreakBefore w:val="0"/>
        <w:numPr>
          <w:ilvl w:val="0"/>
          <w:numId w:val="3"/>
        </w:numPr>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EAD8965">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9FFCF5C">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bookmarkStart w:id="31" w:name="_GoBack"/>
      <w:bookmarkEnd w:id="31"/>
    </w:p>
    <w:sectPr>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118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974C58C">
    <w:pPr>
      <w:pStyle w:val="Footer"/>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2049" type="#_x0000_t202" style="width:2in;height:2in;margin-top:0;margin-left:207.25pt;mso-position-horizontal-relative:margin;mso-wrap-distance-bottom:0;mso-wrap-distance-left:9pt;mso-wrap-distance-right:9pt;mso-wrap-distance-top:0;mso-wrap-style:none;position:absolute;v-text-anchor:top;z-index:251658240" filled="f" fillcolor="this" stroked="f" strokeweight="1.25pt">
              <v:textbox style="mso-fit-shape-to-text:t" inset="0,0,0,0">
                <w:txbxContent>
                  <w:p w14:paraId="3277D735">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EBE256EE"/>
    <w:multiLevelType w:val="singleLevel"/>
    <w:tmpl w:val="EBE256EE"/>
    <w:lvl w:ilvl="0">
      <w:start w:val="13"/>
      <w:numFmt w:val="chineseCounting"/>
      <w:suff w:val="nothing"/>
      <w:lvlText w:val="%1、"/>
      <w:lvlJc w:val="left"/>
      <w:rPr>
        <w:rFonts w:hint="eastAsia"/>
      </w:rPr>
    </w:lvl>
  </w:abstractNum>
  <w:abstractNum w:abstractNumId="1">
    <w:nsid w:val="62CB79B7"/>
    <w:multiLevelType w:val="singleLevel"/>
    <w:tmpl w:val="62CB79B7"/>
    <w:lvl w:ilvl="0">
      <w:start w:val="3"/>
      <w:numFmt w:val="chineseCounting"/>
      <w:suff w:val="nothing"/>
      <w:lvlText w:val="（%1）"/>
      <w:lvlJc w:val="left"/>
    </w:lvl>
  </w:abstractNum>
  <w:abstractNum w:abstractNumId="2">
    <w:nsid w:val="62CB88B4"/>
    <w:multiLevelType w:val="singleLevel"/>
    <w:tmpl w:val="62CB88B4"/>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D802DB"/>
    <w:rsid w:val="BBFEB28B"/>
    <w:rsid w:val="D74FDF30"/>
    <w:rsid w:val="DEAEE68D"/>
    <w:rsid w:val="F7F97754"/>
    <w:rsid w:val="FB7FC3E7"/>
    <w:rsid w:val="FF3F61B6"/>
    <w:rsid w:val="FFC7ECE8"/>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s>
  <w:docVars>
    <w:docVar w:name="commondata" w:val="eyJoZGlkIjoiZjFmZWIzNDg2MmIzZjExOTIzMmViNTBmYTMwYTk0ZWY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0"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semiHidden="0"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Char"/>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2Char"/>
    <w:uiPriority w:val="9"/>
    <w:unhideWhenUsed/>
    <w:qFormat/>
    <w:pPr>
      <w:keepNext/>
      <w:keepLines/>
      <w:spacing w:before="260" w:after="260" w:line="416" w:lineRule="atLeast"/>
      <w:outlineLvl w:val="1"/>
    </w:pPr>
    <w:rPr>
      <w:rFonts w:ascii="Cambria" w:eastAsia="宋体" w:hAnsi="Cambria" w:cs="Times New Roman"/>
      <w:b/>
      <w:bCs/>
      <w:sz w:val="32"/>
      <w:szCs w:val="32"/>
    </w:rPr>
  </w:style>
  <w:style w:type="paragraph" w:styleId="Heading3">
    <w:name w:val="heading 3"/>
    <w:basedOn w:val="Normal"/>
    <w:next w:val="Normal"/>
    <w:link w:val="3Char"/>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rPr>
  </w:style>
  <w:style w:type="paragraph" w:styleId="BalloonText">
    <w:name w:val="Balloon Text"/>
    <w:basedOn w:val="Normal"/>
    <w:link w:val="Char"/>
    <w:uiPriority w:val="99"/>
    <w:unhideWhenUsed/>
    <w:qFormat/>
    <w:pPr>
      <w:spacing w:line="240" w:lineRule="auto"/>
    </w:pPr>
    <w:rPr>
      <w:sz w:val="18"/>
      <w:szCs w:val="18"/>
    </w:rPr>
  </w:style>
  <w:style w:type="paragraph" w:styleId="Footer">
    <w:name w:val="footer"/>
    <w:basedOn w:val="Normal"/>
    <w:link w:val="Char0"/>
    <w:unhideWhenUsed/>
    <w:qFormat/>
    <w:pPr>
      <w:tabs>
        <w:tab w:val="center" w:pos="4153"/>
        <w:tab w:val="right" w:pos="8306"/>
      </w:tabs>
      <w:snapToGrid w:val="0"/>
      <w:spacing w:line="240" w:lineRule="atLeas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rPr>
  </w:style>
  <w:style w:type="character" w:styleId="Hyperlink">
    <w:name w:val="Hyperlink"/>
    <w:uiPriority w:val="99"/>
    <w:unhideWhenUsed/>
    <w:qFormat/>
    <w:rPr>
      <w:color w:val="0000FF"/>
      <w:u w:val="single"/>
    </w:rPr>
  </w:style>
  <w:style w:type="character" w:customStyle="1" w:styleId="1Char">
    <w:name w:val="标题 1 Char"/>
    <w:link w:val="Heading1"/>
    <w:uiPriority w:val="9"/>
    <w:qFormat/>
    <w:rPr>
      <w:b/>
      <w:bCs/>
      <w:kern w:val="44"/>
      <w:sz w:val="44"/>
      <w:szCs w:val="44"/>
    </w:rPr>
  </w:style>
  <w:style w:type="character" w:customStyle="1" w:styleId="2Char">
    <w:name w:val="标题 2 Char"/>
    <w:link w:val="Heading2"/>
    <w:uiPriority w:val="9"/>
    <w:semiHidden/>
    <w:qFormat/>
    <w:rPr>
      <w:rFonts w:ascii="Cambria" w:eastAsia="宋体" w:hAnsi="Cambria" w:cs="Times New Roman"/>
      <w:b/>
      <w:bCs/>
      <w:sz w:val="32"/>
      <w:szCs w:val="32"/>
    </w:rPr>
  </w:style>
  <w:style w:type="character" w:customStyle="1" w:styleId="3Char">
    <w:name w:val="标题 3 Char"/>
    <w:link w:val="Heading3"/>
    <w:uiPriority w:val="9"/>
    <w:semiHidden/>
    <w:qFormat/>
    <w:rPr>
      <w:b/>
      <w:bCs/>
      <w:sz w:val="32"/>
      <w:szCs w:val="32"/>
    </w:rPr>
  </w:style>
  <w:style w:type="character" w:customStyle="1" w:styleId="Char">
    <w:name w:val="批注框文本 Char"/>
    <w:link w:val="BalloonText"/>
    <w:uiPriority w:val="99"/>
    <w:semiHidden/>
    <w:qFormat/>
    <w:rPr>
      <w:sz w:val="18"/>
      <w:szCs w:val="18"/>
    </w:rPr>
  </w:style>
  <w:style w:type="character" w:customStyle="1" w:styleId="Char0">
    <w:name w:val="页脚 Char"/>
    <w:link w:val="Footer"/>
    <w:semiHidden/>
    <w:qFormat/>
    <w:rPr>
      <w:sz w:val="18"/>
      <w:szCs w:val="18"/>
    </w:rPr>
  </w:style>
  <w:style w:type="character" w:customStyle="1" w:styleId="Char1">
    <w:name w:val="页眉 Char"/>
    <w:link w:val="Header"/>
    <w:semiHidden/>
    <w:qFormat/>
    <w:rPr>
      <w:sz w:val="18"/>
      <w:szCs w:val="18"/>
    </w:rPr>
  </w:style>
  <w:style w:type="paragraph" w:customStyle="1" w:styleId="TOC">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2</TotalTime>
  <Pages>14</Pages>
  <Words>1524</Words>
  <Characters>1706</Characters>
  <Application>Microsoft Office Word</Application>
  <DocSecurity>0</DocSecurity>
  <Lines>60</Lines>
  <Paragraphs>16</Paragraphs>
  <ScaleCrop>false</ScaleCrop>
  <Company>Microsoft</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绫香~</cp:lastModifiedBy>
  <cp:revision>5</cp:revision>
  <cp:lastPrinted>2012-09-19T14:00:00Z</cp:lastPrinted>
  <dcterms:created xsi:type="dcterms:W3CDTF">2019-07-28T02:37:00Z</dcterms:created>
  <dcterms:modified xsi:type="dcterms:W3CDTF">2024-08-21T04:17:20Z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9337EA9B326C43D7BCD51FC2F8926154_13</vt:lpwstr>
  </property>
  <property fmtid="{D5CDD505-2E9C-101B-9397-08002B2CF9AE}" pid="3" name="KSOProductBuildVer">
    <vt:lpwstr>2052-12.1.0.17147</vt:lpwstr>
  </property>
</Properties>
</file>