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0 -->
  <w:background w:color="ffffff">
    <v:background id="_x0000_s1025" filled="t"/>
  </w:background>
  <w:body>
    <w:p w14:paraId="771A5F97">
      <w:pPr>
        <w:pageBreakBefore w:val="0"/>
        <w:kinsoku/>
        <w:wordWrap/>
        <w:overflowPunct/>
        <w:topLinePunct w:val="0"/>
        <w:autoSpaceDE/>
        <w:autoSpaceDN/>
        <w:bidi w:val="0"/>
        <w:snapToGrid/>
        <w:spacing w:line="240" w:lineRule="auto"/>
        <w:rPr>
          <w:rFonts w:ascii="黑体" w:eastAsia="黑体" w:hAnsi="黑体" w:cs="黑体" w:hint="default"/>
          <w:w w:val="95"/>
          <w:sz w:val="32"/>
          <w:szCs w:val="32"/>
          <w:highlight w:val="none"/>
          <w:lang w:val="en"/>
        </w:rPr>
      </w:pPr>
    </w:p>
    <w:p w14:paraId="47B8FD34">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2D3CB10">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51C4B0F">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7A7ADD0">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4E2FD57">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05DFB5D3">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EC8359E">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B497553">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7F5E6F1">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sz w:val="48"/>
          <w:szCs w:val="48"/>
          <w:highlight w:val="none"/>
          <w:lang w:val="en-US" w:eastAsia="zh-CN"/>
        </w:rPr>
      </w:pPr>
      <w:r>
        <w:rPr>
          <w:rFonts w:ascii="方正小标宋简体" w:eastAsia="方正小标宋简体" w:hAnsi="方正小标宋简体" w:cs="方正小标宋简体" w:hint="eastAsia"/>
          <w:sz w:val="48"/>
          <w:szCs w:val="48"/>
          <w:highlight w:val="none"/>
          <w:lang w:val="en-US" w:eastAsia="zh-CN"/>
        </w:rPr>
        <w:t>天津市津南区葛沽镇成人文化技术学校</w:t>
      </w:r>
    </w:p>
    <w:p w14:paraId="6C77533C">
      <w:pPr>
        <w:pageBreakBefore w:val="0"/>
        <w:kinsoku/>
        <w:wordWrap/>
        <w:overflowPunct/>
        <w:topLinePunct w:val="0"/>
        <w:autoSpaceDE/>
        <w:autoSpaceDN/>
        <w:bidi w:val="0"/>
        <w:snapToGrid/>
        <w:spacing w:line="240" w:lineRule="auto"/>
        <w:jc w:val="center"/>
        <w:rPr>
          <w:rFonts w:ascii="黑体" w:eastAsia="黑体" w:hint="eastAsia"/>
          <w:sz w:val="30"/>
          <w:szCs w:val="30"/>
          <w:highlight w:val="none"/>
        </w:rPr>
      </w:pPr>
      <w:r>
        <w:rPr>
          <w:rFonts w:ascii="方正小标宋简体" w:eastAsia="方正小标宋简体" w:hAnsi="方正小标宋简体" w:cs="方正小标宋简体" w:hint="eastAsia"/>
          <w:sz w:val="48"/>
          <w:szCs w:val="48"/>
          <w:highlight w:val="none"/>
          <w:lang w:eastAsia="zh-CN"/>
        </w:rPr>
        <w:t>202</w:t>
      </w:r>
      <w:r>
        <w:rPr>
          <w:rFonts w:ascii="方正小标宋简体" w:eastAsia="方正小标宋简体" w:hAnsi="方正小标宋简体" w:cs="方正小标宋简体" w:hint="eastAsia"/>
          <w:sz w:val="48"/>
          <w:szCs w:val="48"/>
          <w:highlight w:val="none"/>
          <w:lang w:val="en-US" w:eastAsia="zh-CN"/>
        </w:rPr>
        <w:t>3</w:t>
      </w:r>
      <w:r>
        <w:rPr>
          <w:rFonts w:ascii="方正小标宋简体" w:eastAsia="方正小标宋简体" w:hAnsi="方正小标宋简体" w:cs="方正小标宋简体" w:hint="eastAsia"/>
          <w:sz w:val="48"/>
          <w:szCs w:val="48"/>
          <w:highlight w:val="none"/>
        </w:rPr>
        <w:t>年度部门决算</w:t>
      </w:r>
    </w:p>
    <w:p w14:paraId="527484CF">
      <w:pPr>
        <w:pageBreakBefore w:val="0"/>
        <w:kinsoku/>
        <w:wordWrap/>
        <w:overflowPunct/>
        <w:topLinePunct w:val="0"/>
        <w:autoSpaceDE/>
        <w:autoSpaceDN/>
        <w:bidi w:val="0"/>
        <w:snapToGrid/>
        <w:spacing w:line="580" w:lineRule="exact"/>
        <w:jc w:val="center"/>
        <w:rPr>
          <w:rFonts w:ascii="黑体" w:eastAsia="黑体" w:hint="eastAsia"/>
          <w:sz w:val="44"/>
          <w:szCs w:val="44"/>
          <w:highlight w:val="none"/>
        </w:rPr>
      </w:pPr>
    </w:p>
    <w:p w14:paraId="5EF768AF">
      <w:pPr>
        <w:pageBreakBefore w:val="0"/>
        <w:kinsoku/>
        <w:wordWrap/>
        <w:overflowPunct/>
        <w:topLinePunct w:val="0"/>
        <w:autoSpaceDE/>
        <w:autoSpaceDN/>
        <w:bidi w:val="0"/>
        <w:snapToGrid/>
        <w:spacing w:line="600" w:lineRule="exact"/>
        <w:jc w:val="center"/>
        <w:rPr>
          <w:rFonts w:ascii="黑体" w:eastAsia="黑体" w:hint="eastAsia"/>
          <w:sz w:val="44"/>
          <w:szCs w:val="44"/>
          <w:highlight w:val="none"/>
        </w:rPr>
        <w:sectPr>
          <w:pgSz w:w="11906" w:h="16838"/>
          <w:pgMar w:top="1440" w:right="1800" w:bottom="1440" w:left="1800" w:header="851" w:footer="992" w:gutter="0"/>
          <w:pgNumType w:start="1"/>
          <w:cols w:num="1" w:space="720"/>
          <w:docGrid w:type="lines" w:linePitch="312" w:charSpace="0"/>
        </w:sectPr>
      </w:pPr>
    </w:p>
    <w:p w14:paraId="5FE03D61">
      <w:pPr>
        <w:pageBreakBefore w:val="0"/>
        <w:kinsoku/>
        <w:wordWrap/>
        <w:overflowPunct/>
        <w:topLinePunct w:val="0"/>
        <w:autoSpaceDE/>
        <w:autoSpaceDN/>
        <w:bidi w:val="0"/>
        <w:snapToGrid/>
        <w:spacing w:line="600" w:lineRule="exact"/>
        <w:jc w:val="center"/>
        <w:rPr>
          <w:rFonts w:ascii="黑体" w:eastAsia="黑体" w:hint="eastAsia"/>
          <w:sz w:val="44"/>
          <w:szCs w:val="44"/>
          <w:highlight w:val="none"/>
        </w:rPr>
      </w:pPr>
    </w:p>
    <w:p w14:paraId="340F20B9">
      <w:pPr>
        <w:pageBreakBefore w:val="0"/>
        <w:kinsoku/>
        <w:wordWrap/>
        <w:overflowPunct/>
        <w:topLinePunct w:val="0"/>
        <w:autoSpaceDE/>
        <w:autoSpaceDN/>
        <w:bidi w:val="0"/>
        <w:snapToGrid/>
        <w:spacing w:line="600" w:lineRule="exact"/>
        <w:jc w:val="center"/>
        <w:rPr>
          <w:rFonts w:ascii="黑体" w:eastAsia="黑体" w:hint="eastAsia"/>
          <w:sz w:val="44"/>
          <w:szCs w:val="44"/>
        </w:rPr>
      </w:pPr>
      <w:r>
        <w:rPr>
          <w:rFonts w:ascii="黑体" w:eastAsia="黑体" w:hint="eastAsia"/>
          <w:sz w:val="44"/>
          <w:szCs w:val="44"/>
        </w:rPr>
        <w:t>目   录</w:t>
      </w:r>
    </w:p>
    <w:p w14:paraId="37D8886D">
      <w:pPr>
        <w:pageBreakBefore w:val="0"/>
        <w:kinsoku/>
        <w:wordWrap/>
        <w:overflowPunct/>
        <w:topLinePunct w:val="0"/>
        <w:autoSpaceDE/>
        <w:autoSpaceDN/>
        <w:bidi w:val="0"/>
        <w:snapToGrid/>
        <w:spacing w:line="600" w:lineRule="exact"/>
        <w:rPr>
          <w:rFonts w:ascii="黑体" w:eastAsia="黑体" w:hint="eastAsia"/>
          <w:sz w:val="30"/>
          <w:szCs w:val="30"/>
          <w:highlight w:val="none"/>
        </w:rPr>
      </w:pPr>
    </w:p>
    <w:p w14:paraId="7A1C0097">
      <w:pPr>
        <w:pStyle w:val="TOC1"/>
        <w:pageBreakBefore w:val="0"/>
        <w:tabs>
          <w:tab w:val="clear" w:pos="8296"/>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r>
        <w:rPr>
          <w:rFonts w:ascii="Times New Roman" w:eastAsia="仿宋_GB2312" w:hAnsi="Times New Roman" w:cs="Times New Roman"/>
          <w:sz w:val="30"/>
          <w:szCs w:val="30"/>
          <w:highlight w:val="none"/>
        </w:rPr>
        <w:fldChar w:fldCharType="begin"/>
      </w:r>
      <w:r>
        <w:rPr>
          <w:rFonts w:ascii="Times New Roman" w:eastAsia="仿宋_GB2312" w:hAnsi="Times New Roman" w:cs="Times New Roman"/>
          <w:sz w:val="30"/>
          <w:szCs w:val="30"/>
          <w:highlight w:val="none"/>
        </w:rPr>
        <w:instrText xml:space="preserve"> TOC \o "1-3" \h \z \u </w:instrText>
      </w:r>
      <w:r>
        <w:rPr>
          <w:rFonts w:ascii="Times New Roman" w:eastAsia="仿宋_GB2312" w:hAnsi="Times New Roman" w:cs="Times New Roman"/>
          <w:sz w:val="30"/>
          <w:szCs w:val="30"/>
          <w:highlight w:val="none"/>
        </w:rPr>
        <w:fldChar w:fldCharType="separate"/>
      </w:r>
      <w:hyperlink w:anchor="_Toc7076" w:history="1">
        <w:r>
          <w:rPr>
            <w:rFonts w:ascii="方正小标宋简体" w:eastAsia="方正小标宋简体" w:hAnsi="方正小标宋简体" w:cs="方正小标宋简体" w:hint="eastAsia"/>
            <w:b w:val="0"/>
            <w:bCs w:val="0"/>
            <w:sz w:val="30"/>
            <w:szCs w:val="30"/>
            <w:highlight w:val="none"/>
          </w:rPr>
          <w:t>第一部分  概 况</w:t>
        </w:r>
        <w:r>
          <w:rPr>
            <w:rFonts w:ascii="方正小标宋简体" w:eastAsia="方正小标宋简体" w:hAnsi="方正小标宋简体" w:cs="方正小标宋简体" w:hint="eastAsia"/>
            <w:b w:val="0"/>
            <w:bCs w:val="0"/>
            <w:sz w:val="30"/>
            <w:szCs w:val="30"/>
          </w:rPr>
          <w:tab/>
        </w:r>
        <w:r>
          <w:rPr>
            <w:rFonts w:ascii="方正小标宋简体" w:eastAsia="方正小标宋简体" w:hAnsi="方正小标宋简体" w:cs="方正小标宋简体" w:hint="eastAsia"/>
            <w:b w:val="0"/>
            <w:bCs w:val="0"/>
            <w:sz w:val="30"/>
            <w:szCs w:val="30"/>
          </w:rPr>
          <w:fldChar w:fldCharType="begin"/>
        </w:r>
        <w:r>
          <w:rPr>
            <w:rFonts w:ascii="方正小标宋简体" w:eastAsia="方正小标宋简体" w:hAnsi="方正小标宋简体" w:cs="方正小标宋简体" w:hint="eastAsia"/>
            <w:b w:val="0"/>
            <w:bCs w:val="0"/>
            <w:sz w:val="30"/>
            <w:szCs w:val="30"/>
          </w:rPr>
          <w:instrText xml:space="preserve"> PAGEREF _Toc7076 </w:instrText>
        </w:r>
        <w:r>
          <w:rPr>
            <w:rFonts w:ascii="方正小标宋简体" w:eastAsia="方正小标宋简体" w:hAnsi="方正小标宋简体" w:cs="方正小标宋简体" w:hint="eastAsia"/>
            <w:b w:val="0"/>
            <w:bCs w:val="0"/>
            <w:sz w:val="30"/>
            <w:szCs w:val="30"/>
          </w:rPr>
          <w:fldChar w:fldCharType="separate"/>
        </w:r>
        <w:r>
          <w:rPr>
            <w:rFonts w:ascii="方正小标宋简体" w:eastAsia="方正小标宋简体" w:hAnsi="方正小标宋简体" w:cs="方正小标宋简体" w:hint="eastAsia"/>
            <w:b w:val="0"/>
            <w:bCs w:val="0"/>
            <w:sz w:val="30"/>
            <w:szCs w:val="30"/>
          </w:rPr>
          <w:t>1</w:t>
        </w:r>
        <w:r>
          <w:rPr>
            <w:rFonts w:ascii="方正小标宋简体" w:eastAsia="方正小标宋简体" w:hAnsi="方正小标宋简体" w:cs="方正小标宋简体" w:hint="eastAsia"/>
            <w:b w:val="0"/>
            <w:bCs w:val="0"/>
            <w:sz w:val="30"/>
            <w:szCs w:val="30"/>
          </w:rPr>
          <w:fldChar w:fldCharType="end"/>
        </w:r>
      </w:hyperlink>
    </w:p>
    <w:p w14:paraId="255B2CE3">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3809" w:history="1">
        <w:r>
          <w:rPr>
            <w:rFonts w:ascii="仿宋_GB2312" w:eastAsia="仿宋_GB2312" w:hAnsi="仿宋_GB2312" w:cs="仿宋_GB2312" w:hint="eastAsia"/>
            <w:bCs w:val="0"/>
            <w:sz w:val="30"/>
            <w:szCs w:val="30"/>
            <w:highlight w:val="none"/>
          </w:rPr>
          <w:t>一、主要职责</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_Toc13809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fldChar w:fldCharType="end"/>
        </w:r>
      </w:hyperlink>
    </w:p>
    <w:p w14:paraId="3CEA7295">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0426" w:history="1">
        <w:r>
          <w:rPr>
            <w:rFonts w:ascii="仿宋_GB2312" w:eastAsia="仿宋_GB2312" w:hAnsi="仿宋_GB2312" w:cs="仿宋_GB2312" w:hint="eastAsia"/>
            <w:bCs w:val="0"/>
            <w:sz w:val="30"/>
            <w:szCs w:val="30"/>
            <w:highlight w:val="none"/>
          </w:rPr>
          <w:t>二、机构设置</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_Toc20426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fldChar w:fldCharType="end"/>
        </w:r>
      </w:hyperlink>
    </w:p>
    <w:p w14:paraId="63E6C9E8">
      <w:pPr>
        <w:pStyle w:val="TOC1"/>
        <w:pageBreakBefore w:val="0"/>
        <w:tabs>
          <w:tab w:val="clear" w:pos="8296"/>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5731" w:history="1">
        <w:r>
          <w:rPr>
            <w:rFonts w:ascii="方正小标宋简体" w:eastAsia="方正小标宋简体" w:hAnsi="方正小标宋简体" w:cs="方正小标宋简体" w:hint="eastAsia"/>
            <w:b w:val="0"/>
            <w:bCs w:val="0"/>
            <w:sz w:val="30"/>
            <w:szCs w:val="30"/>
            <w:highlight w:val="none"/>
          </w:rPr>
          <w:t xml:space="preserve">第二部分  </w:t>
        </w:r>
        <w:r>
          <w:rPr>
            <w:rFonts w:ascii="方正小标宋简体" w:eastAsia="方正小标宋简体" w:hAnsi="方正小标宋简体" w:cs="方正小标宋简体" w:hint="eastAsia"/>
            <w:b w:val="0"/>
            <w:bCs w:val="0"/>
            <w:sz w:val="30"/>
            <w:szCs w:val="30"/>
            <w:highlight w:val="none"/>
            <w:lang w:eastAsia="zh-CN"/>
          </w:rPr>
          <w:t>202</w:t>
        </w:r>
        <w:r>
          <w:rPr>
            <w:rFonts w:ascii="方正小标宋简体" w:eastAsia="方正小标宋简体" w:hAnsi="方正小标宋简体" w:cs="方正小标宋简体" w:hint="eastAsia"/>
            <w:b w:val="0"/>
            <w:bCs w:val="0"/>
            <w:sz w:val="30"/>
            <w:szCs w:val="30"/>
            <w:highlight w:val="none"/>
            <w:lang w:val="en-US" w:eastAsia="zh-CN"/>
          </w:rPr>
          <w:t>3</w:t>
        </w:r>
        <w:r>
          <w:rPr>
            <w:rFonts w:ascii="方正小标宋简体" w:eastAsia="方正小标宋简体" w:hAnsi="方正小标宋简体" w:cs="方正小标宋简体" w:hint="eastAsia"/>
            <w:b w:val="0"/>
            <w:bCs w:val="0"/>
            <w:sz w:val="30"/>
            <w:szCs w:val="30"/>
            <w:highlight w:val="none"/>
          </w:rPr>
          <w:t>年度部门决算表</w:t>
        </w:r>
        <w:r>
          <w:rPr>
            <w:rFonts w:ascii="方正小标宋简体" w:eastAsia="方正小标宋简体" w:hAnsi="方正小标宋简体" w:cs="方正小标宋简体" w:hint="eastAsia"/>
            <w:b w:val="0"/>
            <w:bCs w:val="0"/>
            <w:sz w:val="30"/>
            <w:szCs w:val="30"/>
            <w:highlight w:val="none"/>
          </w:rPr>
          <w:tab/>
        </w:r>
        <w:r>
          <w:rPr>
            <w:rFonts w:ascii="方正小标宋简体" w:eastAsia="方正小标宋简体" w:hAnsi="方正小标宋简体" w:cs="方正小标宋简体" w:hint="eastAsia"/>
            <w:b w:val="0"/>
            <w:bCs w:val="0"/>
            <w:sz w:val="30"/>
            <w:szCs w:val="30"/>
            <w:highlight w:val="none"/>
          </w:rPr>
          <w:fldChar w:fldCharType="begin"/>
        </w:r>
        <w:r>
          <w:rPr>
            <w:rFonts w:ascii="方正小标宋简体" w:eastAsia="方正小标宋简体" w:hAnsi="方正小标宋简体" w:cs="方正小标宋简体" w:hint="eastAsia"/>
            <w:b w:val="0"/>
            <w:bCs w:val="0"/>
            <w:sz w:val="30"/>
            <w:szCs w:val="30"/>
            <w:highlight w:val="none"/>
          </w:rPr>
          <w:instrText xml:space="preserve"> PAGEREF _Toc15731 </w:instrText>
        </w:r>
        <w:r>
          <w:rPr>
            <w:rFonts w:ascii="方正小标宋简体" w:eastAsia="方正小标宋简体" w:hAnsi="方正小标宋简体" w:cs="方正小标宋简体" w:hint="eastAsia"/>
            <w:b w:val="0"/>
            <w:bCs w:val="0"/>
            <w:sz w:val="30"/>
            <w:szCs w:val="30"/>
            <w:highlight w:val="none"/>
          </w:rPr>
          <w:fldChar w:fldCharType="separate"/>
        </w:r>
        <w:r>
          <w:rPr>
            <w:rFonts w:ascii="方正小标宋简体" w:eastAsia="方正小标宋简体" w:hAnsi="方正小标宋简体" w:cs="方正小标宋简体" w:hint="eastAsia"/>
            <w:b w:val="0"/>
            <w:bCs w:val="0"/>
            <w:sz w:val="30"/>
            <w:szCs w:val="30"/>
            <w:highlight w:val="none"/>
          </w:rPr>
          <w:t>2</w:t>
        </w:r>
        <w:r>
          <w:rPr>
            <w:rFonts w:ascii="方正小标宋简体" w:eastAsia="方正小标宋简体" w:hAnsi="方正小标宋简体" w:cs="方正小标宋简体" w:hint="eastAsia"/>
            <w:b w:val="0"/>
            <w:bCs w:val="0"/>
            <w:sz w:val="30"/>
            <w:szCs w:val="30"/>
            <w:highlight w:val="none"/>
          </w:rPr>
          <w:fldChar w:fldCharType="end"/>
        </w:r>
      </w:hyperlink>
    </w:p>
    <w:p w14:paraId="5745C42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8843" w:history="1">
        <w:r>
          <w:rPr>
            <w:rFonts w:ascii="仿宋_GB2312" w:eastAsia="仿宋_GB2312" w:hAnsi="仿宋_GB2312" w:cs="仿宋_GB2312" w:hint="eastAsia"/>
            <w:sz w:val="30"/>
            <w:szCs w:val="30"/>
            <w:highlight w:val="none"/>
          </w:rPr>
          <w:t>一、《收入支出决算总表》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_Toc8843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3CE3AED2">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552" w:history="1">
        <w:r>
          <w:rPr>
            <w:rFonts w:ascii="仿宋_GB2312" w:eastAsia="仿宋_GB2312" w:hAnsi="仿宋_GB2312" w:cs="仿宋_GB2312" w:hint="eastAsia"/>
            <w:sz w:val="30"/>
            <w:szCs w:val="30"/>
            <w:highlight w:val="none"/>
          </w:rPr>
          <w:t>二、《收入决算表（按功能分类列示）》</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_Toc2552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2C7371C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7841" w:history="1">
        <w:r>
          <w:rPr>
            <w:rFonts w:ascii="仿宋_GB2312" w:eastAsia="仿宋_GB2312" w:hAnsi="仿宋_GB2312" w:cs="仿宋_GB2312" w:hint="eastAsia"/>
            <w:sz w:val="30"/>
            <w:szCs w:val="30"/>
            <w:highlight w:val="none"/>
          </w:rPr>
          <w:t>三、《收入决算表（按单位列示）》</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_Toc27841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5257E23D">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8617" w:history="1">
        <w:r>
          <w:rPr>
            <w:rFonts w:ascii="仿宋_GB2312" w:eastAsia="仿宋_GB2312" w:hAnsi="仿宋_GB2312" w:cs="仿宋_GB2312" w:hint="eastAsia"/>
            <w:sz w:val="30"/>
            <w:szCs w:val="30"/>
            <w:highlight w:val="none"/>
          </w:rPr>
          <w:t>四、《支出决算表》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_Toc8617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25B1ED0C">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763" w:history="1">
        <w:r>
          <w:rPr>
            <w:rFonts w:ascii="仿宋_GB2312" w:eastAsia="仿宋_GB2312" w:hAnsi="仿宋_GB2312" w:cs="仿宋_GB2312" w:hint="eastAsia"/>
            <w:sz w:val="30"/>
            <w:szCs w:val="30"/>
            <w:highlight w:val="none"/>
          </w:rPr>
          <w:t>五、《财政拨款收入支出决算总表》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_Toc12763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71C6C4DD">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4693" w:history="1">
        <w:r>
          <w:rPr>
            <w:rFonts w:ascii="仿宋_GB2312" w:eastAsia="仿宋_GB2312" w:hAnsi="仿宋_GB2312" w:cs="仿宋_GB2312" w:hint="eastAsia"/>
            <w:sz w:val="30"/>
            <w:szCs w:val="30"/>
            <w:highlight w:val="none"/>
          </w:rPr>
          <w:t>六、《一般公共预算财政拨款支出决算表》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_Toc24693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5C8D7AA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3125" w:history="1">
        <w:r>
          <w:rPr>
            <w:rFonts w:ascii="仿宋_GB2312" w:eastAsia="仿宋_GB2312" w:hAnsi="仿宋_GB2312" w:cs="仿宋_GB2312" w:hint="eastAsia"/>
            <w:sz w:val="30"/>
            <w:szCs w:val="30"/>
            <w:highlight w:val="none"/>
          </w:rPr>
          <w:t>七、《一般公共预算财政拨款基本支出决算表》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_Toc13125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22271CE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7248" w:history="1">
        <w:r>
          <w:rPr>
            <w:rFonts w:ascii="仿宋_GB2312" w:eastAsia="仿宋_GB2312" w:hAnsi="仿宋_GB2312" w:cs="仿宋_GB2312" w:hint="eastAsia"/>
            <w:sz w:val="30"/>
            <w:szCs w:val="30"/>
            <w:highlight w:val="none"/>
            <w:lang w:eastAsia="zh-CN"/>
          </w:rPr>
          <w:t>八</w:t>
        </w:r>
        <w:r>
          <w:rPr>
            <w:rFonts w:ascii="仿宋_GB2312" w:eastAsia="仿宋_GB2312" w:hAnsi="仿宋_GB2312" w:cs="仿宋_GB2312" w:hint="eastAsia"/>
            <w:sz w:val="30"/>
            <w:szCs w:val="30"/>
            <w:highlight w:val="none"/>
          </w:rPr>
          <w:t>、《政府性基金预算财政拨款收入支出决算表》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_Toc27248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1ECC3FF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5066" w:history="1">
        <w:r>
          <w:rPr>
            <w:rFonts w:ascii="仿宋_GB2312" w:eastAsia="仿宋_GB2312" w:hAnsi="仿宋_GB2312" w:cs="仿宋_GB2312" w:hint="eastAsia"/>
            <w:sz w:val="30"/>
            <w:szCs w:val="30"/>
            <w:highlight w:val="none"/>
            <w:lang w:eastAsia="zh-CN"/>
          </w:rPr>
          <w:t>九</w:t>
        </w:r>
        <w:r>
          <w:rPr>
            <w:rFonts w:ascii="仿宋_GB2312" w:eastAsia="仿宋_GB2312" w:hAnsi="仿宋_GB2312" w:cs="仿宋_GB2312" w:hint="eastAsia"/>
            <w:sz w:val="30"/>
            <w:szCs w:val="30"/>
            <w:highlight w:val="none"/>
          </w:rPr>
          <w:t>、《国有资本经营预算财政拨款收入支出决算表》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_Toc5066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3C5F80FA">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1014" w:history="1">
        <w:r>
          <w:rPr>
            <w:rFonts w:ascii="仿宋_GB2312" w:eastAsia="仿宋_GB2312" w:hAnsi="仿宋_GB2312" w:cs="仿宋_GB2312" w:hint="eastAsia"/>
            <w:sz w:val="30"/>
            <w:szCs w:val="30"/>
            <w:highlight w:val="none"/>
            <w:lang w:eastAsia="zh-CN"/>
          </w:rPr>
          <w:t>十</w:t>
        </w:r>
        <w:r>
          <w:rPr>
            <w:rFonts w:ascii="仿宋_GB2312" w:eastAsia="仿宋_GB2312" w:hAnsi="仿宋_GB2312" w:cs="仿宋_GB2312" w:hint="eastAsia"/>
            <w:sz w:val="30"/>
            <w:szCs w:val="30"/>
            <w:highlight w:val="none"/>
          </w:rPr>
          <w:t>、《财政拨款“三公”经费支出决算表》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_Toc21014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717DD5B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3144" w:history="1">
        <w:r>
          <w:rPr>
            <w:rFonts w:ascii="仿宋_GB2312" w:eastAsia="仿宋_GB2312" w:hAnsi="仿宋_GB2312" w:cs="仿宋_GB2312" w:hint="eastAsia"/>
            <w:sz w:val="30"/>
            <w:szCs w:val="30"/>
            <w:highlight w:val="none"/>
          </w:rPr>
          <w:t>十</w:t>
        </w:r>
        <w:r>
          <w:rPr>
            <w:rFonts w:ascii="仿宋_GB2312" w:eastAsia="仿宋_GB2312" w:hAnsi="仿宋_GB2312" w:cs="仿宋_GB2312" w:hint="eastAsia"/>
            <w:sz w:val="30"/>
            <w:szCs w:val="30"/>
            <w:highlight w:val="none"/>
            <w:lang w:eastAsia="zh-CN"/>
          </w:rPr>
          <w:t>一</w:t>
        </w:r>
        <w:r>
          <w:rPr>
            <w:rFonts w:ascii="仿宋_GB2312" w:eastAsia="仿宋_GB2312" w:hAnsi="仿宋_GB2312" w:cs="仿宋_GB2312" w:hint="eastAsia"/>
            <w:sz w:val="30"/>
            <w:szCs w:val="30"/>
            <w:highlight w:val="none"/>
          </w:rPr>
          <w:t>、《项目支出决算表》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_Toc13144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49A43F59">
      <w:pPr>
        <w:pStyle w:val="TOC1"/>
        <w:pageBreakBefore w:val="0"/>
        <w:tabs>
          <w:tab w:val="clear" w:pos="8296"/>
          <w:tab w:val="right" w:leader="dot" w:pos="8306"/>
        </w:tabs>
        <w:kinsoku/>
        <w:wordWrap/>
        <w:overflowPunct/>
        <w:topLinePunct w:val="0"/>
        <w:autoSpaceDE/>
        <w:autoSpaceDN/>
        <w:bidi w:val="0"/>
        <w:snapToGrid/>
        <w:spacing w:after="0"/>
        <w:rPr>
          <w:rFonts w:ascii="方正小标宋简体" w:eastAsia="方正小标宋简体" w:hAnsi="方正小标宋简体" w:cs="方正小标宋简体" w:hint="eastAsia"/>
          <w:b w:val="0"/>
          <w:bCs w:val="0"/>
          <w:sz w:val="30"/>
          <w:szCs w:val="30"/>
          <w:highlight w:val="none"/>
        </w:rPr>
      </w:pPr>
      <w:hyperlink w:anchor="_Toc6548" w:history="1">
        <w:r>
          <w:rPr>
            <w:rFonts w:ascii="方正小标宋简体" w:eastAsia="方正小标宋简体" w:hAnsi="方正小标宋简体" w:cs="方正小标宋简体" w:hint="eastAsia"/>
            <w:b w:val="0"/>
            <w:bCs w:val="0"/>
            <w:sz w:val="30"/>
            <w:szCs w:val="30"/>
            <w:highlight w:val="none"/>
          </w:rPr>
          <w:t xml:space="preserve">第三部分  </w:t>
        </w:r>
        <w:r>
          <w:rPr>
            <w:rFonts w:ascii="方正小标宋简体" w:eastAsia="方正小标宋简体" w:hAnsi="方正小标宋简体" w:cs="方正小标宋简体" w:hint="eastAsia"/>
            <w:b w:val="0"/>
            <w:bCs w:val="0"/>
            <w:sz w:val="30"/>
            <w:szCs w:val="30"/>
            <w:highlight w:val="none"/>
            <w:lang w:eastAsia="zh-CN"/>
          </w:rPr>
          <w:t>202</w:t>
        </w:r>
        <w:r>
          <w:rPr>
            <w:rFonts w:ascii="方正小标宋简体" w:eastAsia="方正小标宋简体" w:hAnsi="方正小标宋简体" w:cs="方正小标宋简体" w:hint="eastAsia"/>
            <w:b w:val="0"/>
            <w:bCs w:val="0"/>
            <w:sz w:val="30"/>
            <w:szCs w:val="30"/>
            <w:highlight w:val="none"/>
            <w:lang w:val="en-US" w:eastAsia="zh-CN"/>
          </w:rPr>
          <w:t>3</w:t>
        </w:r>
        <w:r>
          <w:rPr>
            <w:rFonts w:ascii="方正小标宋简体" w:eastAsia="方正小标宋简体" w:hAnsi="方正小标宋简体" w:cs="方正小标宋简体" w:hint="eastAsia"/>
            <w:b w:val="0"/>
            <w:bCs w:val="0"/>
            <w:sz w:val="30"/>
            <w:szCs w:val="30"/>
            <w:highlight w:val="none"/>
          </w:rPr>
          <w:t>年度部门决算情况说明</w:t>
        </w:r>
        <w:r>
          <w:rPr>
            <w:rFonts w:ascii="方正小标宋简体" w:eastAsia="方正小标宋简体" w:hAnsi="方正小标宋简体" w:cs="方正小标宋简体" w:hint="eastAsia"/>
            <w:b w:val="0"/>
            <w:bCs w:val="0"/>
            <w:sz w:val="30"/>
            <w:szCs w:val="30"/>
            <w:highlight w:val="none"/>
          </w:rPr>
          <w:tab/>
        </w:r>
        <w:r>
          <w:rPr>
            <w:rFonts w:ascii="方正小标宋简体" w:eastAsia="方正小标宋简体" w:hAnsi="方正小标宋简体" w:cs="方正小标宋简体" w:hint="eastAsia"/>
            <w:b w:val="0"/>
            <w:bCs w:val="0"/>
            <w:sz w:val="30"/>
            <w:szCs w:val="30"/>
            <w:highlight w:val="none"/>
          </w:rPr>
          <w:fldChar w:fldCharType="begin"/>
        </w:r>
        <w:r>
          <w:rPr>
            <w:rFonts w:ascii="方正小标宋简体" w:eastAsia="方正小标宋简体" w:hAnsi="方正小标宋简体" w:cs="方正小标宋简体" w:hint="eastAsia"/>
            <w:b w:val="0"/>
            <w:bCs w:val="0"/>
            <w:sz w:val="30"/>
            <w:szCs w:val="30"/>
            <w:highlight w:val="none"/>
          </w:rPr>
          <w:instrText xml:space="preserve"> PAGEREF _Toc6548 </w:instrText>
        </w:r>
        <w:r>
          <w:rPr>
            <w:rFonts w:ascii="方正小标宋简体" w:eastAsia="方正小标宋简体" w:hAnsi="方正小标宋简体" w:cs="方正小标宋简体" w:hint="eastAsia"/>
            <w:b w:val="0"/>
            <w:bCs w:val="0"/>
            <w:sz w:val="30"/>
            <w:szCs w:val="30"/>
            <w:highlight w:val="none"/>
          </w:rPr>
          <w:fldChar w:fldCharType="separate"/>
        </w:r>
        <w:r>
          <w:rPr>
            <w:rFonts w:ascii="方正小标宋简体" w:eastAsia="方正小标宋简体" w:hAnsi="方正小标宋简体" w:cs="方正小标宋简体" w:hint="eastAsia"/>
            <w:b w:val="0"/>
            <w:bCs w:val="0"/>
            <w:sz w:val="30"/>
            <w:szCs w:val="30"/>
            <w:highlight w:val="none"/>
          </w:rPr>
          <w:t>4</w:t>
        </w:r>
        <w:r>
          <w:rPr>
            <w:rFonts w:ascii="方正小标宋简体" w:eastAsia="方正小标宋简体" w:hAnsi="方正小标宋简体" w:cs="方正小标宋简体" w:hint="eastAsia"/>
            <w:b w:val="0"/>
            <w:bCs w:val="0"/>
            <w:sz w:val="30"/>
            <w:szCs w:val="30"/>
            <w:highlight w:val="none"/>
          </w:rPr>
          <w:fldChar w:fldCharType="end"/>
        </w:r>
      </w:hyperlink>
    </w:p>
    <w:p w14:paraId="6665115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8044" w:history="1">
        <w:r>
          <w:rPr>
            <w:rFonts w:ascii="仿宋_GB2312" w:eastAsia="仿宋_GB2312" w:hAnsi="仿宋_GB2312" w:cs="仿宋_GB2312" w:hint="eastAsia"/>
            <w:sz w:val="30"/>
            <w:szCs w:val="30"/>
            <w:highlight w:val="none"/>
          </w:rPr>
          <w:t>一、收入支出决算总体情况说明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_Toc28044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73EF27B3">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176" w:history="1">
        <w:r>
          <w:rPr>
            <w:rFonts w:ascii="仿宋_GB2312" w:eastAsia="仿宋_GB2312" w:hAnsi="仿宋_GB2312" w:cs="仿宋_GB2312" w:hint="eastAsia"/>
            <w:sz w:val="30"/>
            <w:szCs w:val="30"/>
            <w:highlight w:val="none"/>
          </w:rPr>
          <w:t>二、收入决算情况说明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_Toc12176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7B1F54F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31212" w:history="1">
        <w:r>
          <w:rPr>
            <w:rFonts w:ascii="仿宋_GB2312" w:eastAsia="仿宋_GB2312" w:hAnsi="仿宋_GB2312" w:cs="仿宋_GB2312" w:hint="eastAsia"/>
            <w:sz w:val="30"/>
            <w:szCs w:val="30"/>
            <w:highlight w:val="none"/>
          </w:rPr>
          <w:t>三、支出决算情况说明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_Toc31212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08C2ECD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9211" w:history="1">
        <w:r>
          <w:rPr>
            <w:rFonts w:ascii="仿宋_GB2312" w:eastAsia="仿宋_GB2312" w:hAnsi="仿宋_GB2312" w:cs="仿宋_GB2312" w:hint="eastAsia"/>
            <w:sz w:val="30"/>
            <w:szCs w:val="30"/>
            <w:highlight w:val="none"/>
          </w:rPr>
          <w:t>四、财政拨款收支决算总体情况说明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_Toc19211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5005F8A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5286" w:history="1">
        <w:r>
          <w:rPr>
            <w:rFonts w:ascii="仿宋_GB2312" w:eastAsia="仿宋_GB2312" w:hAnsi="仿宋_GB2312" w:cs="仿宋_GB2312" w:hint="eastAsia"/>
            <w:sz w:val="30"/>
            <w:szCs w:val="30"/>
            <w:highlight w:val="none"/>
          </w:rPr>
          <w:t>五、一般公共预算财政拨款支出决算情况说明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_Toc25286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fldChar w:fldCharType="end"/>
        </w:r>
      </w:hyperlink>
    </w:p>
    <w:p w14:paraId="002A0E1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6433" w:history="1">
        <w:r>
          <w:rPr>
            <w:rFonts w:ascii="仿宋_GB2312" w:eastAsia="仿宋_GB2312" w:hAnsi="仿宋_GB2312" w:cs="仿宋_GB2312" w:hint="eastAsia"/>
            <w:sz w:val="30"/>
            <w:szCs w:val="30"/>
            <w:highlight w:val="none"/>
          </w:rPr>
          <w:t>六、一般公共预算财政拨款基本支出决算情况</w:t>
        </w:r>
        <w:r>
          <w:rPr>
            <w:rFonts w:ascii="仿宋_GB2312" w:eastAsia="仿宋_GB2312" w:hAnsi="仿宋_GB2312" w:cs="仿宋_GB2312" w:hint="eastAsia"/>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_Toc26433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fldChar w:fldCharType="end"/>
        </w:r>
      </w:hyperlink>
    </w:p>
    <w:p w14:paraId="4B2BEC7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8665" w:history="1">
        <w:r>
          <w:rPr>
            <w:rFonts w:ascii="仿宋_GB2312" w:eastAsia="仿宋_GB2312" w:hAnsi="仿宋_GB2312" w:cs="仿宋_GB2312" w:hint="eastAsia"/>
            <w:sz w:val="30"/>
            <w:szCs w:val="30"/>
            <w:highlight w:val="none"/>
            <w:lang w:eastAsia="zh-CN"/>
          </w:rPr>
          <w:t>七</w:t>
        </w:r>
        <w:r>
          <w:rPr>
            <w:rFonts w:ascii="仿宋_GB2312" w:eastAsia="仿宋_GB2312" w:hAnsi="仿宋_GB2312" w:cs="仿宋_GB2312" w:hint="eastAsia"/>
            <w:sz w:val="30"/>
            <w:szCs w:val="30"/>
            <w:highlight w:val="none"/>
          </w:rPr>
          <w:t>、政府性基金预算财政拨款收支决算情况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_Toc28665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fldChar w:fldCharType="end"/>
        </w:r>
      </w:hyperlink>
    </w:p>
    <w:p w14:paraId="49D078FA">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6562" w:history="1">
        <w:r>
          <w:rPr>
            <w:rFonts w:ascii="仿宋_GB2312" w:eastAsia="仿宋_GB2312" w:hAnsi="仿宋_GB2312" w:cs="仿宋_GB2312" w:hint="eastAsia"/>
            <w:sz w:val="30"/>
            <w:szCs w:val="30"/>
            <w:highlight w:val="none"/>
            <w:lang w:eastAsia="zh-CN"/>
          </w:rPr>
          <w:t>八</w:t>
        </w:r>
        <w:r>
          <w:rPr>
            <w:rFonts w:ascii="仿宋_GB2312" w:eastAsia="仿宋_GB2312" w:hAnsi="仿宋_GB2312" w:cs="仿宋_GB2312" w:hint="eastAsia"/>
            <w:sz w:val="30"/>
            <w:szCs w:val="30"/>
            <w:highlight w:val="none"/>
          </w:rPr>
          <w:t>、国有资本经营预算财政拨款收支决算情况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_Toc26562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fldChar w:fldCharType="end"/>
        </w:r>
      </w:hyperlink>
    </w:p>
    <w:p w14:paraId="15B010B8">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3397" w:history="1">
        <w:r>
          <w:rPr>
            <w:rFonts w:ascii="仿宋_GB2312" w:eastAsia="仿宋_GB2312" w:hAnsi="仿宋_GB2312" w:cs="仿宋_GB2312" w:hint="eastAsia"/>
            <w:sz w:val="30"/>
            <w:szCs w:val="30"/>
            <w:highlight w:val="none"/>
            <w:lang w:eastAsia="zh-CN"/>
          </w:rPr>
          <w:t>九</w:t>
        </w:r>
        <w:r>
          <w:rPr>
            <w:rFonts w:ascii="仿宋_GB2312" w:eastAsia="仿宋_GB2312" w:hAnsi="仿宋_GB2312" w:cs="仿宋_GB2312" w:hint="eastAsia"/>
            <w:sz w:val="30"/>
            <w:szCs w:val="30"/>
            <w:highlight w:val="none"/>
          </w:rPr>
          <w:t>、财政拨款“三公”经费支出决算情况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_Toc3397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fldChar w:fldCharType="end"/>
        </w:r>
      </w:hyperlink>
    </w:p>
    <w:p w14:paraId="07A03F7B">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8180" w:history="1">
        <w:r>
          <w:rPr>
            <w:rFonts w:ascii="仿宋_GB2312" w:eastAsia="仿宋_GB2312" w:hAnsi="仿宋_GB2312" w:cs="仿宋_GB2312" w:hint="eastAsia"/>
            <w:sz w:val="30"/>
            <w:szCs w:val="30"/>
            <w:highlight w:val="none"/>
          </w:rPr>
          <w:t>十、机关运行经费支出情况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_Toc28180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fldChar w:fldCharType="end"/>
        </w:r>
      </w:hyperlink>
    </w:p>
    <w:p w14:paraId="3A140E9D">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238" w:history="1">
        <w:r>
          <w:rPr>
            <w:rFonts w:ascii="仿宋_GB2312" w:eastAsia="仿宋_GB2312" w:hAnsi="仿宋_GB2312" w:cs="仿宋_GB2312" w:hint="eastAsia"/>
            <w:sz w:val="30"/>
            <w:szCs w:val="30"/>
            <w:highlight w:val="none"/>
          </w:rPr>
          <w:t>十</w:t>
        </w:r>
        <w:r>
          <w:rPr>
            <w:rFonts w:ascii="仿宋_GB2312" w:eastAsia="仿宋_GB2312" w:hAnsi="仿宋_GB2312" w:cs="仿宋_GB2312" w:hint="eastAsia"/>
            <w:sz w:val="30"/>
            <w:szCs w:val="30"/>
            <w:highlight w:val="none"/>
            <w:lang w:eastAsia="zh-CN"/>
          </w:rPr>
          <w:t>一</w:t>
        </w:r>
        <w:r>
          <w:rPr>
            <w:rFonts w:ascii="仿宋_GB2312" w:eastAsia="仿宋_GB2312" w:hAnsi="仿宋_GB2312" w:cs="仿宋_GB2312" w:hint="eastAsia"/>
            <w:sz w:val="30"/>
            <w:szCs w:val="30"/>
            <w:highlight w:val="none"/>
          </w:rPr>
          <w:t>、政府采购支出情况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_Toc12238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fldChar w:fldCharType="end"/>
        </w:r>
      </w:hyperlink>
    </w:p>
    <w:p w14:paraId="4196E11C">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30109" w:history="1">
        <w:r>
          <w:rPr>
            <w:rFonts w:ascii="仿宋_GB2312" w:eastAsia="仿宋_GB2312" w:hAnsi="仿宋_GB2312" w:cs="仿宋_GB2312" w:hint="eastAsia"/>
            <w:sz w:val="30"/>
            <w:szCs w:val="30"/>
            <w:highlight w:val="none"/>
          </w:rPr>
          <w:t>十</w:t>
        </w:r>
        <w:r>
          <w:rPr>
            <w:rFonts w:ascii="仿宋_GB2312" w:eastAsia="仿宋_GB2312" w:hAnsi="仿宋_GB2312" w:cs="仿宋_GB2312" w:hint="eastAsia"/>
            <w:sz w:val="30"/>
            <w:szCs w:val="30"/>
            <w:highlight w:val="none"/>
            <w:lang w:eastAsia="zh-CN"/>
          </w:rPr>
          <w:t>二</w:t>
        </w:r>
        <w:r>
          <w:rPr>
            <w:rFonts w:ascii="仿宋_GB2312" w:eastAsia="仿宋_GB2312" w:hAnsi="仿宋_GB2312" w:cs="仿宋_GB2312" w:hint="eastAsia"/>
            <w:sz w:val="30"/>
            <w:szCs w:val="30"/>
            <w:highlight w:val="none"/>
          </w:rPr>
          <w:t>、国有资产占有使用情况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_Toc30109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fldChar w:fldCharType="end"/>
        </w:r>
      </w:hyperlink>
    </w:p>
    <w:p w14:paraId="4668112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7408" w:history="1">
        <w:r>
          <w:rPr>
            <w:rFonts w:ascii="仿宋_GB2312" w:eastAsia="仿宋_GB2312" w:hAnsi="仿宋_GB2312" w:cs="仿宋_GB2312" w:hint="eastAsia"/>
            <w:bCs w:val="0"/>
            <w:sz w:val="30"/>
            <w:szCs w:val="30"/>
          </w:rPr>
          <w:t xml:space="preserve">十三、 </w:t>
        </w:r>
        <w:r>
          <w:rPr>
            <w:rFonts w:ascii="仿宋_GB2312" w:eastAsia="仿宋_GB2312" w:hAnsi="仿宋_GB2312" w:cs="仿宋_GB2312" w:hint="eastAsia"/>
            <w:bCs w:val="0"/>
            <w:sz w:val="30"/>
            <w:szCs w:val="30"/>
            <w:highlight w:val="none"/>
          </w:rPr>
          <w:t>预算绩效情况说明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_Toc7408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fldChar w:fldCharType="end"/>
        </w:r>
      </w:hyperlink>
    </w:p>
    <w:p w14:paraId="163A91FA">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198" w:history="1">
        <w:r>
          <w:rPr>
            <w:rFonts w:ascii="仿宋_GB2312" w:eastAsia="仿宋_GB2312" w:hAnsi="仿宋_GB2312" w:cs="仿宋_GB2312" w:hint="eastAsia"/>
            <w:bCs w:val="0"/>
            <w:sz w:val="30"/>
            <w:szCs w:val="30"/>
          </w:rPr>
          <w:t xml:space="preserve">十四、 </w:t>
        </w:r>
        <w:r>
          <w:rPr>
            <w:rFonts w:ascii="仿宋_GB2312" w:eastAsia="仿宋_GB2312" w:hAnsi="仿宋_GB2312" w:cs="仿宋_GB2312" w:hint="eastAsia"/>
            <w:bCs w:val="0"/>
            <w:sz w:val="30"/>
            <w:szCs w:val="30"/>
            <w:highlight w:val="none"/>
          </w:rPr>
          <w:t>教育、医疗卫生、社会保障和就业、住房保障、涉农补贴等民生支出情况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_Toc12198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fldChar w:fldCharType="end"/>
        </w:r>
      </w:hyperlink>
    </w:p>
    <w:p w14:paraId="4A8E55AA">
      <w:pPr>
        <w:pStyle w:val="TOC1"/>
        <w:pageBreakBefore w:val="0"/>
        <w:tabs>
          <w:tab w:val="clear" w:pos="8296"/>
          <w:tab w:val="right" w:leader="dot" w:pos="8306"/>
        </w:tabs>
        <w:kinsoku/>
        <w:wordWrap/>
        <w:overflowPunct/>
        <w:topLinePunct w:val="0"/>
        <w:autoSpaceDE/>
        <w:autoSpaceDN/>
        <w:bidi w:val="0"/>
        <w:snapToGrid/>
        <w:spacing w:after="0"/>
        <w:rPr>
          <w:rFonts w:ascii="方正小标宋简体" w:eastAsia="方正小标宋简体" w:hAnsi="方正小标宋简体" w:cs="方正小标宋简体" w:hint="eastAsia"/>
          <w:b w:val="0"/>
          <w:bCs w:val="0"/>
          <w:sz w:val="30"/>
          <w:szCs w:val="30"/>
          <w:highlight w:val="none"/>
        </w:rPr>
      </w:pPr>
      <w:hyperlink w:anchor="_Toc17573" w:history="1">
        <w:r>
          <w:rPr>
            <w:rFonts w:ascii="方正小标宋简体" w:eastAsia="方正小标宋简体" w:hAnsi="方正小标宋简体" w:cs="方正小标宋简体" w:hint="eastAsia"/>
            <w:b w:val="0"/>
            <w:bCs w:val="0"/>
            <w:sz w:val="30"/>
            <w:szCs w:val="30"/>
            <w:highlight w:val="none"/>
          </w:rPr>
          <w:t>第四部分  名词解释</w:t>
        </w:r>
        <w:r>
          <w:rPr>
            <w:rFonts w:ascii="方正小标宋简体" w:eastAsia="方正小标宋简体" w:hAnsi="方正小标宋简体" w:cs="方正小标宋简体" w:hint="eastAsia"/>
            <w:b w:val="0"/>
            <w:bCs w:val="0"/>
            <w:sz w:val="30"/>
            <w:szCs w:val="30"/>
            <w:highlight w:val="none"/>
          </w:rPr>
          <w:tab/>
        </w:r>
        <w:r>
          <w:rPr>
            <w:rFonts w:ascii="方正小标宋简体" w:eastAsia="方正小标宋简体" w:hAnsi="方正小标宋简体" w:cs="方正小标宋简体" w:hint="eastAsia"/>
            <w:b w:val="0"/>
            <w:bCs w:val="0"/>
            <w:sz w:val="30"/>
            <w:szCs w:val="30"/>
            <w:highlight w:val="none"/>
          </w:rPr>
          <w:fldChar w:fldCharType="begin"/>
        </w:r>
        <w:r>
          <w:rPr>
            <w:rFonts w:ascii="方正小标宋简体" w:eastAsia="方正小标宋简体" w:hAnsi="方正小标宋简体" w:cs="方正小标宋简体" w:hint="eastAsia"/>
            <w:b w:val="0"/>
            <w:bCs w:val="0"/>
            <w:sz w:val="30"/>
            <w:szCs w:val="30"/>
            <w:highlight w:val="none"/>
          </w:rPr>
          <w:instrText xml:space="preserve"> PAGEREF _Toc17573 </w:instrText>
        </w:r>
        <w:r>
          <w:rPr>
            <w:rFonts w:ascii="方正小标宋简体" w:eastAsia="方正小标宋简体" w:hAnsi="方正小标宋简体" w:cs="方正小标宋简体" w:hint="eastAsia"/>
            <w:b w:val="0"/>
            <w:bCs w:val="0"/>
            <w:sz w:val="30"/>
            <w:szCs w:val="30"/>
            <w:highlight w:val="none"/>
          </w:rPr>
          <w:fldChar w:fldCharType="separate"/>
        </w:r>
        <w:r>
          <w:rPr>
            <w:rFonts w:ascii="方正小标宋简体" w:eastAsia="方正小标宋简体" w:hAnsi="方正小标宋简体" w:cs="方正小标宋简体" w:hint="eastAsia"/>
            <w:b w:val="0"/>
            <w:bCs w:val="0"/>
            <w:sz w:val="30"/>
            <w:szCs w:val="30"/>
            <w:highlight w:val="none"/>
          </w:rPr>
          <w:t>11</w:t>
        </w:r>
        <w:r>
          <w:rPr>
            <w:rFonts w:ascii="方正小标宋简体" w:eastAsia="方正小标宋简体" w:hAnsi="方正小标宋简体" w:cs="方正小标宋简体" w:hint="eastAsia"/>
            <w:b w:val="0"/>
            <w:bCs w:val="0"/>
            <w:sz w:val="30"/>
            <w:szCs w:val="30"/>
            <w:highlight w:val="none"/>
          </w:rPr>
          <w:fldChar w:fldCharType="end"/>
        </w:r>
      </w:hyperlink>
    </w:p>
    <w:p w14:paraId="076A79FC">
      <w:pPr>
        <w:pStyle w:val="TOC2"/>
        <w:pageBreakBefore w:val="0"/>
        <w:tabs>
          <w:tab w:val="right" w:leader="dot" w:pos="8296"/>
        </w:tabs>
        <w:kinsoku/>
        <w:wordWrap/>
        <w:overflowPunct/>
        <w:topLinePunct w:val="0"/>
        <w:autoSpaceDE/>
        <w:autoSpaceDN/>
        <w:bidi w:val="0"/>
        <w:snapToGrid/>
        <w:spacing w:after="0" w:line="600" w:lineRule="exact"/>
        <w:rPr>
          <w:rFonts w:ascii="Times New Roman" w:eastAsia="仿宋_GB2312" w:hAnsi="Times New Roman"/>
          <w:sz w:val="32"/>
          <w:szCs w:val="32"/>
          <w:highlight w:val="none"/>
        </w:rPr>
        <w:sectPr>
          <w:footerReference w:type="default" r:id="rId5"/>
          <w:pgSz w:w="11906" w:h="16838"/>
          <w:pgMar w:top="1440" w:right="1800" w:bottom="1440" w:left="1800" w:header="851" w:footer="992" w:gutter="0"/>
          <w:pgNumType w:start="1"/>
          <w:cols w:num="1" w:space="720"/>
          <w:docGrid w:type="lines" w:linePitch="312" w:charSpace="0"/>
        </w:sectPr>
      </w:pPr>
      <w:r>
        <w:rPr>
          <w:rFonts w:ascii="Times New Roman" w:eastAsia="仿宋_GB2312" w:hAnsi="Times New Roman"/>
          <w:szCs w:val="30"/>
          <w:highlight w:val="none"/>
        </w:rPr>
        <w:fldChar w:fldCharType="end"/>
      </w:r>
    </w:p>
    <w:p w14:paraId="5A5B8137">
      <w:pPr>
        <w:pageBreakBefore w:val="0"/>
        <w:kinsoku/>
        <w:wordWrap/>
        <w:overflowPunct/>
        <w:topLinePunct w:val="0"/>
        <w:autoSpaceDE/>
        <w:autoSpaceDN/>
        <w:bidi w:val="0"/>
        <w:snapToGrid/>
        <w:rPr>
          <w:rFonts w:hint="eastAsia"/>
          <w:highlight w:val="none"/>
        </w:rPr>
      </w:pPr>
    </w:p>
    <w:p w14:paraId="56223CF8">
      <w:pPr>
        <w:pageBreakBefore w:val="0"/>
        <w:kinsoku/>
        <w:wordWrap/>
        <w:overflowPunct/>
        <w:topLinePunct w:val="0"/>
        <w:autoSpaceDE/>
        <w:autoSpaceDN/>
        <w:bidi w:val="0"/>
        <w:snapToGrid/>
        <w:rPr>
          <w:rFonts w:hint="eastAsia"/>
        </w:rPr>
      </w:pPr>
    </w:p>
    <w:p w14:paraId="43A021BA">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b w:val="0"/>
          <w:sz w:val="44"/>
          <w:szCs w:val="44"/>
          <w:highlight w:val="none"/>
        </w:rPr>
      </w:pPr>
      <w:bookmarkStart w:id="0" w:name="_Toc7076"/>
      <w:r>
        <w:rPr>
          <w:rFonts w:ascii="方正小标宋简体" w:eastAsia="方正小标宋简体" w:hAnsi="方正小标宋简体" w:cs="方正小标宋简体" w:hint="eastAsia"/>
          <w:b w:val="0"/>
          <w:sz w:val="44"/>
          <w:szCs w:val="44"/>
          <w:highlight w:val="none"/>
        </w:rPr>
        <w:t>第一部分  概 况</w:t>
      </w:r>
      <w:bookmarkEnd w:id="0"/>
    </w:p>
    <w:p w14:paraId="4397E50D">
      <w:pPr>
        <w:pageBreakBefore w:val="0"/>
        <w:kinsoku/>
        <w:wordWrap/>
        <w:overflowPunct/>
        <w:topLinePunct w:val="0"/>
        <w:autoSpaceDE/>
        <w:autoSpaceDN/>
        <w:bidi w:val="0"/>
        <w:snapToGrid/>
        <w:spacing w:line="600" w:lineRule="exact"/>
        <w:rPr>
          <w:rFonts w:hint="eastAsia"/>
          <w:highlight w:val="none"/>
        </w:rPr>
      </w:pPr>
    </w:p>
    <w:p w14:paraId="6874DB43">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bCs w:val="0"/>
          <w:sz w:val="30"/>
          <w:szCs w:val="30"/>
          <w:highlight w:val="none"/>
        </w:rPr>
      </w:pPr>
      <w:bookmarkStart w:id="1" w:name="_Toc13809"/>
      <w:r>
        <w:rPr>
          <w:rFonts w:ascii="黑体" w:eastAsia="黑体" w:hAnsi="黑体" w:hint="eastAsia"/>
          <w:b w:val="0"/>
          <w:bCs w:val="0"/>
          <w:sz w:val="30"/>
          <w:szCs w:val="30"/>
          <w:highlight w:val="none"/>
        </w:rPr>
        <w:t>一、主要职责</w:t>
      </w:r>
      <w:bookmarkEnd w:id="1"/>
    </w:p>
    <w:p w14:paraId="2E5C27EE">
      <w:pPr>
        <w:pageBreakBefore w:val="0"/>
        <w:kinsoku/>
        <w:wordWrap/>
        <w:overflowPunct/>
        <w:topLinePunct w:val="0"/>
        <w:autoSpaceDE/>
        <w:autoSpaceDN/>
        <w:bidi w:val="0"/>
        <w:snapToGrid/>
        <w:spacing w:line="600" w:lineRule="exact"/>
        <w:ind w:firstLine="600" w:firstLineChars="200"/>
        <w:jc w:val="both"/>
        <w:rPr>
          <w:rFonts w:ascii="仿宋_GB2312" w:eastAsia="仿宋_GB2312" w:hint="default"/>
          <w:sz w:val="30"/>
          <w:szCs w:val="30"/>
          <w:highlight w:val="none"/>
          <w:lang w:val="en-US" w:eastAsia="zh-CN"/>
        </w:rPr>
      </w:pPr>
      <w:r>
        <w:rPr>
          <w:rFonts w:ascii="仿宋_GB2312" w:eastAsia="仿宋_GB2312" w:hint="eastAsia"/>
          <w:sz w:val="30"/>
          <w:szCs w:val="30"/>
          <w:highlight w:val="none"/>
          <w:lang w:val="en-US" w:eastAsia="zh-CN"/>
        </w:rPr>
        <w:t>天津市津南区葛沽镇成人文化技术学校为成年人提供初、中等教育服务。在本镇开展科技培训与推广；人力资源开发与推介就业；实用技术劳动力转移培训；精神文明建设与社区服务等工作。</w:t>
      </w:r>
    </w:p>
    <w:p w14:paraId="643966F6">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bCs w:val="0"/>
          <w:sz w:val="30"/>
          <w:szCs w:val="30"/>
          <w:highlight w:val="none"/>
        </w:rPr>
      </w:pPr>
      <w:bookmarkStart w:id="2" w:name="_Toc20426"/>
      <w:r>
        <w:rPr>
          <w:rFonts w:ascii="黑体" w:eastAsia="黑体" w:hAnsi="黑体" w:hint="eastAsia"/>
          <w:b w:val="0"/>
          <w:bCs w:val="0"/>
          <w:sz w:val="30"/>
          <w:szCs w:val="30"/>
          <w:highlight w:val="none"/>
        </w:rPr>
        <w:t>二、机构设置</w:t>
      </w:r>
      <w:bookmarkEnd w:id="2"/>
    </w:p>
    <w:p w14:paraId="0E316961">
      <w:pPr>
        <w:pageBreakBefore w:val="0"/>
        <w:numPr>
          <w:ilvl w:val="0"/>
          <w:numId w:val="0"/>
        </w:numPr>
        <w:kinsoku/>
        <w:wordWrap/>
        <w:overflowPunct/>
        <w:topLinePunct w:val="0"/>
        <w:autoSpaceDE/>
        <w:autoSpaceDN/>
        <w:bidi w:val="0"/>
        <w:snapToGrid/>
        <w:spacing w:line="600" w:lineRule="exact"/>
        <w:ind w:firstLine="600" w:firstLineChars="200"/>
        <w:jc w:val="both"/>
        <w:rPr>
          <w:rFonts w:eastAsia="楷体_GB2312" w:hint="eastAsia"/>
          <w:b/>
          <w:sz w:val="30"/>
          <w:szCs w:val="30"/>
          <w:highlight w:val="none"/>
        </w:rPr>
      </w:pPr>
      <w:r>
        <w:rPr>
          <w:rFonts w:ascii="仿宋_GB2312" w:eastAsia="仿宋_GB2312" w:hAnsi="Times New Roman" w:cs="Times New Roman" w:hint="eastAsia"/>
          <w:sz w:val="30"/>
          <w:szCs w:val="30"/>
          <w:highlight w:val="none"/>
          <w:lang w:val="en-US" w:eastAsia="zh-CN"/>
        </w:rPr>
        <w:t>天津市津南区葛沽镇成人文化技术学校内设1个职能</w:t>
      </w:r>
      <w:r>
        <w:rPr>
          <w:rFonts w:ascii="仿宋_GB2312" w:eastAsia="仿宋_GB2312" w:cs="Times New Roman" w:hint="eastAsia"/>
          <w:sz w:val="30"/>
          <w:szCs w:val="30"/>
          <w:highlight w:val="none"/>
          <w:lang w:val="en-US" w:eastAsia="zh-CN"/>
        </w:rPr>
        <w:t>科</w:t>
      </w:r>
      <w:r>
        <w:rPr>
          <w:rFonts w:ascii="仿宋_GB2312" w:eastAsia="仿宋_GB2312" w:hAnsi="Times New Roman" w:cs="Times New Roman" w:hint="eastAsia"/>
          <w:sz w:val="30"/>
          <w:szCs w:val="30"/>
          <w:highlight w:val="none"/>
          <w:lang w:val="en-US" w:eastAsia="zh-CN"/>
        </w:rPr>
        <w:t xml:space="preserve">室。 </w:t>
      </w:r>
      <w:r>
        <w:rPr>
          <w:rFonts w:eastAsia="楷体_GB2312"/>
          <w:b/>
          <w:sz w:val="30"/>
          <w:szCs w:val="30"/>
          <w:highlight w:val="none"/>
        </w:rPr>
        <w:br w:type="page"/>
      </w:r>
    </w:p>
    <w:p w14:paraId="671C2795">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hint="eastAsia"/>
          <w:b w:val="0"/>
          <w:sz w:val="44"/>
          <w:szCs w:val="44"/>
          <w:highlight w:val="none"/>
        </w:rPr>
      </w:pPr>
      <w:bookmarkStart w:id="3" w:name="_Toc15731"/>
      <w:r>
        <w:rPr>
          <w:rFonts w:ascii="方正小标宋简体" w:eastAsia="方正小标宋简体" w:hAnsi="方正小标宋简体" w:cs="方正小标宋简体"/>
          <w:b w:val="0"/>
          <w:sz w:val="44"/>
          <w:szCs w:val="44"/>
          <w:highlight w:val="none"/>
        </w:rPr>
        <w:t>第</w:t>
      </w:r>
      <w:r>
        <w:rPr>
          <w:rFonts w:ascii="方正小标宋简体" w:eastAsia="方正小标宋简体" w:hAnsi="方正小标宋简体" w:cs="方正小标宋简体" w:hint="eastAsia"/>
          <w:b w:val="0"/>
          <w:sz w:val="44"/>
          <w:szCs w:val="44"/>
          <w:highlight w:val="none"/>
        </w:rPr>
        <w:t>二</w:t>
      </w:r>
      <w:r>
        <w:rPr>
          <w:rFonts w:ascii="方正小标宋简体" w:eastAsia="方正小标宋简体" w:hAnsi="方正小标宋简体" w:cs="方正小标宋简体"/>
          <w:b w:val="0"/>
          <w:sz w:val="44"/>
          <w:szCs w:val="44"/>
          <w:highlight w:val="none"/>
        </w:rPr>
        <w:t xml:space="preserve">部分  </w:t>
      </w:r>
      <w:r>
        <w:rPr>
          <w:rFonts w:ascii="方正小标宋简体" w:eastAsia="方正小标宋简体" w:hAnsi="方正小标宋简体" w:cs="方正小标宋简体" w:hint="eastAsia"/>
          <w:b w:val="0"/>
          <w:sz w:val="44"/>
          <w:szCs w:val="44"/>
          <w:highlight w:val="none"/>
          <w:lang w:eastAsia="zh-CN"/>
        </w:rPr>
        <w:t>202</w:t>
      </w:r>
      <w:r>
        <w:rPr>
          <w:rFonts w:ascii="方正小标宋简体" w:eastAsia="方正小标宋简体" w:hAnsi="方正小标宋简体" w:cs="方正小标宋简体" w:hint="eastAsia"/>
          <w:b w:val="0"/>
          <w:sz w:val="44"/>
          <w:szCs w:val="44"/>
          <w:highlight w:val="none"/>
          <w:lang w:val="en-US" w:eastAsia="zh-CN"/>
        </w:rPr>
        <w:t>3</w:t>
      </w:r>
      <w:r>
        <w:rPr>
          <w:rFonts w:ascii="方正小标宋简体" w:eastAsia="方正小标宋简体" w:hAnsi="方正小标宋简体" w:cs="方正小标宋简体"/>
          <w:b w:val="0"/>
          <w:sz w:val="44"/>
          <w:szCs w:val="44"/>
          <w:highlight w:val="none"/>
        </w:rPr>
        <w:t>年度部门决算</w:t>
      </w:r>
      <w:r>
        <w:rPr>
          <w:rFonts w:ascii="方正小标宋简体" w:eastAsia="方正小标宋简体" w:hAnsi="方正小标宋简体" w:cs="方正小标宋简体" w:hint="eastAsia"/>
          <w:b w:val="0"/>
          <w:sz w:val="44"/>
          <w:szCs w:val="44"/>
          <w:highlight w:val="none"/>
        </w:rPr>
        <w:t>表</w:t>
      </w:r>
      <w:bookmarkEnd w:id="3"/>
    </w:p>
    <w:p w14:paraId="78377056">
      <w:pPr>
        <w:pageBreakBefore w:val="0"/>
        <w:kinsoku/>
        <w:wordWrap/>
        <w:overflowPunct/>
        <w:topLinePunct w:val="0"/>
        <w:autoSpaceDE/>
        <w:autoSpaceDN/>
        <w:bidi w:val="0"/>
        <w:snapToGrid/>
        <w:spacing w:line="600" w:lineRule="exact"/>
        <w:rPr>
          <w:rFonts w:hint="eastAsia"/>
          <w:highlight w:val="none"/>
        </w:rPr>
      </w:pPr>
    </w:p>
    <w:p w14:paraId="2A765E7C">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4" w:name="_Toc8843"/>
      <w:r>
        <w:rPr>
          <w:rFonts w:ascii="黑体" w:eastAsia="黑体" w:hAnsi="黑体"/>
          <w:b w:val="0"/>
          <w:sz w:val="30"/>
          <w:szCs w:val="30"/>
          <w:highlight w:val="none"/>
        </w:rPr>
        <w:t>一</w:t>
      </w:r>
      <w:r>
        <w:rPr>
          <w:rFonts w:ascii="黑体" w:eastAsia="黑体" w:hAnsi="黑体" w:hint="eastAsia"/>
          <w:b w:val="0"/>
          <w:sz w:val="30"/>
          <w:szCs w:val="30"/>
          <w:highlight w:val="none"/>
        </w:rPr>
        <w:t>、</w:t>
      </w:r>
      <w:r>
        <w:rPr>
          <w:rFonts w:ascii="黑体" w:eastAsia="黑体" w:hAnsi="黑体"/>
          <w:b w:val="0"/>
          <w:sz w:val="30"/>
          <w:szCs w:val="30"/>
          <w:highlight w:val="none"/>
        </w:rPr>
        <w:t>《</w:t>
      </w:r>
      <w:r>
        <w:rPr>
          <w:rFonts w:ascii="黑体" w:eastAsia="黑体" w:hAnsi="黑体" w:hint="eastAsia"/>
          <w:b w:val="0"/>
          <w:sz w:val="30"/>
          <w:szCs w:val="30"/>
          <w:highlight w:val="none"/>
        </w:rPr>
        <w:t>收入</w:t>
      </w:r>
      <w:r>
        <w:rPr>
          <w:rFonts w:ascii="黑体" w:eastAsia="黑体" w:hAnsi="黑体"/>
          <w:b w:val="0"/>
          <w:sz w:val="30"/>
          <w:szCs w:val="30"/>
          <w:highlight w:val="none"/>
        </w:rPr>
        <w:t>支出</w:t>
      </w:r>
      <w:r>
        <w:rPr>
          <w:rFonts w:ascii="黑体" w:eastAsia="黑体" w:hAnsi="黑体" w:hint="eastAsia"/>
          <w:b w:val="0"/>
          <w:sz w:val="30"/>
          <w:szCs w:val="30"/>
          <w:highlight w:val="none"/>
        </w:rPr>
        <w:t>决算总</w:t>
      </w:r>
      <w:r>
        <w:rPr>
          <w:rFonts w:ascii="黑体" w:eastAsia="黑体" w:hAnsi="黑体"/>
          <w:b w:val="0"/>
          <w:sz w:val="30"/>
          <w:szCs w:val="30"/>
          <w:highlight w:val="none"/>
        </w:rPr>
        <w:t>表》</w:t>
      </w:r>
      <w:bookmarkEnd w:id="4"/>
    </w:p>
    <w:p w14:paraId="464FD58B">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5" w:name="_Toc2552"/>
      <w:r>
        <w:rPr>
          <w:rFonts w:ascii="黑体" w:eastAsia="黑体" w:hAnsi="黑体"/>
          <w:b w:val="0"/>
          <w:sz w:val="30"/>
          <w:szCs w:val="30"/>
          <w:highlight w:val="none"/>
        </w:rPr>
        <w:t>二、《收入</w:t>
      </w:r>
      <w:r>
        <w:rPr>
          <w:rFonts w:ascii="黑体" w:eastAsia="黑体" w:hAnsi="黑体" w:hint="eastAsia"/>
          <w:b w:val="0"/>
          <w:sz w:val="30"/>
          <w:szCs w:val="30"/>
          <w:highlight w:val="none"/>
        </w:rPr>
        <w:t>决算</w:t>
      </w:r>
      <w:r>
        <w:rPr>
          <w:rFonts w:ascii="黑体" w:eastAsia="黑体" w:hAnsi="黑体"/>
          <w:b w:val="0"/>
          <w:sz w:val="30"/>
          <w:szCs w:val="30"/>
          <w:highlight w:val="none"/>
        </w:rPr>
        <w:t>表</w:t>
      </w:r>
      <w:r>
        <w:rPr>
          <w:rFonts w:ascii="黑体" w:eastAsia="黑体" w:hAnsi="黑体" w:hint="eastAsia"/>
          <w:b w:val="0"/>
          <w:sz w:val="30"/>
          <w:szCs w:val="30"/>
          <w:highlight w:val="none"/>
        </w:rPr>
        <w:t>（按功能分类列示）</w:t>
      </w:r>
      <w:r>
        <w:rPr>
          <w:rFonts w:ascii="黑体" w:eastAsia="黑体" w:hAnsi="黑体"/>
          <w:b w:val="0"/>
          <w:sz w:val="30"/>
          <w:szCs w:val="30"/>
          <w:highlight w:val="none"/>
        </w:rPr>
        <w:t>》</w:t>
      </w:r>
      <w:bookmarkEnd w:id="5"/>
    </w:p>
    <w:p w14:paraId="426CA08B">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6" w:name="_Toc27841"/>
      <w:r>
        <w:rPr>
          <w:rFonts w:ascii="黑体" w:eastAsia="黑体" w:hAnsi="黑体" w:hint="eastAsia"/>
          <w:b w:val="0"/>
          <w:sz w:val="30"/>
          <w:szCs w:val="30"/>
          <w:highlight w:val="none"/>
        </w:rPr>
        <w:t>三</w:t>
      </w:r>
      <w:r>
        <w:rPr>
          <w:rFonts w:ascii="黑体" w:eastAsia="黑体" w:hAnsi="黑体"/>
          <w:b w:val="0"/>
          <w:sz w:val="30"/>
          <w:szCs w:val="30"/>
          <w:highlight w:val="none"/>
        </w:rPr>
        <w:t>、《收入</w:t>
      </w:r>
      <w:r>
        <w:rPr>
          <w:rFonts w:ascii="黑体" w:eastAsia="黑体" w:hAnsi="黑体" w:hint="eastAsia"/>
          <w:b w:val="0"/>
          <w:sz w:val="30"/>
          <w:szCs w:val="30"/>
          <w:highlight w:val="none"/>
        </w:rPr>
        <w:t>决算</w:t>
      </w:r>
      <w:r>
        <w:rPr>
          <w:rFonts w:ascii="黑体" w:eastAsia="黑体" w:hAnsi="黑体"/>
          <w:b w:val="0"/>
          <w:sz w:val="30"/>
          <w:szCs w:val="30"/>
          <w:highlight w:val="none"/>
        </w:rPr>
        <w:t>表</w:t>
      </w:r>
      <w:r>
        <w:rPr>
          <w:rFonts w:ascii="黑体" w:eastAsia="黑体" w:hAnsi="黑体" w:hint="eastAsia"/>
          <w:b w:val="0"/>
          <w:sz w:val="30"/>
          <w:szCs w:val="30"/>
          <w:highlight w:val="none"/>
        </w:rPr>
        <w:t>（按单位列示）</w:t>
      </w:r>
      <w:r>
        <w:rPr>
          <w:rFonts w:ascii="黑体" w:eastAsia="黑体" w:hAnsi="黑体"/>
          <w:b w:val="0"/>
          <w:sz w:val="30"/>
          <w:szCs w:val="30"/>
          <w:highlight w:val="none"/>
        </w:rPr>
        <w:t>》</w:t>
      </w:r>
      <w:bookmarkEnd w:id="6"/>
    </w:p>
    <w:p w14:paraId="475FBA8F">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7" w:name="_Toc8617"/>
      <w:r>
        <w:rPr>
          <w:rFonts w:ascii="黑体" w:eastAsia="黑体" w:hAnsi="黑体" w:hint="eastAsia"/>
          <w:b w:val="0"/>
          <w:sz w:val="30"/>
          <w:szCs w:val="30"/>
          <w:highlight w:val="none"/>
        </w:rPr>
        <w:t>四、</w:t>
      </w:r>
      <w:r>
        <w:rPr>
          <w:rFonts w:ascii="黑体" w:eastAsia="黑体" w:hAnsi="黑体"/>
          <w:b w:val="0"/>
          <w:sz w:val="30"/>
          <w:szCs w:val="30"/>
          <w:highlight w:val="none"/>
        </w:rPr>
        <w:t>《支出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7"/>
    </w:p>
    <w:p w14:paraId="270015D2">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8" w:name="_Toc12763"/>
      <w:r>
        <w:rPr>
          <w:rFonts w:ascii="黑体" w:eastAsia="黑体" w:hAnsi="黑体"/>
          <w:b w:val="0"/>
          <w:sz w:val="30"/>
          <w:szCs w:val="30"/>
          <w:highlight w:val="none"/>
        </w:rPr>
        <w:t>五</w:t>
      </w:r>
      <w:r>
        <w:rPr>
          <w:rFonts w:ascii="黑体" w:eastAsia="黑体" w:hAnsi="黑体" w:hint="eastAsia"/>
          <w:b w:val="0"/>
          <w:sz w:val="30"/>
          <w:szCs w:val="30"/>
          <w:highlight w:val="none"/>
        </w:rPr>
        <w:t>、</w:t>
      </w:r>
      <w:r>
        <w:rPr>
          <w:rFonts w:ascii="黑体" w:eastAsia="黑体" w:hAnsi="黑体"/>
          <w:b w:val="0"/>
          <w:sz w:val="30"/>
          <w:szCs w:val="30"/>
          <w:highlight w:val="none"/>
        </w:rPr>
        <w:t>《财政拨款</w:t>
      </w:r>
      <w:r>
        <w:rPr>
          <w:rFonts w:ascii="黑体" w:eastAsia="黑体" w:hAnsi="黑体" w:hint="eastAsia"/>
          <w:b w:val="0"/>
          <w:sz w:val="30"/>
          <w:szCs w:val="30"/>
          <w:highlight w:val="none"/>
        </w:rPr>
        <w:t>收入</w:t>
      </w:r>
      <w:r>
        <w:rPr>
          <w:rFonts w:ascii="黑体" w:eastAsia="黑体" w:hAnsi="黑体"/>
          <w:b w:val="0"/>
          <w:sz w:val="30"/>
          <w:szCs w:val="30"/>
          <w:highlight w:val="none"/>
        </w:rPr>
        <w:t>支出</w:t>
      </w:r>
      <w:r>
        <w:rPr>
          <w:rFonts w:ascii="黑体" w:eastAsia="黑体" w:hAnsi="黑体" w:hint="eastAsia"/>
          <w:b w:val="0"/>
          <w:sz w:val="30"/>
          <w:szCs w:val="30"/>
          <w:highlight w:val="none"/>
        </w:rPr>
        <w:t>决算总</w:t>
      </w:r>
      <w:r>
        <w:rPr>
          <w:rFonts w:ascii="黑体" w:eastAsia="黑体" w:hAnsi="黑体"/>
          <w:b w:val="0"/>
          <w:sz w:val="30"/>
          <w:szCs w:val="30"/>
          <w:highlight w:val="none"/>
        </w:rPr>
        <w:t>表》</w:t>
      </w:r>
      <w:bookmarkEnd w:id="8"/>
    </w:p>
    <w:p w14:paraId="0EC24594">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9" w:name="_Toc24693"/>
      <w:r>
        <w:rPr>
          <w:rFonts w:ascii="黑体" w:eastAsia="黑体" w:hAnsi="黑体"/>
          <w:b w:val="0"/>
          <w:sz w:val="30"/>
          <w:szCs w:val="30"/>
          <w:highlight w:val="none"/>
        </w:rPr>
        <w:t>六</w:t>
      </w:r>
      <w:r>
        <w:rPr>
          <w:rFonts w:ascii="黑体" w:eastAsia="黑体" w:hAnsi="黑体" w:hint="eastAsia"/>
          <w:b w:val="0"/>
          <w:sz w:val="30"/>
          <w:szCs w:val="30"/>
          <w:highlight w:val="none"/>
        </w:rPr>
        <w:t>、</w:t>
      </w:r>
      <w:r>
        <w:rPr>
          <w:rFonts w:ascii="黑体" w:eastAsia="黑体" w:hAnsi="黑体"/>
          <w:b w:val="0"/>
          <w:sz w:val="30"/>
          <w:szCs w:val="30"/>
          <w:highlight w:val="none"/>
        </w:rPr>
        <w:t>《一般公共预算财政拨款支出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9"/>
    </w:p>
    <w:p w14:paraId="4AD9931C">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b w:val="0"/>
          <w:sz w:val="30"/>
          <w:szCs w:val="30"/>
          <w:highlight w:val="none"/>
        </w:rPr>
      </w:pPr>
      <w:bookmarkStart w:id="10" w:name="_Toc13125"/>
      <w:r>
        <w:rPr>
          <w:rFonts w:ascii="黑体" w:eastAsia="黑体" w:hAnsi="黑体"/>
          <w:b w:val="0"/>
          <w:sz w:val="30"/>
          <w:szCs w:val="30"/>
          <w:highlight w:val="none"/>
        </w:rPr>
        <w:t>七</w:t>
      </w:r>
      <w:r>
        <w:rPr>
          <w:rFonts w:ascii="黑体" w:eastAsia="黑体" w:hAnsi="黑体" w:hint="eastAsia"/>
          <w:b w:val="0"/>
          <w:sz w:val="30"/>
          <w:szCs w:val="30"/>
          <w:highlight w:val="none"/>
        </w:rPr>
        <w:t>、</w:t>
      </w:r>
      <w:r>
        <w:rPr>
          <w:rFonts w:ascii="黑体" w:eastAsia="黑体" w:hAnsi="黑体"/>
          <w:b w:val="0"/>
          <w:sz w:val="30"/>
          <w:szCs w:val="30"/>
          <w:highlight w:val="none"/>
        </w:rPr>
        <w:t>《一般公共预算财政拨款基本支出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10"/>
    </w:p>
    <w:p w14:paraId="7B7351B2">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1" w:name="_Toc27248"/>
      <w:r>
        <w:rPr>
          <w:rFonts w:ascii="黑体" w:eastAsia="黑体" w:hAnsi="黑体" w:hint="eastAsia"/>
          <w:b w:val="0"/>
          <w:sz w:val="30"/>
          <w:szCs w:val="30"/>
          <w:highlight w:val="none"/>
          <w:lang w:eastAsia="zh-CN"/>
        </w:rPr>
        <w:t>八</w:t>
      </w:r>
      <w:r>
        <w:rPr>
          <w:rFonts w:ascii="黑体" w:eastAsia="黑体" w:hAnsi="黑体" w:hint="eastAsia"/>
          <w:b w:val="0"/>
          <w:sz w:val="30"/>
          <w:szCs w:val="30"/>
          <w:highlight w:val="none"/>
        </w:rPr>
        <w:t>、</w:t>
      </w:r>
      <w:r>
        <w:rPr>
          <w:rFonts w:ascii="黑体" w:eastAsia="黑体" w:hAnsi="黑体"/>
          <w:b w:val="0"/>
          <w:sz w:val="30"/>
          <w:szCs w:val="30"/>
          <w:highlight w:val="none"/>
        </w:rPr>
        <w:t>《政府性基金预算财政拨款</w:t>
      </w:r>
      <w:r>
        <w:rPr>
          <w:rFonts w:ascii="黑体" w:eastAsia="黑体" w:hAnsi="黑体" w:hint="eastAsia"/>
          <w:b w:val="0"/>
          <w:sz w:val="30"/>
          <w:szCs w:val="30"/>
          <w:highlight w:val="none"/>
        </w:rPr>
        <w:t>收入</w:t>
      </w:r>
      <w:r>
        <w:rPr>
          <w:rFonts w:ascii="黑体" w:eastAsia="黑体" w:hAnsi="黑体"/>
          <w:b w:val="0"/>
          <w:sz w:val="30"/>
          <w:szCs w:val="30"/>
          <w:highlight w:val="none"/>
        </w:rPr>
        <w:t>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11"/>
    </w:p>
    <w:p w14:paraId="583F435C">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2" w:name="_Toc5066"/>
      <w:r>
        <w:rPr>
          <w:rFonts w:ascii="黑体" w:eastAsia="黑体" w:hAnsi="黑体" w:hint="eastAsia"/>
          <w:b w:val="0"/>
          <w:sz w:val="30"/>
          <w:szCs w:val="30"/>
          <w:highlight w:val="none"/>
          <w:lang w:eastAsia="zh-CN"/>
        </w:rPr>
        <w:t>九</w:t>
      </w:r>
      <w:r>
        <w:rPr>
          <w:rFonts w:ascii="黑体" w:eastAsia="黑体" w:hAnsi="黑体" w:hint="eastAsia"/>
          <w:b w:val="0"/>
          <w:sz w:val="30"/>
          <w:szCs w:val="30"/>
          <w:highlight w:val="none"/>
        </w:rPr>
        <w:t>、</w:t>
      </w:r>
      <w:r>
        <w:rPr>
          <w:rFonts w:ascii="黑体" w:eastAsia="黑体" w:hAnsi="黑体"/>
          <w:b w:val="0"/>
          <w:sz w:val="30"/>
          <w:szCs w:val="30"/>
          <w:highlight w:val="none"/>
        </w:rPr>
        <w:t>《国有资本经营预算财政拨款</w:t>
      </w:r>
      <w:r>
        <w:rPr>
          <w:rFonts w:ascii="黑体" w:eastAsia="黑体" w:hAnsi="黑体" w:hint="eastAsia"/>
          <w:b w:val="0"/>
          <w:sz w:val="30"/>
          <w:szCs w:val="30"/>
          <w:highlight w:val="none"/>
        </w:rPr>
        <w:t>收入支出决算</w:t>
      </w:r>
      <w:r>
        <w:rPr>
          <w:rFonts w:ascii="黑体" w:eastAsia="黑体" w:hAnsi="黑体"/>
          <w:b w:val="0"/>
          <w:sz w:val="30"/>
          <w:szCs w:val="30"/>
          <w:highlight w:val="none"/>
        </w:rPr>
        <w:t>表》</w:t>
      </w:r>
      <w:bookmarkEnd w:id="12"/>
    </w:p>
    <w:p w14:paraId="3B9CB3D2">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3" w:name="_Toc21014"/>
      <w:r>
        <w:rPr>
          <w:rFonts w:ascii="黑体" w:eastAsia="黑体" w:hAnsi="黑体" w:hint="eastAsia"/>
          <w:b w:val="0"/>
          <w:sz w:val="30"/>
          <w:szCs w:val="30"/>
          <w:highlight w:val="none"/>
          <w:lang w:eastAsia="zh-CN"/>
        </w:rPr>
        <w:t>十</w:t>
      </w:r>
      <w:r>
        <w:rPr>
          <w:rFonts w:ascii="黑体" w:eastAsia="黑体" w:hAnsi="黑体" w:hint="eastAsia"/>
          <w:b w:val="0"/>
          <w:sz w:val="30"/>
          <w:szCs w:val="30"/>
          <w:highlight w:val="none"/>
        </w:rPr>
        <w:t>、</w:t>
      </w:r>
      <w:r>
        <w:rPr>
          <w:rFonts w:ascii="黑体" w:eastAsia="黑体" w:hAnsi="黑体"/>
          <w:b w:val="0"/>
          <w:sz w:val="30"/>
          <w:szCs w:val="30"/>
          <w:highlight w:val="none"/>
        </w:rPr>
        <w:t>《财政拨款“三公”经费支出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13"/>
    </w:p>
    <w:p w14:paraId="5E3E5525">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4" w:name="_Toc13144"/>
      <w:r>
        <w:rPr>
          <w:rFonts w:ascii="黑体" w:eastAsia="黑体" w:hAnsi="黑体"/>
          <w:b w:val="0"/>
          <w:sz w:val="30"/>
          <w:szCs w:val="30"/>
          <w:highlight w:val="none"/>
        </w:rPr>
        <w:t>十</w:t>
      </w:r>
      <w:r>
        <w:rPr>
          <w:rFonts w:ascii="黑体" w:eastAsia="黑体" w:hAnsi="黑体" w:hint="eastAsia"/>
          <w:b w:val="0"/>
          <w:sz w:val="30"/>
          <w:szCs w:val="30"/>
          <w:highlight w:val="none"/>
          <w:lang w:eastAsia="zh-CN"/>
        </w:rPr>
        <w:t>一</w:t>
      </w:r>
      <w:r>
        <w:rPr>
          <w:rFonts w:ascii="黑体" w:eastAsia="黑体" w:hAnsi="黑体" w:hint="eastAsia"/>
          <w:b w:val="0"/>
          <w:sz w:val="30"/>
          <w:szCs w:val="30"/>
          <w:highlight w:val="none"/>
        </w:rPr>
        <w:t>、</w:t>
      </w:r>
      <w:r>
        <w:rPr>
          <w:rFonts w:ascii="黑体" w:eastAsia="黑体" w:hAnsi="黑体"/>
          <w:b w:val="0"/>
          <w:sz w:val="30"/>
          <w:szCs w:val="30"/>
          <w:highlight w:val="none"/>
        </w:rPr>
        <w:t>《项目支出决算表》</w:t>
      </w:r>
      <w:bookmarkEnd w:id="14"/>
    </w:p>
    <w:p w14:paraId="4FB5AA28">
      <w:pPr>
        <w:pageBreakBefore w:val="0"/>
        <w:kinsoku/>
        <w:wordWrap/>
        <w:overflowPunct/>
        <w:topLinePunct w:val="0"/>
        <w:autoSpaceDE/>
        <w:autoSpaceDN/>
        <w:bidi w:val="0"/>
        <w:snapToGrid/>
        <w:spacing w:line="800" w:lineRule="exact"/>
        <w:ind w:left="600" w:hanging="600" w:hangingChars="200"/>
        <w:rPr>
          <w:rFonts w:ascii="黑体" w:eastAsia="黑体" w:hAnsi="黑体" w:hint="eastAsia"/>
          <w:b w:val="0"/>
          <w:bCs w:val="0"/>
          <w:sz w:val="30"/>
          <w:szCs w:val="30"/>
          <w:highlight w:val="none"/>
        </w:rPr>
      </w:pPr>
      <w:r>
        <w:rPr>
          <w:rFonts w:eastAsia="楷体" w:hint="eastAsia"/>
          <w:sz w:val="30"/>
          <w:szCs w:val="30"/>
          <w:highlight w:val="none"/>
        </w:rPr>
        <w:t>注：以上决算公开表均作为附表，附于决算公开说明文档后。</w:t>
      </w:r>
      <w:r>
        <w:rPr>
          <w:rFonts w:hint="eastAsia"/>
          <w:b w:val="0"/>
          <w:bCs w:val="0"/>
          <w:highlight w:val="none"/>
          <w:lang w:val="en-US" w:eastAsia="zh-CN"/>
        </w:rPr>
        <w:t xml:space="preserve">    </w:t>
      </w:r>
      <w:r>
        <w:rPr>
          <w:rFonts w:ascii="黑体" w:eastAsia="黑体" w:hAnsi="黑体" w:cs="Times New Roman" w:hint="eastAsia"/>
          <w:b w:val="0"/>
          <w:bCs/>
          <w:sz w:val="30"/>
          <w:szCs w:val="30"/>
          <w:highlight w:val="none"/>
          <w:lang w:val="en-US" w:eastAsia="zh-CN" w:bidi="ar-SA"/>
        </w:rPr>
        <w:t>十二、关于空表的说明</w:t>
      </w:r>
    </w:p>
    <w:p w14:paraId="4698F441">
      <w:pPr>
        <w:pageBreakBefore w:val="0"/>
        <w:numPr>
          <w:ilvl w:val="0"/>
          <w:numId w:val="0"/>
        </w:numPr>
        <w:kinsoku/>
        <w:wordWrap/>
        <w:overflowPunct/>
        <w:topLinePunct w:val="0"/>
        <w:autoSpaceDE/>
        <w:autoSpaceDN/>
        <w:bidi w:val="0"/>
        <w:snapToGrid/>
        <w:spacing w:line="600" w:lineRule="exact"/>
        <w:ind w:firstLine="600" w:firstLineChars="200"/>
        <w:jc w:val="both"/>
        <w:rPr>
          <w:rFonts w:ascii="仿宋_GB2312" w:eastAsia="仿宋_GB2312" w:hAnsi="Times New Roman" w:cs="Times New Roman" w:hint="default"/>
          <w:sz w:val="30"/>
          <w:szCs w:val="30"/>
          <w:highlight w:val="none"/>
          <w:lang w:val="en-US" w:eastAsia="zh-CN"/>
        </w:rPr>
        <w:sectPr>
          <w:footerReference w:type="default" r:id="rId6"/>
          <w:pgSz w:w="11906" w:h="16838"/>
          <w:pgMar w:top="1440" w:right="1800" w:bottom="1440" w:left="1800" w:header="851" w:footer="992" w:gutter="0"/>
          <w:pgNumType w:start="1"/>
          <w:cols w:num="1" w:space="720"/>
          <w:docGrid w:type="lines" w:linePitch="312" w:charSpace="0"/>
        </w:sectPr>
      </w:pPr>
      <w:r>
        <w:rPr>
          <w:rFonts w:ascii="仿宋_GB2312" w:eastAsia="仿宋_GB2312" w:hAnsi="Times New Roman" w:cs="Times New Roman" w:hint="eastAsia"/>
          <w:sz w:val="30"/>
          <w:szCs w:val="30"/>
          <w:highlight w:val="none"/>
          <w:lang w:val="en-US" w:eastAsia="zh-CN"/>
        </w:rPr>
        <w:t>1.天津市津南区葛沽镇成人文化技术学校2023年度政府性基金预算财政拨款收入支出决算表为空表。</w:t>
        <w:br/>
        <w:t>　　2.天津市津南区葛沽镇成人文化技术学校2023年度国有资本经营预算财政拨款收入支出决算表为空表。</w:t>
        <w:br/>
        <w:t>　　3.天津市津南区葛沽镇成人文化技术学校2023年度财政拨款“三公”经费支出决算表为空表。</w:t>
      </w:r>
    </w:p>
    <w:p w14:paraId="2224BE62">
      <w:pPr>
        <w:pageBreakBefore w:val="0"/>
        <w:kinsoku/>
        <w:wordWrap/>
        <w:overflowPunct/>
        <w:topLinePunct w:val="0"/>
        <w:autoSpaceDE/>
        <w:autoSpaceDN/>
        <w:bidi w:val="0"/>
        <w:snapToGrid/>
        <w:spacing w:line="640" w:lineRule="exact"/>
        <w:jc w:val="center"/>
        <w:rPr>
          <w:rFonts w:eastAsia="黑体" w:hint="eastAsia"/>
          <w:sz w:val="30"/>
          <w:szCs w:val="30"/>
          <w:highlight w:val="none"/>
        </w:rPr>
      </w:pPr>
    </w:p>
    <w:p w14:paraId="79BC762B">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b w:val="0"/>
          <w:sz w:val="44"/>
          <w:szCs w:val="44"/>
          <w:highlight w:val="none"/>
        </w:rPr>
      </w:pPr>
      <w:bookmarkStart w:id="15" w:name="_Toc6548"/>
      <w:r>
        <w:rPr>
          <w:rFonts w:ascii="方正小标宋简体" w:eastAsia="方正小标宋简体" w:hAnsi="方正小标宋简体" w:cs="方正小标宋简体"/>
          <w:b w:val="0"/>
          <w:sz w:val="44"/>
          <w:szCs w:val="44"/>
          <w:highlight w:val="none"/>
        </w:rPr>
        <w:t>第</w:t>
      </w:r>
      <w:r>
        <w:rPr>
          <w:rFonts w:ascii="方正小标宋简体" w:eastAsia="方正小标宋简体" w:hAnsi="方正小标宋简体" w:cs="方正小标宋简体" w:hint="eastAsia"/>
          <w:b w:val="0"/>
          <w:sz w:val="44"/>
          <w:szCs w:val="44"/>
          <w:highlight w:val="none"/>
        </w:rPr>
        <w:t>三</w:t>
      </w:r>
      <w:r>
        <w:rPr>
          <w:rFonts w:ascii="方正小标宋简体" w:eastAsia="方正小标宋简体" w:hAnsi="方正小标宋简体" w:cs="方正小标宋简体"/>
          <w:b w:val="0"/>
          <w:sz w:val="44"/>
          <w:szCs w:val="44"/>
          <w:highlight w:val="none"/>
        </w:rPr>
        <w:t xml:space="preserve">部分  </w:t>
      </w:r>
      <w:r>
        <w:rPr>
          <w:rFonts w:ascii="方正小标宋简体" w:eastAsia="方正小标宋简体" w:hAnsi="方正小标宋简体" w:cs="方正小标宋简体" w:hint="eastAsia"/>
          <w:b w:val="0"/>
          <w:sz w:val="44"/>
          <w:szCs w:val="44"/>
          <w:highlight w:val="none"/>
          <w:lang w:eastAsia="zh-CN"/>
        </w:rPr>
        <w:t>202</w:t>
      </w:r>
      <w:r>
        <w:rPr>
          <w:rFonts w:ascii="方正小标宋简体" w:eastAsia="方正小标宋简体" w:hAnsi="方正小标宋简体" w:cs="方正小标宋简体" w:hint="eastAsia"/>
          <w:b w:val="0"/>
          <w:sz w:val="44"/>
          <w:szCs w:val="44"/>
          <w:highlight w:val="none"/>
          <w:lang w:val="en-US" w:eastAsia="zh-CN"/>
        </w:rPr>
        <w:t>3</w:t>
      </w:r>
      <w:r>
        <w:rPr>
          <w:rFonts w:ascii="方正小标宋简体" w:eastAsia="方正小标宋简体" w:hAnsi="方正小标宋简体" w:cs="方正小标宋简体"/>
          <w:b w:val="0"/>
          <w:sz w:val="44"/>
          <w:szCs w:val="44"/>
          <w:highlight w:val="none"/>
        </w:rPr>
        <w:t>年度部门决算</w:t>
      </w:r>
      <w:r>
        <w:rPr>
          <w:rFonts w:ascii="方正小标宋简体" w:eastAsia="方正小标宋简体" w:hAnsi="方正小标宋简体" w:cs="方正小标宋简体" w:hint="eastAsia"/>
          <w:b w:val="0"/>
          <w:sz w:val="44"/>
          <w:szCs w:val="44"/>
          <w:highlight w:val="none"/>
        </w:rPr>
        <w:t>情况</w:t>
      </w:r>
      <w:r>
        <w:rPr>
          <w:rFonts w:ascii="方正小标宋简体" w:eastAsia="方正小标宋简体" w:hAnsi="方正小标宋简体" w:cs="方正小标宋简体"/>
          <w:b w:val="0"/>
          <w:sz w:val="44"/>
          <w:szCs w:val="44"/>
          <w:highlight w:val="none"/>
        </w:rPr>
        <w:t>说明</w:t>
      </w:r>
      <w:bookmarkEnd w:id="15"/>
    </w:p>
    <w:p w14:paraId="7E86362F">
      <w:pPr>
        <w:pageBreakBefore w:val="0"/>
        <w:kinsoku/>
        <w:wordWrap/>
        <w:overflowPunct/>
        <w:topLinePunct w:val="0"/>
        <w:autoSpaceDE/>
        <w:autoSpaceDN/>
        <w:bidi w:val="0"/>
        <w:snapToGrid/>
        <w:spacing w:line="600" w:lineRule="exact"/>
        <w:ind w:firstLine="600" w:firstLineChars="200"/>
        <w:rPr>
          <w:rFonts w:ascii="黑体" w:eastAsia="黑体" w:hint="eastAsia"/>
          <w:sz w:val="30"/>
          <w:szCs w:val="30"/>
          <w:highlight w:val="none"/>
        </w:rPr>
      </w:pPr>
    </w:p>
    <w:p w14:paraId="033FFF87">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16" w:name="_Toc28044"/>
      <w:r>
        <w:rPr>
          <w:rFonts w:ascii="黑体" w:eastAsia="黑体" w:hAnsi="黑体" w:hint="eastAsia"/>
          <w:b w:val="0"/>
          <w:sz w:val="30"/>
          <w:szCs w:val="30"/>
          <w:highlight w:val="none"/>
        </w:rPr>
        <w:t>一、收入支出决算总体情况说明</w:t>
      </w:r>
      <w:bookmarkEnd w:id="16"/>
    </w:p>
    <w:p w14:paraId="7BA9BE3C">
      <w:pPr>
        <w:pageBreakBefore w:val="0"/>
        <w:kinsoku/>
        <w:wordWrap/>
        <w:overflowPunct/>
        <w:topLinePunct w:val="0"/>
        <w:autoSpaceDE/>
        <w:autoSpaceDN/>
        <w:bidi w:val="0"/>
        <w:snapToGrid/>
        <w:spacing w:line="600" w:lineRule="exact"/>
        <w:jc w:val="both"/>
        <w:rPr>
          <w:rFonts w:eastAsia="楷体_GB2312" w:hint="eastAsia"/>
          <w:b/>
          <w:sz w:val="30"/>
          <w:szCs w:val="30"/>
          <w:highlight w:val="none"/>
        </w:rPr>
      </w:pPr>
      <w:r>
        <w:rPr>
          <w:rFonts w:eastAsia="仿宋_GB2312" w:hint="eastAsia"/>
          <w:sz w:val="30"/>
          <w:szCs w:val="30"/>
          <w:highlight w:val="none"/>
        </w:rPr>
        <w:t xml:space="preserve">   </w:t>
      </w:r>
      <w:r>
        <w:rPr>
          <w:rFonts w:ascii="Times New Roman" w:eastAsia="仿宋_GB2312" w:hAnsi="Times New Roman" w:cs="Times New Roman" w:hint="eastAsia"/>
          <w:sz w:val="30"/>
          <w:szCs w:val="30"/>
          <w:highlight w:val="none"/>
        </w:rPr>
        <w:t xml:space="preserve"> </w:t>
      </w:r>
      <w:r>
        <w:rPr>
          <w:rFonts w:ascii="仿宋_GB2312" w:eastAsia="仿宋_GB2312" w:hAnsi="仿宋_GB2312" w:cs="仿宋_GB2312" w:hint="eastAsia"/>
          <w:sz w:val="30"/>
          <w:szCs w:val="30"/>
          <w:highlight w:val="none"/>
          <w:lang w:val="en-US" w:eastAsia="zh-CN"/>
        </w:rPr>
        <w:t>天津市津南区葛沽镇成人文化技术学校2023年度收入、支出决算总计662,901.36元。与2022年度相比，收、支总计各增加507,776.33元，增长327.33%，主要原因是本单位2023年增加了人员工资；增加了原民办代课教师教龄补贴项目。</w:t>
      </w:r>
    </w:p>
    <w:p w14:paraId="115E107A">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cs="仿宋_GB2312" w:hint="eastAsia"/>
          <w:b w:val="0"/>
          <w:sz w:val="30"/>
          <w:szCs w:val="30"/>
          <w:highlight w:val="none"/>
        </w:rPr>
      </w:pPr>
      <w:bookmarkStart w:id="17" w:name="_Toc12176"/>
      <w:r>
        <w:rPr>
          <w:rFonts w:ascii="黑体" w:eastAsia="黑体" w:hAnsi="黑体" w:cs="仿宋_GB2312" w:hint="eastAsia"/>
          <w:b w:val="0"/>
          <w:sz w:val="30"/>
          <w:szCs w:val="30"/>
          <w:highlight w:val="none"/>
        </w:rPr>
        <w:t>二、收入决算情况说明</w:t>
      </w:r>
      <w:bookmarkEnd w:id="17"/>
    </w:p>
    <w:p w14:paraId="27E464CD">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天津市津南区葛沽镇成人文化技术学校2023年度本年收入合计662,901.36元。与2022年度相比增加520,236.33元，主要原因是本单位2023年增加了人员工资；增加了原民办代课教师教龄补贴项目。其中：一般公共预算财政拨款收入662,895.37元，占100.00%；其他收入5.99元，占0.00%。</w:t>
      </w:r>
    </w:p>
    <w:p w14:paraId="72BD76E2">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cs="仿宋_GB2312" w:hint="eastAsia"/>
          <w:b w:val="0"/>
          <w:sz w:val="30"/>
          <w:szCs w:val="30"/>
          <w:highlight w:val="none"/>
        </w:rPr>
      </w:pPr>
      <w:bookmarkStart w:id="18" w:name="_Toc31212"/>
      <w:r>
        <w:rPr>
          <w:rFonts w:ascii="黑体" w:eastAsia="黑体" w:hAnsi="黑体" w:cs="仿宋_GB2312" w:hint="eastAsia"/>
          <w:b w:val="0"/>
          <w:sz w:val="30"/>
          <w:szCs w:val="30"/>
          <w:highlight w:val="none"/>
        </w:rPr>
        <w:t>三、</w:t>
      </w:r>
      <w:r>
        <w:rPr>
          <w:rFonts w:ascii="黑体" w:eastAsia="黑体" w:hAnsi="黑体" w:cs="仿宋_GB2312"/>
          <w:b w:val="0"/>
          <w:sz w:val="30"/>
          <w:szCs w:val="30"/>
          <w:highlight w:val="none"/>
        </w:rPr>
        <w:t>支出</w:t>
      </w:r>
      <w:r>
        <w:rPr>
          <w:rFonts w:ascii="黑体" w:eastAsia="黑体" w:hAnsi="黑体" w:cs="仿宋_GB2312" w:hint="eastAsia"/>
          <w:b w:val="0"/>
          <w:sz w:val="30"/>
          <w:szCs w:val="30"/>
          <w:highlight w:val="none"/>
        </w:rPr>
        <w:t>决算</w:t>
      </w:r>
      <w:r>
        <w:rPr>
          <w:rFonts w:ascii="黑体" w:eastAsia="黑体" w:hAnsi="黑体" w:cs="仿宋_GB2312"/>
          <w:b w:val="0"/>
          <w:sz w:val="30"/>
          <w:szCs w:val="30"/>
          <w:highlight w:val="none"/>
        </w:rPr>
        <w:t>情况</w:t>
      </w:r>
      <w:r>
        <w:rPr>
          <w:rFonts w:ascii="黑体" w:eastAsia="黑体" w:hAnsi="黑体" w:cs="仿宋_GB2312" w:hint="eastAsia"/>
          <w:b w:val="0"/>
          <w:sz w:val="30"/>
          <w:szCs w:val="30"/>
          <w:highlight w:val="none"/>
        </w:rPr>
        <w:t>说明</w:t>
      </w:r>
      <w:bookmarkEnd w:id="18"/>
    </w:p>
    <w:p w14:paraId="014FC260">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天津市津南区葛沽镇成人文化技术学校2023年度本年支出合计662,901.36元。与2022年度相比增加507,776.33元，主要原因是本单位2023年增加了人员工资；增加了原民办代课教师教龄补贴项目。其中：基本支出221,982.87元，占33.49%；项目支出440,918.49元，占66.51%。</w:t>
      </w:r>
    </w:p>
    <w:p w14:paraId="27F86E7C">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19" w:name="_Toc19211"/>
      <w:r>
        <w:rPr>
          <w:rFonts w:ascii="黑体" w:eastAsia="黑体" w:hAnsi="黑体" w:hint="eastAsia"/>
          <w:b w:val="0"/>
          <w:sz w:val="30"/>
          <w:szCs w:val="30"/>
          <w:highlight w:val="none"/>
        </w:rPr>
        <w:t>四、财政拨款收支决算总体情况说明</w:t>
      </w:r>
      <w:bookmarkEnd w:id="19"/>
    </w:p>
    <w:p w14:paraId="035EADBC">
      <w:pPr>
        <w:pageBreakBefore w:val="0"/>
        <w:kinsoku/>
        <w:wordWrap/>
        <w:overflowPunct/>
        <w:topLinePunct w:val="0"/>
        <w:autoSpaceDE/>
        <w:autoSpaceDN/>
        <w:bidi w:val="0"/>
        <w:snapToGrid/>
        <w:spacing w:line="600" w:lineRule="exact"/>
        <w:ind w:firstLine="600" w:firstLineChars="200"/>
        <w:jc w:val="both"/>
        <w:rPr>
          <w:rFonts w:eastAsia="楷体_GB2312" w:hint="eastAsia"/>
          <w:b/>
          <w:sz w:val="30"/>
          <w:szCs w:val="30"/>
          <w:highlight w:val="none"/>
        </w:rPr>
      </w:pPr>
      <w:r>
        <w:rPr>
          <w:rFonts w:ascii="仿宋_GB2312" w:eastAsia="仿宋_GB2312" w:hAnsi="仿宋_GB2312" w:cs="仿宋_GB2312" w:hint="eastAsia"/>
          <w:sz w:val="30"/>
          <w:szCs w:val="30"/>
          <w:highlight w:val="none"/>
          <w:lang w:val="en-US" w:eastAsia="zh-CN"/>
        </w:rPr>
        <w:t>天津市津南区葛沽镇成人文化技术学校2023年度财政拨款收入、支出决算总计662,895.37元。与2022年度相比，财政拨款收、支总计各增加512,720.34元，增长341.42%，主要原因是本单位2023年增加了人员工资；增加了原民办代课教师教龄补贴项目。</w:t>
      </w:r>
    </w:p>
    <w:p w14:paraId="64D91861">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20" w:name="_Toc25286"/>
      <w:r>
        <w:rPr>
          <w:rFonts w:ascii="黑体" w:eastAsia="黑体" w:hAnsi="黑体"/>
          <w:b w:val="0"/>
          <w:sz w:val="30"/>
          <w:szCs w:val="30"/>
          <w:highlight w:val="none"/>
        </w:rPr>
        <w:t>五</w:t>
      </w:r>
      <w:r>
        <w:rPr>
          <w:rFonts w:ascii="黑体" w:eastAsia="黑体" w:hAnsi="黑体" w:hint="eastAsia"/>
          <w:b w:val="0"/>
          <w:sz w:val="30"/>
          <w:szCs w:val="30"/>
          <w:highlight w:val="none"/>
        </w:rPr>
        <w:t>、</w:t>
      </w:r>
      <w:r>
        <w:rPr>
          <w:rFonts w:ascii="黑体" w:eastAsia="黑体" w:hAnsi="黑体"/>
          <w:b w:val="0"/>
          <w:sz w:val="30"/>
          <w:szCs w:val="30"/>
          <w:highlight w:val="none"/>
        </w:rPr>
        <w:t>一般公共预算财政拨款支出决算情况</w:t>
      </w:r>
      <w:r>
        <w:rPr>
          <w:rFonts w:ascii="黑体" w:eastAsia="黑体" w:hAnsi="黑体" w:hint="eastAsia"/>
          <w:b w:val="0"/>
          <w:sz w:val="30"/>
          <w:szCs w:val="30"/>
          <w:highlight w:val="none"/>
        </w:rPr>
        <w:t>说明</w:t>
      </w:r>
      <w:bookmarkEnd w:id="20"/>
    </w:p>
    <w:p w14:paraId="0D6DBCCF">
      <w:pPr>
        <w:pageBreakBefore w:val="0"/>
        <w:kinsoku/>
        <w:wordWrap/>
        <w:overflowPunct/>
        <w:topLinePunct w:val="0"/>
        <w:autoSpaceDE/>
        <w:autoSpaceDN/>
        <w:bidi w:val="0"/>
        <w:snapToGrid/>
        <w:spacing w:line="600" w:lineRule="exact"/>
        <w:ind w:left="480" w:leftChars="200"/>
        <w:rPr>
          <w:rFonts w:ascii="楷体" w:eastAsia="楷体" w:hAnsi="楷体" w:cs="仿宋_GB2312" w:hint="eastAsia"/>
          <w:b/>
          <w:sz w:val="30"/>
          <w:szCs w:val="30"/>
          <w:highlight w:val="none"/>
        </w:rPr>
      </w:pPr>
      <w:r>
        <w:rPr>
          <w:rFonts w:ascii="楷体" w:eastAsia="楷体" w:hAnsi="楷体" w:cs="仿宋_GB2312" w:hint="eastAsia"/>
          <w:b/>
          <w:sz w:val="30"/>
          <w:szCs w:val="30"/>
          <w:highlight w:val="none"/>
        </w:rPr>
        <w:t>（一）总体情况</w:t>
      </w:r>
    </w:p>
    <w:p w14:paraId="2CCD4E54">
      <w:pPr>
        <w:pageBreakBefore w:val="0"/>
        <w:kinsoku/>
        <w:wordWrap/>
        <w:overflowPunct/>
        <w:topLinePunct w:val="0"/>
        <w:autoSpaceDE/>
        <w:autoSpaceDN/>
        <w:bidi w:val="0"/>
        <w:snapToGrid/>
        <w:spacing w:line="600" w:lineRule="exact"/>
        <w:ind w:firstLine="600" w:firstLineChars="200"/>
        <w:jc w:val="both"/>
        <w:rPr>
          <w:rFonts w:eastAsia="楷体_GB2312" w:hint="eastAsia"/>
          <w:b/>
          <w:sz w:val="30"/>
          <w:szCs w:val="30"/>
          <w:highlight w:val="none"/>
        </w:rPr>
      </w:pPr>
      <w:r>
        <w:rPr>
          <w:rFonts w:ascii="仿宋_GB2312" w:eastAsia="仿宋_GB2312" w:hAnsi="仿宋_GB2312" w:cs="仿宋_GB2312" w:hint="eastAsia"/>
          <w:sz w:val="30"/>
          <w:szCs w:val="30"/>
          <w:highlight w:val="none"/>
          <w:lang w:val="en-US" w:eastAsia="zh-CN"/>
        </w:rPr>
        <w:t>天津市津南区葛沽镇成人文化技术学校2023年度部门决算一般公共预算财政拨款支出合计662,895.37元，占本年支出合计的100.00%。与2022年度相比，一般公共预算财政拨款支出增加512,720.34元，增长341.42%，主要原因是本单位2023年增加了人员工资；增加了原民办代课教师教龄补贴项目。</w:t>
      </w:r>
    </w:p>
    <w:p w14:paraId="6DC3EBD7">
      <w:pPr>
        <w:pageBreakBefore w:val="0"/>
        <w:kinsoku/>
        <w:wordWrap/>
        <w:overflowPunct/>
        <w:topLinePunct w:val="0"/>
        <w:autoSpaceDE/>
        <w:autoSpaceDN/>
        <w:bidi w:val="0"/>
        <w:snapToGrid/>
        <w:spacing w:line="600" w:lineRule="exact"/>
        <w:ind w:firstLine="600" w:firstLineChars="200"/>
        <w:rPr>
          <w:rFonts w:ascii="楷体" w:eastAsia="楷体" w:hAnsi="楷体" w:cs="仿宋_GB2312" w:hint="eastAsia"/>
          <w:b/>
          <w:sz w:val="30"/>
          <w:szCs w:val="30"/>
          <w:highlight w:val="none"/>
        </w:rPr>
      </w:pPr>
      <w:r>
        <w:rPr>
          <w:rFonts w:ascii="楷体" w:eastAsia="楷体" w:hAnsi="楷体" w:cs="仿宋_GB2312" w:hint="eastAsia"/>
          <w:b/>
          <w:sz w:val="30"/>
          <w:szCs w:val="30"/>
          <w:highlight w:val="none"/>
        </w:rPr>
        <w:t>（二）支出结构情况</w:t>
      </w:r>
    </w:p>
    <w:p w14:paraId="4FE5B959">
      <w:pPr>
        <w:pageBreakBefore w:val="0"/>
        <w:kinsoku/>
        <w:wordWrap/>
        <w:overflowPunct/>
        <w:topLinePunct w:val="0"/>
        <w:autoSpaceDE/>
        <w:autoSpaceDN/>
        <w:bidi w:val="0"/>
        <w:snapToGrid/>
        <w:spacing w:line="600" w:lineRule="exact"/>
        <w:ind w:firstLine="600" w:firstLineChars="200"/>
        <w:jc w:val="both"/>
        <w:rPr>
          <w:rFonts w:eastAsia="仿宋_GB2312" w:hint="eastAsia"/>
          <w:sz w:val="30"/>
          <w:szCs w:val="30"/>
          <w:highlight w:val="none"/>
        </w:rPr>
      </w:pPr>
      <w:r>
        <w:rPr>
          <w:rFonts w:ascii="仿宋_GB2312" w:eastAsia="仿宋_GB2312" w:hAnsi="仿宋_GB2312" w:cs="仿宋_GB2312" w:hint="eastAsia"/>
          <w:sz w:val="30"/>
          <w:szCs w:val="30"/>
          <w:highlight w:val="none"/>
          <w:lang w:val="en-US" w:eastAsia="zh-CN"/>
        </w:rPr>
        <w:t>2023年度一般公共预算财政拨款支出662,895.37元，主要用于以下方面：</w:t>
        <w:br/>
        <w:t>　　教育支出（类）支出618,383.01元，占93.28%；</w:t>
        <w:br/>
        <w:t>　　社会保障和就业支出（类）支出20,079.36元，占3.03%；</w:t>
        <w:br/>
        <w:t>　　卫生健康支出（类）支出9,865.00元，占1.49%；</w:t>
        <w:br/>
        <w:t>　　住房保障支出（类）支出14,568.00元，占2.20%。</w:t>
      </w:r>
    </w:p>
    <w:p w14:paraId="25EC0BDB">
      <w:pPr>
        <w:pageBreakBefore w:val="0"/>
        <w:numPr>
          <w:ilvl w:val="0"/>
          <w:numId w:val="1"/>
        </w:numPr>
        <w:kinsoku/>
        <w:wordWrap/>
        <w:overflowPunct/>
        <w:topLinePunct w:val="0"/>
        <w:autoSpaceDE/>
        <w:autoSpaceDN/>
        <w:bidi w:val="0"/>
        <w:snapToGrid/>
        <w:spacing w:line="600" w:lineRule="exact"/>
        <w:ind w:firstLine="600" w:firstLineChars="200"/>
        <w:rPr>
          <w:rFonts w:ascii="楷体" w:eastAsia="楷体" w:hAnsi="楷体" w:cs="仿宋_GB2312"/>
          <w:b/>
          <w:sz w:val="30"/>
          <w:szCs w:val="30"/>
          <w:highlight w:val="none"/>
        </w:rPr>
      </w:pPr>
      <w:r>
        <w:rPr>
          <w:rFonts w:ascii="楷体" w:eastAsia="楷体" w:hAnsi="楷体" w:cs="仿宋_GB2312"/>
          <w:b/>
          <w:sz w:val="30"/>
          <w:szCs w:val="30"/>
          <w:highlight w:val="none"/>
        </w:rPr>
        <w:t>具体情况</w:t>
      </w:r>
    </w:p>
    <w:p w14:paraId="0502470A">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ascii="仿宋_GB2312" w:eastAsia="仿宋_GB2312" w:hAnsi="仿宋_GB2312" w:cs="仿宋_GB2312" w:hint="eastAsia"/>
          <w:sz w:val="30"/>
          <w:szCs w:val="30"/>
          <w:highlight w:val="none"/>
          <w:lang w:val="en-US" w:eastAsia="zh-CN"/>
        </w:rPr>
        <w:t>2023年度一般公共预算财政拨款支出年初预算为744,775.56元，支出决算为662,895.37元，完成年初预算的89.01%。其中：</w:t>
        <w:br/>
        <w:t>　　1.教育支出（类）普通教育（款）其他普通教育支出（项）年初预算为700,395.00元，支出决算为618,383.01元，完成年初预算的88.29%，决算数小于年初预算数的主要原因是2023年初教师考评绩效奖励资金人均22000元编制预算，按照考核方案实际发放人均10950元，造成年初预算金额大于决算金额；项目资金未全部列支，财政年末收回。</w:t>
        <w:br/>
        <w:t>　　2.社会保障和就业支出（类）行政事业单位养老支出（款）机关事业单位基本养老保险缴费支出（项）年初预算为13,386.48元，支出决算为13,386.24元，完成年初预算的99.99%，决算数小于年初预算数的主要原因是年初预算缴纳基数比实际缴纳基数高。</w:t>
        <w:br/>
        <w:t>　　3.社会保障和就业支出（类）行政事业单位养老支出（款）机关事业单位职业年金缴费支出（项）年初预算为6,693.24元，支出决算为6,693.12元，完成年初预算的99.99%，决算数小于年初预算数的主要原因是年初预算缴纳基数比实际缴纳基数高。</w:t>
        <w:br/>
        <w:t>　　4.卫生健康支出（类）行政事业单位医疗（款）事业单位医疗（项）年初预算为8,784.84元，支出决算为8,715.00元，完成年初预算的99.20%，决算数小于年初预算数的主要原因是年初预算缴纳基数比实际缴纳基数高。</w:t>
        <w:br/>
        <w:t>　　5.卫生健康支出（类）行政事业单位医疗（款）其他行政事业单位医疗支出（项）年初预算为1,200元，支出决算为1,150.00元，完成年初预算的95.83%，决算数小于年初预算数的主要原因是年初预算标准比实际缴纳标准高。</w:t>
        <w:br/>
        <w:t>　　6.住房保障支出（类）住房改革支出（款）住房公积金（项）年初预算为14,316.00元，支出决算为14,568.00元，完成年初预算的101.76%，决算数大于年初预算数的主要原因是2023年7月调整了公积金基数。</w:t>
      </w:r>
    </w:p>
    <w:p w14:paraId="36C75B1F">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1" w:name="_Toc26433"/>
      <w:r>
        <w:rPr>
          <w:rFonts w:ascii="黑体" w:eastAsia="黑体" w:hAnsi="黑体"/>
          <w:b w:val="0"/>
          <w:sz w:val="30"/>
          <w:szCs w:val="30"/>
          <w:highlight w:val="none"/>
        </w:rPr>
        <w:t>六、一般公共预算财政拨款基本支出决算情况</w:t>
      </w:r>
      <w:r>
        <w:rPr>
          <w:rFonts w:ascii="黑体" w:eastAsia="黑体" w:hAnsi="黑体" w:hint="eastAsia"/>
          <w:b w:val="0"/>
          <w:sz w:val="30"/>
          <w:szCs w:val="30"/>
          <w:highlight w:val="none"/>
          <w:lang w:eastAsia="zh-CN"/>
        </w:rPr>
        <w:t>说明</w:t>
      </w:r>
      <w:bookmarkEnd w:id="21"/>
    </w:p>
    <w:p w14:paraId="69C6373B">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ascii="仿宋_GB2312" w:eastAsia="仿宋_GB2312" w:hAnsi="仿宋_GB2312" w:cs="仿宋_GB2312" w:hint="eastAsia"/>
          <w:sz w:val="30"/>
          <w:szCs w:val="30"/>
          <w:highlight w:val="none"/>
          <w:lang w:val="en-US" w:eastAsia="zh-CN"/>
        </w:rPr>
        <w:t>天津市津南区葛沽镇成人文化技术学校2023年度部门决算一般公共预算财政拨款基本支出合计221,982.87元，与2022年度相比增加71,807.84元，主要原因是本单位2023年增加了人员工资；增加了原民办代课教师教龄补贴项目。其中：</w:t>
        <w:br/>
        <w:t>　　人员经费208,490.17元，主要包括基本工资、津贴补贴、绩效工资、机关事业单位养老保险缴费、职业年金缴费、职工基本医疗保险缴费、其他社会保障缴费、住房公积金、其他工资福利支出；</w:t>
        <w:br/>
        <w:t>　　公用经费13,492.70元，主要包括手续费、物业管理费、工会经费、福利费、其他交通费用。</w:t>
      </w:r>
    </w:p>
    <w:p w14:paraId="32521B65">
      <w:pPr>
        <w:pStyle w:val="Heading2"/>
        <w:pageBreakBefore w:val="0"/>
        <w:kinsoku/>
        <w:wordWrap/>
        <w:overflowPunct/>
        <w:topLinePunct w:val="0"/>
        <w:autoSpaceDE/>
        <w:autoSpaceDN/>
        <w:bidi w:val="0"/>
        <w:snapToGrid/>
        <w:spacing w:before="0" w:after="0" w:line="600" w:lineRule="exact"/>
        <w:ind w:firstLine="600" w:firstLineChars="200"/>
        <w:rPr>
          <w:rFonts w:ascii="楷体" w:eastAsia="楷体" w:hAnsi="楷体" w:cs="仿宋_GB2312" w:hint="eastAsia"/>
          <w:b w:val="0"/>
          <w:sz w:val="30"/>
          <w:szCs w:val="30"/>
          <w:highlight w:val="none"/>
        </w:rPr>
      </w:pPr>
      <w:bookmarkStart w:id="22" w:name="_Toc28665"/>
      <w:r>
        <w:rPr>
          <w:rFonts w:ascii="黑体" w:eastAsia="黑体" w:hAnsi="黑体" w:hint="eastAsia"/>
          <w:b w:val="0"/>
          <w:sz w:val="30"/>
          <w:szCs w:val="30"/>
          <w:highlight w:val="none"/>
          <w:lang w:eastAsia="zh-CN"/>
        </w:rPr>
        <w:t>七</w:t>
      </w:r>
      <w:r>
        <w:rPr>
          <w:rFonts w:ascii="黑体" w:eastAsia="黑体" w:hAnsi="黑体"/>
          <w:b w:val="0"/>
          <w:sz w:val="30"/>
          <w:szCs w:val="30"/>
          <w:highlight w:val="none"/>
        </w:rPr>
        <w:t>、政府性基金预算财政拨款</w:t>
      </w:r>
      <w:r>
        <w:rPr>
          <w:rFonts w:ascii="黑体" w:eastAsia="黑体" w:hAnsi="黑体" w:hint="eastAsia"/>
          <w:b w:val="0"/>
          <w:sz w:val="30"/>
          <w:szCs w:val="30"/>
          <w:highlight w:val="none"/>
        </w:rPr>
        <w:t>收支决算</w:t>
      </w:r>
      <w:r>
        <w:rPr>
          <w:rFonts w:ascii="黑体" w:eastAsia="黑体" w:hAnsi="黑体"/>
          <w:b w:val="0"/>
          <w:sz w:val="30"/>
          <w:szCs w:val="30"/>
          <w:highlight w:val="none"/>
        </w:rPr>
        <w:t>情况</w:t>
      </w:r>
      <w:r>
        <w:rPr>
          <w:rFonts w:ascii="黑体" w:eastAsia="黑体" w:hAnsi="黑体" w:hint="eastAsia"/>
          <w:b w:val="0"/>
          <w:bCs w:val="0"/>
          <w:sz w:val="30"/>
          <w:szCs w:val="30"/>
          <w:highlight w:val="none"/>
          <w:lang w:eastAsia="zh-CN"/>
        </w:rPr>
        <w:t>说明</w:t>
      </w:r>
      <w:bookmarkEnd w:id="22"/>
    </w:p>
    <w:p w14:paraId="1B334BE6">
      <w:pPr>
        <w:pageBreakBefore w:val="0"/>
        <w:kinsoku/>
        <w:wordWrap/>
        <w:overflowPunct/>
        <w:topLinePunct w:val="0"/>
        <w:autoSpaceDE/>
        <w:autoSpaceDN/>
        <w:bidi w:val="0"/>
        <w:snapToGrid/>
        <w:spacing w:line="600" w:lineRule="exact"/>
        <w:ind w:firstLine="600" w:firstLineChars="200"/>
        <w:jc w:val="both"/>
        <w:rPr>
          <w:rFonts w:ascii="楷体" w:eastAsia="楷体" w:hAnsi="楷体" w:cs="楷体" w:hint="eastAsia"/>
          <w:sz w:val="30"/>
          <w:szCs w:val="30"/>
          <w:highlight w:val="none"/>
        </w:rPr>
      </w:pPr>
      <w:r>
        <w:rPr>
          <w:rFonts w:ascii="仿宋_GB2312" w:eastAsia="仿宋_GB2312" w:hAnsi="仿宋_GB2312" w:cs="仿宋_GB2312" w:hint="eastAsia"/>
          <w:sz w:val="30"/>
          <w:szCs w:val="30"/>
          <w:highlight w:val="none"/>
          <w:lang w:val="en-US" w:eastAsia="zh-CN"/>
        </w:rPr>
        <w:t>天津市津南区葛沽镇成人文化技术学校2023年度无政府性基金预算财政拨款收入、支出和结转结余。</w:t>
      </w:r>
    </w:p>
    <w:p w14:paraId="1925F1C1">
      <w:pPr>
        <w:pStyle w:val="Heading2"/>
        <w:pageBreakBefore w:val="0"/>
        <w:kinsoku/>
        <w:wordWrap/>
        <w:overflowPunct/>
        <w:topLinePunct w:val="0"/>
        <w:autoSpaceDE/>
        <w:autoSpaceDN/>
        <w:bidi w:val="0"/>
        <w:snapToGrid/>
        <w:spacing w:before="0" w:after="0" w:line="600" w:lineRule="exact"/>
        <w:ind w:firstLine="600" w:firstLineChars="200"/>
        <w:rPr>
          <w:rFonts w:eastAsia="黑体" w:hint="eastAsia"/>
          <w:b w:val="0"/>
          <w:sz w:val="30"/>
          <w:szCs w:val="30"/>
          <w:highlight w:val="none"/>
        </w:rPr>
      </w:pPr>
      <w:bookmarkStart w:id="23" w:name="_Toc26562"/>
      <w:r>
        <w:rPr>
          <w:rFonts w:eastAsia="黑体" w:hint="eastAsia"/>
          <w:b w:val="0"/>
          <w:sz w:val="30"/>
          <w:szCs w:val="30"/>
          <w:highlight w:val="none"/>
          <w:lang w:eastAsia="zh-CN"/>
        </w:rPr>
        <w:t>八</w:t>
      </w:r>
      <w:r>
        <w:rPr>
          <w:rFonts w:eastAsia="黑体" w:hint="eastAsia"/>
          <w:b w:val="0"/>
          <w:sz w:val="30"/>
          <w:szCs w:val="30"/>
          <w:highlight w:val="none"/>
        </w:rPr>
        <w:t>、国有资本经营预算财政拨款收支决算情况</w:t>
      </w:r>
      <w:r>
        <w:rPr>
          <w:rFonts w:ascii="黑体" w:eastAsia="黑体" w:hAnsi="黑体" w:hint="eastAsia"/>
          <w:b w:val="0"/>
          <w:bCs w:val="0"/>
          <w:sz w:val="30"/>
          <w:szCs w:val="30"/>
          <w:highlight w:val="none"/>
          <w:lang w:eastAsia="zh-CN"/>
        </w:rPr>
        <w:t>说明</w:t>
      </w:r>
      <w:bookmarkEnd w:id="23"/>
    </w:p>
    <w:p w14:paraId="48023ADA">
      <w:pPr>
        <w:pageBreakBefore w:val="0"/>
        <w:kinsoku/>
        <w:wordWrap/>
        <w:overflowPunct/>
        <w:topLinePunct w:val="0"/>
        <w:autoSpaceDE/>
        <w:autoSpaceDN/>
        <w:bidi w:val="0"/>
        <w:snapToGrid/>
        <w:spacing w:line="600" w:lineRule="exact"/>
        <w:ind w:firstLine="600" w:firstLineChars="200"/>
        <w:jc w:val="both"/>
        <w:rPr>
          <w:rFonts w:ascii="楷体" w:eastAsia="楷体" w:hAnsi="楷体" w:cs="楷体" w:hint="eastAsia"/>
          <w:sz w:val="30"/>
          <w:szCs w:val="30"/>
          <w:highlight w:val="none"/>
        </w:rPr>
      </w:pPr>
      <w:r>
        <w:rPr>
          <w:rFonts w:ascii="仿宋_GB2312" w:eastAsia="仿宋_GB2312" w:hAnsi="仿宋_GB2312" w:cs="仿宋_GB2312" w:hint="eastAsia"/>
          <w:sz w:val="30"/>
          <w:szCs w:val="30"/>
          <w:highlight w:val="none"/>
          <w:lang w:val="en-US" w:eastAsia="zh-CN"/>
        </w:rPr>
        <w:t>天津市津南区葛沽镇成人文化技术学校2023年度无国有资本经营预算财政拨款收入、支出和结转结余。</w:t>
      </w:r>
    </w:p>
    <w:p w14:paraId="4AA74E2A">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4" w:name="_Toc3397"/>
      <w:r>
        <w:rPr>
          <w:rFonts w:ascii="黑体" w:eastAsia="黑体" w:hAnsi="黑体" w:hint="eastAsia"/>
          <w:b w:val="0"/>
          <w:sz w:val="30"/>
          <w:szCs w:val="30"/>
          <w:highlight w:val="none"/>
          <w:lang w:eastAsia="zh-CN"/>
        </w:rPr>
        <w:t>九</w:t>
      </w:r>
      <w:r>
        <w:rPr>
          <w:rFonts w:ascii="黑体" w:eastAsia="黑体" w:hAnsi="黑体" w:hint="eastAsia"/>
          <w:b w:val="0"/>
          <w:sz w:val="30"/>
          <w:szCs w:val="30"/>
          <w:highlight w:val="none"/>
        </w:rPr>
        <w:t>、</w:t>
      </w:r>
      <w:r>
        <w:rPr>
          <w:rFonts w:ascii="黑体" w:eastAsia="黑体" w:hAnsi="黑体"/>
          <w:b w:val="0"/>
          <w:sz w:val="30"/>
          <w:szCs w:val="30"/>
          <w:highlight w:val="none"/>
        </w:rPr>
        <w:t>财政拨款“三公”经费</w:t>
      </w:r>
      <w:r>
        <w:rPr>
          <w:rFonts w:ascii="黑体" w:eastAsia="黑体" w:hAnsi="黑体" w:hint="eastAsia"/>
          <w:b w:val="0"/>
          <w:sz w:val="30"/>
          <w:szCs w:val="30"/>
          <w:highlight w:val="none"/>
        </w:rPr>
        <w:t>支出决算</w:t>
      </w:r>
      <w:r>
        <w:rPr>
          <w:rFonts w:ascii="黑体" w:eastAsia="黑体" w:hAnsi="黑体"/>
          <w:b w:val="0"/>
          <w:sz w:val="30"/>
          <w:szCs w:val="30"/>
          <w:highlight w:val="none"/>
        </w:rPr>
        <w:t>情况</w:t>
      </w:r>
      <w:r>
        <w:rPr>
          <w:rFonts w:ascii="黑体" w:eastAsia="黑体" w:hAnsi="黑体" w:hint="eastAsia"/>
          <w:b w:val="0"/>
          <w:bCs w:val="0"/>
          <w:sz w:val="30"/>
          <w:szCs w:val="30"/>
          <w:highlight w:val="none"/>
          <w:lang w:eastAsia="zh-CN"/>
        </w:rPr>
        <w:t>说明</w:t>
      </w:r>
      <w:bookmarkEnd w:id="24"/>
    </w:p>
    <w:p w14:paraId="36A8B7BB">
      <w:pPr>
        <w:pageBreakBefore w:val="0"/>
        <w:kinsoku/>
        <w:wordWrap/>
        <w:overflowPunct/>
        <w:topLinePunct w:val="0"/>
        <w:autoSpaceDE/>
        <w:autoSpaceDN/>
        <w:bidi w:val="0"/>
        <w:snapToGrid/>
        <w:spacing w:line="600" w:lineRule="exact"/>
        <w:ind w:firstLine="600" w:firstLineChars="200"/>
        <w:jc w:val="both"/>
        <w:rPr>
          <w:rFonts w:ascii="楷体" w:eastAsia="楷体" w:hAnsi="楷体" w:cs="楷体" w:hint="eastAsia"/>
          <w:b/>
          <w:bCs/>
          <w:sz w:val="30"/>
          <w:szCs w:val="30"/>
          <w:highlight w:val="none"/>
          <w:lang w:eastAsia="zh-CN"/>
        </w:rPr>
      </w:pPr>
      <w:r>
        <w:rPr>
          <w:rFonts w:ascii="楷体" w:eastAsia="楷体" w:hAnsi="楷体" w:cs="楷体" w:hint="eastAsia"/>
          <w:b/>
          <w:bCs/>
          <w:sz w:val="30"/>
          <w:szCs w:val="30"/>
          <w:highlight w:val="none"/>
          <w:lang w:eastAsia="zh-CN"/>
        </w:rPr>
        <w:t>（一）总体情况</w:t>
      </w:r>
    </w:p>
    <w:p w14:paraId="67092F27">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2023年财政拨款“三公”经费预算0.00元，支出决算0.00元（去年同期0.00元），支出决算与2023年预算相比持平；支出决算较上年持平。因本年及去年同期均未使用财政拨款列支“三公”经费，故本年支出决算与本年预算、上年支出决算均持平为0。</w:t>
      </w:r>
    </w:p>
    <w:p w14:paraId="7A19286E">
      <w:pPr>
        <w:pageBreakBefore w:val="0"/>
        <w:kinsoku/>
        <w:wordWrap/>
        <w:overflowPunct/>
        <w:topLinePunct w:val="0"/>
        <w:autoSpaceDE/>
        <w:autoSpaceDN/>
        <w:bidi w:val="0"/>
        <w:snapToGrid/>
        <w:spacing w:line="600" w:lineRule="exact"/>
        <w:ind w:firstLine="600" w:firstLineChars="200"/>
        <w:rPr>
          <w:rFonts w:ascii="楷体" w:eastAsia="楷体" w:hAnsi="楷体" w:cs="楷体" w:hint="eastAsia"/>
          <w:b/>
          <w:bCs/>
          <w:sz w:val="30"/>
          <w:szCs w:val="30"/>
          <w:highlight w:val="none"/>
          <w:lang w:eastAsia="zh-CN"/>
        </w:rPr>
      </w:pPr>
      <w:r>
        <w:rPr>
          <w:rFonts w:ascii="楷体" w:eastAsia="楷体" w:hAnsi="楷体" w:cs="楷体" w:hint="eastAsia"/>
          <w:b/>
          <w:bCs/>
          <w:sz w:val="30"/>
          <w:szCs w:val="30"/>
          <w:highlight w:val="none"/>
          <w:lang w:eastAsia="zh-CN"/>
        </w:rPr>
        <w:t>（二）具体情况</w:t>
      </w:r>
    </w:p>
    <w:p w14:paraId="0267BA7D">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1.因公出国（境）费预算0.00元，支出决算0.00元（去年同期0.00元），支出决算与2023年预算相比持平；支出决算较上年持平。因本年及去年同期均未使用财政拨款列支因公出国（境）费，故本年支出决算与本年预算、上年支出决算均持平为0。</w:t>
        <w:br/>
        <w:t>　　2023年本单位组织的出国团组0个，出国0人次。</w:t>
      </w:r>
    </w:p>
    <w:p w14:paraId="4F87161F">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2.公务用车购置及运行维护费预算0.00元，支出决算0.00元（去年同期0.00元），支出决算与2023年预算相比持平；支出决算较上年持平。因本年及去年同期均未使用财政拨款列支公务用车购置及运行维护费，故本年支出决算与本年预算、上年支出决算均持平为0。其中：</w:t>
        <w:br/>
        <w:t>　　公务用车运行维护费预算0.00元，支出决算0.00元（去年同期0.00元），支出决算与2023年预算相比持平；支出决算较上年持平。因本年及去年同期均未使用财政拨款列支公务用车运行维护费，故本年支出决算与本年预算、上年支出决算均持平为0。截至2023年12月31日，使用财政拨款开支运行维护费的公务用车保有量为0辆。</w:t>
        <w:br/>
        <w:t>　　公务用车购置费预算0.00元，支出决算0.00元（去年同期0.00元），支出决算与2023年预算相比持平；支出决算较上年持平。因本年及去年同期均未使用财政拨款列支公务用车购置费，故本年支出决算与本年预算、上年支出决算均持平为0。2023年购置公务用车0辆。</w:t>
      </w:r>
    </w:p>
    <w:p w14:paraId="1B2104BE">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3.公务接待费预算0.00元，支出决算0.00元（去年同期0.00元），支出决算与2023年预算相比持平；支出决算较上年持平。因本年及去年同期均未使用财政拨款列支公务接待费，故本年支出决算与本年预算、上年支出决算均持平为0。2023年本单位国内公务接待0批次，0人次；其中，外事接待0批次，0人次。</w:t>
      </w:r>
    </w:p>
    <w:p w14:paraId="4096F305">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5" w:name="_Toc28180"/>
      <w:r>
        <w:rPr>
          <w:rFonts w:ascii="黑体" w:eastAsia="黑体" w:hAnsi="黑体" w:hint="eastAsia"/>
          <w:b w:val="0"/>
          <w:sz w:val="30"/>
          <w:szCs w:val="30"/>
          <w:highlight w:val="none"/>
        </w:rPr>
        <w:t>十、</w:t>
      </w:r>
      <w:r>
        <w:rPr>
          <w:rFonts w:ascii="黑体" w:eastAsia="黑体" w:hAnsi="黑体"/>
          <w:b w:val="0"/>
          <w:sz w:val="30"/>
          <w:szCs w:val="30"/>
          <w:highlight w:val="none"/>
        </w:rPr>
        <w:t>机关运行经费</w:t>
      </w:r>
      <w:r>
        <w:rPr>
          <w:rFonts w:ascii="黑体" w:eastAsia="黑体" w:hAnsi="黑体" w:hint="eastAsia"/>
          <w:b w:val="0"/>
          <w:sz w:val="30"/>
          <w:szCs w:val="30"/>
          <w:highlight w:val="none"/>
        </w:rPr>
        <w:t>支出情况</w:t>
      </w:r>
      <w:r>
        <w:rPr>
          <w:rFonts w:ascii="黑体" w:eastAsia="黑体" w:hAnsi="黑体" w:hint="eastAsia"/>
          <w:b w:val="0"/>
          <w:bCs w:val="0"/>
          <w:sz w:val="30"/>
          <w:szCs w:val="30"/>
          <w:highlight w:val="none"/>
          <w:lang w:eastAsia="zh-CN"/>
        </w:rPr>
        <w:t>说明</w:t>
      </w:r>
      <w:bookmarkEnd w:id="25"/>
    </w:p>
    <w:p w14:paraId="58ACC37F">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天津市津南区葛沽镇成人文化技术学校2023年度无机关运行经费。</w:t>
      </w:r>
    </w:p>
    <w:p w14:paraId="6BA0F1F2">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6" w:name="_Toc12238"/>
      <w:r>
        <w:rPr>
          <w:rFonts w:ascii="黑体" w:eastAsia="黑体" w:hAnsi="黑体" w:hint="eastAsia"/>
          <w:b w:val="0"/>
          <w:sz w:val="30"/>
          <w:szCs w:val="30"/>
          <w:highlight w:val="none"/>
        </w:rPr>
        <w:t>十</w:t>
      </w:r>
      <w:r>
        <w:rPr>
          <w:rFonts w:ascii="黑体" w:eastAsia="黑体" w:hAnsi="黑体" w:hint="eastAsia"/>
          <w:b w:val="0"/>
          <w:sz w:val="30"/>
          <w:szCs w:val="30"/>
          <w:highlight w:val="none"/>
          <w:lang w:eastAsia="zh-CN"/>
        </w:rPr>
        <w:t>一</w:t>
      </w:r>
      <w:r>
        <w:rPr>
          <w:rFonts w:ascii="黑体" w:eastAsia="黑体" w:hAnsi="黑体" w:hint="eastAsia"/>
          <w:b w:val="0"/>
          <w:sz w:val="30"/>
          <w:szCs w:val="30"/>
          <w:highlight w:val="none"/>
        </w:rPr>
        <w:t>、</w:t>
      </w:r>
      <w:r>
        <w:rPr>
          <w:rFonts w:ascii="黑体" w:eastAsia="黑体" w:hAnsi="黑体"/>
          <w:b w:val="0"/>
          <w:sz w:val="30"/>
          <w:szCs w:val="30"/>
          <w:highlight w:val="none"/>
        </w:rPr>
        <w:t>政府采购</w:t>
      </w:r>
      <w:r>
        <w:rPr>
          <w:rFonts w:ascii="黑体" w:eastAsia="黑体" w:hAnsi="黑体" w:hint="eastAsia"/>
          <w:b w:val="0"/>
          <w:sz w:val="30"/>
          <w:szCs w:val="30"/>
          <w:highlight w:val="none"/>
        </w:rPr>
        <w:t>支出</w:t>
      </w:r>
      <w:r>
        <w:rPr>
          <w:rFonts w:ascii="黑体" w:eastAsia="黑体" w:hAnsi="黑体"/>
          <w:b w:val="0"/>
          <w:sz w:val="30"/>
          <w:szCs w:val="30"/>
          <w:highlight w:val="none"/>
        </w:rPr>
        <w:t>情况</w:t>
      </w:r>
      <w:r>
        <w:rPr>
          <w:rFonts w:ascii="黑体" w:eastAsia="黑体" w:hAnsi="黑体" w:hint="eastAsia"/>
          <w:b w:val="0"/>
          <w:bCs w:val="0"/>
          <w:sz w:val="30"/>
          <w:szCs w:val="30"/>
          <w:highlight w:val="none"/>
          <w:lang w:eastAsia="zh-CN"/>
        </w:rPr>
        <w:t>说明</w:t>
      </w:r>
      <w:bookmarkEnd w:id="26"/>
    </w:p>
    <w:p w14:paraId="2B7763DA">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ascii="仿宋_GB2312" w:eastAsia="仿宋_GB2312" w:hAnsi="仿宋_GB2312" w:cs="仿宋_GB2312" w:hint="eastAsia"/>
          <w:sz w:val="30"/>
          <w:szCs w:val="30"/>
          <w:highlight w:val="none"/>
          <w:lang w:val="en-US" w:eastAsia="zh-CN"/>
        </w:rPr>
        <w:t>天津市津南区葛沽镇成人文化技术学校2023年度无政府采购支出。</w:t>
      </w:r>
    </w:p>
    <w:p w14:paraId="37455A81">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27" w:name="_Toc30109"/>
      <w:r>
        <w:rPr>
          <w:rFonts w:ascii="黑体" w:eastAsia="黑体" w:hAnsi="黑体" w:hint="eastAsia"/>
          <w:b w:val="0"/>
          <w:sz w:val="30"/>
          <w:szCs w:val="30"/>
          <w:highlight w:val="none"/>
        </w:rPr>
        <w:t>十</w:t>
      </w:r>
      <w:r>
        <w:rPr>
          <w:rFonts w:ascii="黑体" w:eastAsia="黑体" w:hAnsi="黑体" w:hint="eastAsia"/>
          <w:b w:val="0"/>
          <w:sz w:val="30"/>
          <w:szCs w:val="30"/>
          <w:highlight w:val="none"/>
          <w:lang w:eastAsia="zh-CN"/>
        </w:rPr>
        <w:t>二</w:t>
      </w:r>
      <w:r>
        <w:rPr>
          <w:rFonts w:ascii="黑体" w:eastAsia="黑体" w:hAnsi="黑体" w:hint="eastAsia"/>
          <w:b w:val="0"/>
          <w:sz w:val="30"/>
          <w:szCs w:val="30"/>
          <w:highlight w:val="none"/>
        </w:rPr>
        <w:t>、国有资产占有使用情况</w:t>
      </w:r>
      <w:r>
        <w:rPr>
          <w:rFonts w:ascii="黑体" w:eastAsia="黑体" w:hAnsi="黑体" w:hint="eastAsia"/>
          <w:b w:val="0"/>
          <w:bCs w:val="0"/>
          <w:sz w:val="30"/>
          <w:szCs w:val="30"/>
          <w:highlight w:val="none"/>
          <w:lang w:eastAsia="zh-CN"/>
        </w:rPr>
        <w:t>说明</w:t>
      </w:r>
      <w:bookmarkEnd w:id="27"/>
    </w:p>
    <w:p w14:paraId="688F01D0">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ascii="仿宋_GB2312" w:eastAsia="仿宋_GB2312" w:hAnsi="仿宋_GB2312" w:cs="仿宋_GB2312" w:hint="eastAsia"/>
          <w:sz w:val="30"/>
          <w:szCs w:val="30"/>
          <w:highlight w:val="none"/>
          <w:lang w:val="en-US" w:eastAsia="zh-CN"/>
        </w:rPr>
        <w:t>天津市津南区葛沽镇成人文化技术学校2023年度无国有资产占有使用情况。</w:t>
      </w:r>
    </w:p>
    <w:p w14:paraId="196FFC43">
      <w:pPr>
        <w:pStyle w:val="Heading2"/>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ascii="黑体" w:eastAsia="黑体" w:hAnsi="黑体" w:hint="eastAsia"/>
          <w:b w:val="0"/>
          <w:bCs w:val="0"/>
          <w:sz w:val="30"/>
          <w:szCs w:val="30"/>
          <w:highlight w:val="none"/>
        </w:rPr>
      </w:pPr>
      <w:bookmarkStart w:id="28" w:name="_Toc7408"/>
      <w:r>
        <w:rPr>
          <w:rFonts w:ascii="黑体" w:eastAsia="黑体" w:hAnsi="黑体" w:hint="eastAsia"/>
          <w:b w:val="0"/>
          <w:bCs w:val="0"/>
          <w:sz w:val="30"/>
          <w:szCs w:val="30"/>
          <w:highlight w:val="none"/>
        </w:rPr>
        <w:t>预算绩效情况说明</w:t>
      </w:r>
      <w:bookmarkEnd w:id="28"/>
    </w:p>
    <w:p w14:paraId="6949F8BB">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根据预算绩效管理要求，天津市津南区葛沽镇成人文化技术学校2023年度已对1个区级项目开展绩效自评，涉及金额440912.5元，自评结果已随部门决算一并公开。</w:t>
      </w:r>
    </w:p>
    <w:p w14:paraId="48A05015">
      <w:pPr>
        <w:pStyle w:val="Heading2"/>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ascii="黑体" w:eastAsia="黑体" w:hAnsi="黑体" w:hint="eastAsia"/>
          <w:b w:val="0"/>
          <w:bCs w:val="0"/>
          <w:sz w:val="30"/>
          <w:szCs w:val="30"/>
          <w:highlight w:val="none"/>
        </w:rPr>
      </w:pPr>
      <w:bookmarkStart w:id="29" w:name="_Toc12198"/>
      <w:r>
        <w:rPr>
          <w:rFonts w:ascii="黑体" w:eastAsia="黑体" w:hAnsi="黑体" w:hint="eastAsia"/>
          <w:b w:val="0"/>
          <w:bCs w:val="0"/>
          <w:sz w:val="30"/>
          <w:szCs w:val="30"/>
          <w:highlight w:val="none"/>
        </w:rPr>
        <w:t>教育、医疗卫生、社会保障和就业、住房保障、涉农补贴等民生支出情况</w:t>
      </w:r>
      <w:r>
        <w:rPr>
          <w:rFonts w:ascii="黑体" w:eastAsia="黑体" w:hAnsi="黑体" w:hint="eastAsia"/>
          <w:b w:val="0"/>
          <w:bCs w:val="0"/>
          <w:sz w:val="30"/>
          <w:szCs w:val="30"/>
          <w:highlight w:val="none"/>
          <w:lang w:eastAsia="zh-CN"/>
        </w:rPr>
        <w:t>说明</w:t>
      </w:r>
      <w:bookmarkEnd w:id="29"/>
    </w:p>
    <w:p w14:paraId="32BC4F5E">
      <w:pPr>
        <w:pageBreakBefore w:val="0"/>
        <w:kinsoku/>
        <w:wordWrap/>
        <w:overflowPunct/>
        <w:topLinePunct w:val="0"/>
        <w:autoSpaceDE/>
        <w:autoSpaceDN/>
        <w:bidi w:val="0"/>
        <w:snapToGrid/>
        <w:spacing w:line="600" w:lineRule="exact"/>
        <w:ind w:firstLine="600"/>
        <w:jc w:val="both"/>
        <w:rPr>
          <w:rFonts w:eastAsia="楷体"/>
          <w:b/>
          <w:bCs/>
          <w:color w:val="auto"/>
          <w:sz w:val="30"/>
          <w:szCs w:val="30"/>
          <w:highlight w:val="none"/>
        </w:rPr>
        <w:sectPr>
          <w:pgSz w:w="11906" w:h="16838"/>
          <w:pgMar w:top="1440" w:right="1800" w:bottom="1440" w:left="1800" w:header="851" w:footer="992" w:gutter="0"/>
          <w:cols w:num="1" w:space="720"/>
          <w:docGrid w:type="lines" w:linePitch="312" w:charSpace="0"/>
        </w:sectPr>
      </w:pPr>
      <w:r>
        <w:rPr>
          <w:rFonts w:ascii="仿宋_GB2312" w:eastAsia="仿宋_GB2312" w:hAnsi="仿宋_GB2312" w:cs="仿宋_GB2312" w:hint="eastAsia"/>
          <w:sz w:val="30"/>
          <w:szCs w:val="30"/>
          <w:highlight w:val="none"/>
          <w:lang w:val="en-US" w:eastAsia="zh-CN"/>
        </w:rPr>
        <w:t>天津市津南区葛沽镇成人文化技术学校不属于乡、镇、街级单位，不涉及公开2023年度教育、医疗卫生、社会保障和就业、住房保障、涉农补贴等民生支出情况。</w:t>
      </w:r>
    </w:p>
    <w:p w14:paraId="2BFEB69B">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hint="eastAsia"/>
          <w:b w:val="0"/>
          <w:sz w:val="44"/>
          <w:szCs w:val="44"/>
          <w:highlight w:val="none"/>
        </w:rPr>
      </w:pPr>
      <w:bookmarkStart w:id="30" w:name="_Toc17573"/>
      <w:r>
        <w:rPr>
          <w:rFonts w:ascii="方正小标宋简体" w:eastAsia="方正小标宋简体" w:hAnsi="方正小标宋简体" w:cs="方正小标宋简体" w:hint="eastAsia"/>
          <w:b w:val="0"/>
          <w:sz w:val="44"/>
          <w:szCs w:val="44"/>
          <w:highlight w:val="none"/>
        </w:rPr>
        <w:t>第四部分  名词解释</w:t>
      </w:r>
      <w:bookmarkEnd w:id="30"/>
    </w:p>
    <w:p w14:paraId="2C06E5B6">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rPr>
      </w:pPr>
    </w:p>
    <w:p w14:paraId="65EDB0B7">
      <w:pPr>
        <w:pageBreakBefore w:val="0"/>
        <w:numPr>
          <w:ilvl w:val="0"/>
          <w:numId w:val="3"/>
        </w:numPr>
        <w:kinsoku/>
        <w:wordWrap/>
        <w:overflowPunct/>
        <w:topLinePunct w:val="0"/>
        <w:autoSpaceDE/>
        <w:autoSpaceDN/>
        <w:bidi w:val="0"/>
        <w:snapToGrid/>
        <w:spacing w:line="600" w:lineRule="exact"/>
        <w:ind w:firstLine="600" w:firstLineChars="200"/>
        <w:rPr>
          <w:rFonts w:eastAsia="仿宋_GB2312" w:hint="eastAsia"/>
          <w:sz w:val="30"/>
          <w:szCs w:val="30"/>
          <w:highlight w:val="none"/>
        </w:rPr>
      </w:pPr>
      <w:r>
        <w:rPr>
          <w:rFonts w:eastAsia="仿宋_GB2312" w:hint="eastAsia"/>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EAD8965">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rPr>
      </w:pPr>
      <w:r>
        <w:rPr>
          <w:rFonts w:eastAsia="仿宋_GB2312" w:hint="eastAsia"/>
          <w:sz w:val="30"/>
          <w:szCs w:val="30"/>
          <w:highlight w:val="none"/>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9FFCF5C">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lang w:val="en-US" w:eastAsia="zh-CN"/>
        </w:rPr>
      </w:pPr>
      <w:r>
        <w:rPr>
          <w:rFonts w:eastAsia="仿宋_GB2312" w:hint="eastAsia"/>
          <w:sz w:val="30"/>
          <w:szCs w:val="30"/>
          <w:highlight w:val="none"/>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bookmarkStart w:id="31" w:name="_GoBack"/>
      <w:bookmarkEnd w:id="31"/>
    </w:p>
    <w:sectPr>
      <w:pgSz w:w="11906" w:h="16838"/>
      <w:pgMar w:top="1440" w:right="1800" w:bottom="1440" w:left="1800"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1188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974C58C">
    <w:pPr>
      <w:pStyle w:val="Footer"/>
    </w:pPr>
    <w:r>
      <mc:AlternateContent>
        <mc:Choice Requires="wps">
          <w:drawing>
            <wp:anchor distT="0" distB="0" distL="114300" distR="114300" simplePos="0" relativeHeight="251659264" behindDoc="0" locked="0" layoutInCell="1" allowOverlap="1">
              <wp:simplePos x="0" y="0"/>
              <wp:positionH relativeFrom="margin">
                <wp:posOffset>2632075</wp:posOffset>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5875">
                        <a:noFill/>
                      </a:ln>
                    </wps:spPr>
                    <wps:txbx>
                      <w:txbxContent>
                        <w:p>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2049" type="#_x0000_t202" style="width:2in;height:2in;margin-top:0;margin-left:207.25pt;mso-position-horizontal-relative:margin;mso-wrap-distance-bottom:0;mso-wrap-distance-left:9pt;mso-wrap-distance-right:9pt;mso-wrap-distance-top:0;mso-wrap-style:none;position:absolute;v-text-anchor:top;z-index:251658240" filled="f" fillcolor="this" stroked="f" strokeweight="1.25pt">
              <v:textbox style="mso-fit-shape-to-text:t" inset="0,0,0,0">
                <w:txbxContent>
                  <w:p w14:paraId="3277D735">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EBE256EE"/>
    <w:multiLevelType w:val="singleLevel"/>
    <w:tmpl w:val="EBE256EE"/>
    <w:lvl w:ilvl="0">
      <w:start w:val="13"/>
      <w:numFmt w:val="chineseCounting"/>
      <w:suff w:val="nothing"/>
      <w:lvlText w:val="%1、"/>
      <w:lvlJc w:val="left"/>
      <w:rPr>
        <w:rFonts w:hint="eastAsia"/>
      </w:rPr>
    </w:lvl>
  </w:abstractNum>
  <w:abstractNum w:abstractNumId="1">
    <w:nsid w:val="62CB79B7"/>
    <w:multiLevelType w:val="singleLevel"/>
    <w:tmpl w:val="62CB79B7"/>
    <w:lvl w:ilvl="0">
      <w:start w:val="3"/>
      <w:numFmt w:val="chineseCounting"/>
      <w:suff w:val="nothing"/>
      <w:lvlText w:val="（%1）"/>
      <w:lvlJc w:val="left"/>
    </w:lvl>
  </w:abstractNum>
  <w:abstractNum w:abstractNumId="2">
    <w:nsid w:val="62CB88B4"/>
    <w:multiLevelType w:val="singleLevel"/>
    <w:tmpl w:val="62CB88B4"/>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D802DB"/>
    <w:rsid w:val="BBFEB28B"/>
    <w:rsid w:val="D74FDF30"/>
    <w:rsid w:val="DEAEE68D"/>
    <w:rsid w:val="F7F97754"/>
    <w:rsid w:val="FB7FC3E7"/>
    <w:rsid w:val="FF3F61B6"/>
    <w:rsid w:val="FFC7ECE8"/>
    <w:rsid w:val="00015911"/>
    <w:rsid w:val="00046E1C"/>
    <w:rsid w:val="00053901"/>
    <w:rsid w:val="000864BF"/>
    <w:rsid w:val="00092AB8"/>
    <w:rsid w:val="000B4E39"/>
    <w:rsid w:val="00112C55"/>
    <w:rsid w:val="001179AF"/>
    <w:rsid w:val="0012059C"/>
    <w:rsid w:val="00124993"/>
    <w:rsid w:val="0012531C"/>
    <w:rsid w:val="00126E2D"/>
    <w:rsid w:val="001829A0"/>
    <w:rsid w:val="00186ED8"/>
    <w:rsid w:val="001F61CD"/>
    <w:rsid w:val="00241712"/>
    <w:rsid w:val="002532F7"/>
    <w:rsid w:val="002566ED"/>
    <w:rsid w:val="00257643"/>
    <w:rsid w:val="002912A7"/>
    <w:rsid w:val="002D2BBE"/>
    <w:rsid w:val="002E091E"/>
    <w:rsid w:val="002F00A9"/>
    <w:rsid w:val="003365DD"/>
    <w:rsid w:val="003714D5"/>
    <w:rsid w:val="00381206"/>
    <w:rsid w:val="0038216E"/>
    <w:rsid w:val="003942CD"/>
    <w:rsid w:val="003A4529"/>
    <w:rsid w:val="004040D1"/>
    <w:rsid w:val="00432D37"/>
    <w:rsid w:val="00464079"/>
    <w:rsid w:val="00465602"/>
    <w:rsid w:val="004918AD"/>
    <w:rsid w:val="004A1361"/>
    <w:rsid w:val="0050332F"/>
    <w:rsid w:val="00532C4C"/>
    <w:rsid w:val="00570354"/>
    <w:rsid w:val="005B60DB"/>
    <w:rsid w:val="005C22AF"/>
    <w:rsid w:val="005F2510"/>
    <w:rsid w:val="00676A5E"/>
    <w:rsid w:val="006A54BF"/>
    <w:rsid w:val="006D05B2"/>
    <w:rsid w:val="00727434"/>
    <w:rsid w:val="00734D29"/>
    <w:rsid w:val="0077787E"/>
    <w:rsid w:val="0079348B"/>
    <w:rsid w:val="007A3491"/>
    <w:rsid w:val="007B4B58"/>
    <w:rsid w:val="007F3679"/>
    <w:rsid w:val="007F448B"/>
    <w:rsid w:val="007F718E"/>
    <w:rsid w:val="00801B2B"/>
    <w:rsid w:val="00803B43"/>
    <w:rsid w:val="00817AE2"/>
    <w:rsid w:val="0085671E"/>
    <w:rsid w:val="00876FA4"/>
    <w:rsid w:val="00893EAC"/>
    <w:rsid w:val="008A6092"/>
    <w:rsid w:val="008C3474"/>
    <w:rsid w:val="008C677C"/>
    <w:rsid w:val="008D2605"/>
    <w:rsid w:val="008D64CE"/>
    <w:rsid w:val="009142B8"/>
    <w:rsid w:val="00915276"/>
    <w:rsid w:val="00936468"/>
    <w:rsid w:val="009371C3"/>
    <w:rsid w:val="0098387F"/>
    <w:rsid w:val="009E0EF5"/>
    <w:rsid w:val="009F18E1"/>
    <w:rsid w:val="009F712F"/>
    <w:rsid w:val="00A12C57"/>
    <w:rsid w:val="00A557F8"/>
    <w:rsid w:val="00AA676A"/>
    <w:rsid w:val="00B13870"/>
    <w:rsid w:val="00B14558"/>
    <w:rsid w:val="00B17258"/>
    <w:rsid w:val="00B210F5"/>
    <w:rsid w:val="00B53416"/>
    <w:rsid w:val="00B807AE"/>
    <w:rsid w:val="00BA3182"/>
    <w:rsid w:val="00BB0047"/>
    <w:rsid w:val="00BB051A"/>
    <w:rsid w:val="00BD343E"/>
    <w:rsid w:val="00BE682B"/>
    <w:rsid w:val="00C0672E"/>
    <w:rsid w:val="00C33362"/>
    <w:rsid w:val="00C47864"/>
    <w:rsid w:val="00C528B3"/>
    <w:rsid w:val="00C52B2B"/>
    <w:rsid w:val="00C53602"/>
    <w:rsid w:val="00C77332"/>
    <w:rsid w:val="00C83F29"/>
    <w:rsid w:val="00CA5CD5"/>
    <w:rsid w:val="00CE4C80"/>
    <w:rsid w:val="00CE7A0E"/>
    <w:rsid w:val="00CF0671"/>
    <w:rsid w:val="00CF4ADE"/>
    <w:rsid w:val="00D20562"/>
    <w:rsid w:val="00D56FBF"/>
    <w:rsid w:val="00DA3A83"/>
    <w:rsid w:val="00DB0D2B"/>
    <w:rsid w:val="00DC0D31"/>
    <w:rsid w:val="00E21DD7"/>
    <w:rsid w:val="00E4337C"/>
    <w:rsid w:val="00E56EBF"/>
    <w:rsid w:val="00E56F06"/>
    <w:rsid w:val="00E576CC"/>
    <w:rsid w:val="00E8795B"/>
    <w:rsid w:val="00EB277E"/>
    <w:rsid w:val="00EB7B3B"/>
    <w:rsid w:val="00F14DB8"/>
    <w:rsid w:val="00F3454D"/>
    <w:rsid w:val="00F3737B"/>
    <w:rsid w:val="00F6315A"/>
    <w:rsid w:val="00FF6CDB"/>
    <w:rsid w:val="01582EB3"/>
    <w:rsid w:val="01D92F4B"/>
    <w:rsid w:val="021D09AE"/>
    <w:rsid w:val="02317CA1"/>
    <w:rsid w:val="02C26D17"/>
    <w:rsid w:val="0305419A"/>
    <w:rsid w:val="032B2B72"/>
    <w:rsid w:val="03633F1C"/>
    <w:rsid w:val="03877CF5"/>
    <w:rsid w:val="03971CD2"/>
    <w:rsid w:val="03A73B20"/>
    <w:rsid w:val="04D27C6A"/>
    <w:rsid w:val="04DA6E85"/>
    <w:rsid w:val="054E0E8D"/>
    <w:rsid w:val="05901C8F"/>
    <w:rsid w:val="059D199E"/>
    <w:rsid w:val="05FB2E04"/>
    <w:rsid w:val="06516202"/>
    <w:rsid w:val="065A73D7"/>
    <w:rsid w:val="068D56CD"/>
    <w:rsid w:val="068F1656"/>
    <w:rsid w:val="06CE3C39"/>
    <w:rsid w:val="070745F4"/>
    <w:rsid w:val="0750320D"/>
    <w:rsid w:val="080C427F"/>
    <w:rsid w:val="08496DC5"/>
    <w:rsid w:val="08601190"/>
    <w:rsid w:val="08610C17"/>
    <w:rsid w:val="08AB76E6"/>
    <w:rsid w:val="08B17C7F"/>
    <w:rsid w:val="09787FC2"/>
    <w:rsid w:val="09794F69"/>
    <w:rsid w:val="09BC7107"/>
    <w:rsid w:val="09C86481"/>
    <w:rsid w:val="09CD6F6A"/>
    <w:rsid w:val="0A884CB3"/>
    <w:rsid w:val="0ABD2EA9"/>
    <w:rsid w:val="0AF02B7A"/>
    <w:rsid w:val="0AF83DD3"/>
    <w:rsid w:val="0B0C0657"/>
    <w:rsid w:val="0B2F7E6E"/>
    <w:rsid w:val="0B7057C8"/>
    <w:rsid w:val="0BF51CAC"/>
    <w:rsid w:val="0C327E5C"/>
    <w:rsid w:val="0D66464C"/>
    <w:rsid w:val="0DCA24E7"/>
    <w:rsid w:val="0E1905E8"/>
    <w:rsid w:val="0E6B081A"/>
    <w:rsid w:val="0E812A35"/>
    <w:rsid w:val="0F3A7BBE"/>
    <w:rsid w:val="0FB146BC"/>
    <w:rsid w:val="10D0376E"/>
    <w:rsid w:val="11D75F2F"/>
    <w:rsid w:val="11D802DB"/>
    <w:rsid w:val="121401BA"/>
    <w:rsid w:val="122B009F"/>
    <w:rsid w:val="135D03D9"/>
    <w:rsid w:val="13A17616"/>
    <w:rsid w:val="149264E6"/>
    <w:rsid w:val="14F31DE2"/>
    <w:rsid w:val="15127621"/>
    <w:rsid w:val="156A2C3E"/>
    <w:rsid w:val="157A3189"/>
    <w:rsid w:val="15E37C52"/>
    <w:rsid w:val="169221B4"/>
    <w:rsid w:val="16EA0A1B"/>
    <w:rsid w:val="181D0AF6"/>
    <w:rsid w:val="18E12A26"/>
    <w:rsid w:val="1A2F34CF"/>
    <w:rsid w:val="1B0B6786"/>
    <w:rsid w:val="1C2E1750"/>
    <w:rsid w:val="1C8A5079"/>
    <w:rsid w:val="1D520C3E"/>
    <w:rsid w:val="1DA340AC"/>
    <w:rsid w:val="1E2F4E67"/>
    <w:rsid w:val="1E506972"/>
    <w:rsid w:val="1E8146FC"/>
    <w:rsid w:val="1EC8639D"/>
    <w:rsid w:val="1EC97805"/>
    <w:rsid w:val="1EFB07B0"/>
    <w:rsid w:val="1F6101B7"/>
    <w:rsid w:val="1FABD71D"/>
    <w:rsid w:val="20505929"/>
    <w:rsid w:val="2093268B"/>
    <w:rsid w:val="20C921EC"/>
    <w:rsid w:val="22792317"/>
    <w:rsid w:val="228770CD"/>
    <w:rsid w:val="22F75B35"/>
    <w:rsid w:val="236906A5"/>
    <w:rsid w:val="23BA0D09"/>
    <w:rsid w:val="24BA0C0F"/>
    <w:rsid w:val="250B61A3"/>
    <w:rsid w:val="259F5563"/>
    <w:rsid w:val="25A662F9"/>
    <w:rsid w:val="25AD749C"/>
    <w:rsid w:val="25AE4162"/>
    <w:rsid w:val="261B2634"/>
    <w:rsid w:val="26872640"/>
    <w:rsid w:val="26C653DA"/>
    <w:rsid w:val="26EC5D21"/>
    <w:rsid w:val="27615821"/>
    <w:rsid w:val="27A13E6E"/>
    <w:rsid w:val="2828594C"/>
    <w:rsid w:val="28863E70"/>
    <w:rsid w:val="288A6337"/>
    <w:rsid w:val="28994B2A"/>
    <w:rsid w:val="28CD1B01"/>
    <w:rsid w:val="290441D9"/>
    <w:rsid w:val="292E4395"/>
    <w:rsid w:val="29867FF5"/>
    <w:rsid w:val="29D72E63"/>
    <w:rsid w:val="29F01BC9"/>
    <w:rsid w:val="2A1248CB"/>
    <w:rsid w:val="2A24302B"/>
    <w:rsid w:val="2A7456B8"/>
    <w:rsid w:val="2AF92258"/>
    <w:rsid w:val="2C3B01C9"/>
    <w:rsid w:val="2CB024EC"/>
    <w:rsid w:val="2D2B1A30"/>
    <w:rsid w:val="2D5BB7F4"/>
    <w:rsid w:val="2DA87FE3"/>
    <w:rsid w:val="2DAB1C1C"/>
    <w:rsid w:val="2E6455AA"/>
    <w:rsid w:val="2E6E5875"/>
    <w:rsid w:val="2EAA1E45"/>
    <w:rsid w:val="2EBA2F30"/>
    <w:rsid w:val="2F8573F4"/>
    <w:rsid w:val="2FFC60D8"/>
    <w:rsid w:val="2FFD4B55"/>
    <w:rsid w:val="303E64C7"/>
    <w:rsid w:val="318D0FFE"/>
    <w:rsid w:val="31F32BCC"/>
    <w:rsid w:val="322D5537"/>
    <w:rsid w:val="3230050F"/>
    <w:rsid w:val="32500429"/>
    <w:rsid w:val="32B00783"/>
    <w:rsid w:val="33987EA4"/>
    <w:rsid w:val="33C03912"/>
    <w:rsid w:val="33E55770"/>
    <w:rsid w:val="343041E9"/>
    <w:rsid w:val="343E2C5A"/>
    <w:rsid w:val="34E404B6"/>
    <w:rsid w:val="353874A5"/>
    <w:rsid w:val="356C4B0F"/>
    <w:rsid w:val="357756D0"/>
    <w:rsid w:val="35F83418"/>
    <w:rsid w:val="35FA3DA7"/>
    <w:rsid w:val="360570F1"/>
    <w:rsid w:val="36433E0B"/>
    <w:rsid w:val="3685618C"/>
    <w:rsid w:val="36DF7E92"/>
    <w:rsid w:val="37210A48"/>
    <w:rsid w:val="37C605ED"/>
    <w:rsid w:val="37EC07D4"/>
    <w:rsid w:val="39054161"/>
    <w:rsid w:val="395157DA"/>
    <w:rsid w:val="39D81DB4"/>
    <w:rsid w:val="39DD1F63"/>
    <w:rsid w:val="3A875795"/>
    <w:rsid w:val="3B3A6848"/>
    <w:rsid w:val="3C7702D9"/>
    <w:rsid w:val="3C822FFF"/>
    <w:rsid w:val="3C987755"/>
    <w:rsid w:val="3D1712DB"/>
    <w:rsid w:val="3D6E4CFB"/>
    <w:rsid w:val="3DB948D9"/>
    <w:rsid w:val="3DED19CC"/>
    <w:rsid w:val="3E551C1D"/>
    <w:rsid w:val="3EAA16DD"/>
    <w:rsid w:val="3EE7006C"/>
    <w:rsid w:val="3F043070"/>
    <w:rsid w:val="3F397145"/>
    <w:rsid w:val="413E7CF9"/>
    <w:rsid w:val="419141BF"/>
    <w:rsid w:val="41C515FE"/>
    <w:rsid w:val="41F26234"/>
    <w:rsid w:val="42C52D12"/>
    <w:rsid w:val="42EA0B90"/>
    <w:rsid w:val="436E1D48"/>
    <w:rsid w:val="44211CC9"/>
    <w:rsid w:val="442221E6"/>
    <w:rsid w:val="44FC0AD9"/>
    <w:rsid w:val="45C66F5A"/>
    <w:rsid w:val="464311BD"/>
    <w:rsid w:val="46762869"/>
    <w:rsid w:val="46800ECA"/>
    <w:rsid w:val="46D65DFF"/>
    <w:rsid w:val="46ED43C8"/>
    <w:rsid w:val="47655748"/>
    <w:rsid w:val="481F5D29"/>
    <w:rsid w:val="485B08F6"/>
    <w:rsid w:val="48E65506"/>
    <w:rsid w:val="49A95325"/>
    <w:rsid w:val="49C60D15"/>
    <w:rsid w:val="4C72500A"/>
    <w:rsid w:val="4D2A2606"/>
    <w:rsid w:val="4E470451"/>
    <w:rsid w:val="4E5A4E46"/>
    <w:rsid w:val="4E776E4B"/>
    <w:rsid w:val="4EBE5040"/>
    <w:rsid w:val="4EC635D4"/>
    <w:rsid w:val="4EF42DDE"/>
    <w:rsid w:val="4EFE3A76"/>
    <w:rsid w:val="4F021DFD"/>
    <w:rsid w:val="4FA93361"/>
    <w:rsid w:val="50491464"/>
    <w:rsid w:val="50B055C9"/>
    <w:rsid w:val="50EB4351"/>
    <w:rsid w:val="513E3E14"/>
    <w:rsid w:val="516E5D30"/>
    <w:rsid w:val="519A61B8"/>
    <w:rsid w:val="51E25670"/>
    <w:rsid w:val="529328AD"/>
    <w:rsid w:val="52A26688"/>
    <w:rsid w:val="52C3106D"/>
    <w:rsid w:val="532D1C0A"/>
    <w:rsid w:val="53583E88"/>
    <w:rsid w:val="548F7836"/>
    <w:rsid w:val="54A42073"/>
    <w:rsid w:val="54D72BF4"/>
    <w:rsid w:val="54F6709D"/>
    <w:rsid w:val="566138B1"/>
    <w:rsid w:val="56832AE6"/>
    <w:rsid w:val="56F540E8"/>
    <w:rsid w:val="57814C22"/>
    <w:rsid w:val="579303E0"/>
    <w:rsid w:val="57BD125F"/>
    <w:rsid w:val="57DB4D69"/>
    <w:rsid w:val="57E83EF2"/>
    <w:rsid w:val="58B03A2E"/>
    <w:rsid w:val="59005937"/>
    <w:rsid w:val="596D5572"/>
    <w:rsid w:val="5A106A61"/>
    <w:rsid w:val="5B012DD6"/>
    <w:rsid w:val="5B4A303E"/>
    <w:rsid w:val="5B867F38"/>
    <w:rsid w:val="5BBF1EDC"/>
    <w:rsid w:val="5C0D5EDF"/>
    <w:rsid w:val="5CCB520D"/>
    <w:rsid w:val="5CDE5F6B"/>
    <w:rsid w:val="5CE729B2"/>
    <w:rsid w:val="5D072615"/>
    <w:rsid w:val="5D820B03"/>
    <w:rsid w:val="5DDC291B"/>
    <w:rsid w:val="5DE919D2"/>
    <w:rsid w:val="5DE96BF2"/>
    <w:rsid w:val="5E33329A"/>
    <w:rsid w:val="5E3B56D9"/>
    <w:rsid w:val="5E7F01AB"/>
    <w:rsid w:val="5E910416"/>
    <w:rsid w:val="5FC652D8"/>
    <w:rsid w:val="6043407E"/>
    <w:rsid w:val="605F74B4"/>
    <w:rsid w:val="607B68FE"/>
    <w:rsid w:val="617007B5"/>
    <w:rsid w:val="61DC2C23"/>
    <w:rsid w:val="61E56E86"/>
    <w:rsid w:val="621870FC"/>
    <w:rsid w:val="62DA2A3D"/>
    <w:rsid w:val="637B3A8F"/>
    <w:rsid w:val="63A65E89"/>
    <w:rsid w:val="65737FA2"/>
    <w:rsid w:val="65AC27B5"/>
    <w:rsid w:val="65D920E1"/>
    <w:rsid w:val="65D9655D"/>
    <w:rsid w:val="6656630C"/>
    <w:rsid w:val="66EC0C69"/>
    <w:rsid w:val="67AD24B8"/>
    <w:rsid w:val="67F5DAB5"/>
    <w:rsid w:val="68261741"/>
    <w:rsid w:val="693E2FAD"/>
    <w:rsid w:val="698062FC"/>
    <w:rsid w:val="69BD5EE8"/>
    <w:rsid w:val="6A740B43"/>
    <w:rsid w:val="6ABD46BF"/>
    <w:rsid w:val="6AF730BD"/>
    <w:rsid w:val="6B617BE2"/>
    <w:rsid w:val="6BA66029"/>
    <w:rsid w:val="6CA041B2"/>
    <w:rsid w:val="6DDD5EBF"/>
    <w:rsid w:val="6DFC4CD2"/>
    <w:rsid w:val="6E2E2D6D"/>
    <w:rsid w:val="6E3F51B6"/>
    <w:rsid w:val="6E460B96"/>
    <w:rsid w:val="6EA82131"/>
    <w:rsid w:val="6F046708"/>
    <w:rsid w:val="6FB410D2"/>
    <w:rsid w:val="6FC54BEF"/>
    <w:rsid w:val="706921FA"/>
    <w:rsid w:val="70B22C23"/>
    <w:rsid w:val="71411B5D"/>
    <w:rsid w:val="719931E1"/>
    <w:rsid w:val="7240055A"/>
    <w:rsid w:val="728E0BA0"/>
    <w:rsid w:val="731001C6"/>
    <w:rsid w:val="73134A0E"/>
    <w:rsid w:val="736064A7"/>
    <w:rsid w:val="736159D6"/>
    <w:rsid w:val="73F71039"/>
    <w:rsid w:val="73F91498"/>
    <w:rsid w:val="74D5337C"/>
    <w:rsid w:val="74D975E2"/>
    <w:rsid w:val="756B7D6A"/>
    <w:rsid w:val="757C417D"/>
    <w:rsid w:val="759455DB"/>
    <w:rsid w:val="75D160D9"/>
    <w:rsid w:val="762914BB"/>
    <w:rsid w:val="773A73AB"/>
    <w:rsid w:val="775767BB"/>
    <w:rsid w:val="7779068F"/>
    <w:rsid w:val="77B92148"/>
    <w:rsid w:val="77FFE39F"/>
    <w:rsid w:val="781B1736"/>
    <w:rsid w:val="78F051A8"/>
    <w:rsid w:val="79EF18A6"/>
    <w:rsid w:val="7A903B21"/>
    <w:rsid w:val="7CF2196B"/>
    <w:rsid w:val="7D2E7430"/>
    <w:rsid w:val="7D993EC8"/>
    <w:rsid w:val="7D9A013D"/>
    <w:rsid w:val="7E9160CF"/>
    <w:rsid w:val="7EC677D3"/>
    <w:rsid w:val="7FDC2489"/>
    <w:rsid w:val="7FFDEEFD"/>
  </w:rsids>
  <w:docVars>
    <w:docVar w:name="commondata" w:val="eyJoZGlkIjoiZjFmZWIzNDg2MmIzZjExOTIzMmViNTBmYTMwYTk0ZWY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semiHidden="0" w:uiPriority="0"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semiHidden="0"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qFormat="1"/>
    <w:lsdException w:name="Table Grid"/>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1Char"/>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2Char"/>
    <w:uiPriority w:val="9"/>
    <w:unhideWhenUsed/>
    <w:qFormat/>
    <w:pPr>
      <w:keepNext/>
      <w:keepLines/>
      <w:spacing w:before="260" w:after="260" w:line="416" w:lineRule="atLeast"/>
      <w:outlineLvl w:val="1"/>
    </w:pPr>
    <w:rPr>
      <w:rFonts w:ascii="Cambria" w:eastAsia="宋体" w:hAnsi="Cambria" w:cs="Times New Roman"/>
      <w:b/>
      <w:bCs/>
      <w:sz w:val="32"/>
      <w:szCs w:val="32"/>
    </w:rPr>
  </w:style>
  <w:style w:type="paragraph" w:styleId="Heading3">
    <w:name w:val="heading 3"/>
    <w:basedOn w:val="Normal"/>
    <w:next w:val="Normal"/>
    <w:link w:val="3Char"/>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nhideWhenUsed/>
    <w:qFormat/>
  </w:style>
  <w:style w:type="table" w:default="1" w:styleId="TableNormal">
    <w:name w:val="Normal Table"/>
    <w:uiPriority w:val="99"/>
    <w:unhideWhenUsed/>
    <w:qFormat/>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eastAsia="宋体" w:hAnsi="Calibri" w:cs="Times New Roman"/>
      <w:sz w:val="22"/>
      <w:szCs w:val="22"/>
    </w:rPr>
  </w:style>
  <w:style w:type="paragraph" w:styleId="BalloonText">
    <w:name w:val="Balloon Text"/>
    <w:basedOn w:val="Normal"/>
    <w:link w:val="Char"/>
    <w:uiPriority w:val="99"/>
    <w:unhideWhenUsed/>
    <w:qFormat/>
    <w:pPr>
      <w:spacing w:line="240" w:lineRule="auto"/>
    </w:pPr>
    <w:rPr>
      <w:sz w:val="18"/>
      <w:szCs w:val="18"/>
    </w:rPr>
  </w:style>
  <w:style w:type="paragraph" w:styleId="Footer">
    <w:name w:val="footer"/>
    <w:basedOn w:val="Normal"/>
    <w:link w:val="Char0"/>
    <w:unhideWhenUsed/>
    <w:qFormat/>
    <w:pPr>
      <w:tabs>
        <w:tab w:val="center" w:pos="4153"/>
        <w:tab w:val="right" w:pos="8306"/>
      </w:tabs>
      <w:snapToGrid w:val="0"/>
      <w:spacing w:line="240" w:lineRule="atLeas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eastAsia="宋体" w:hAnsi="Calibri" w:cs="Times New Roman"/>
      <w:sz w:val="22"/>
      <w:szCs w:val="22"/>
    </w:rPr>
  </w:style>
  <w:style w:type="character" w:styleId="Hyperlink">
    <w:name w:val="Hyperlink"/>
    <w:uiPriority w:val="99"/>
    <w:unhideWhenUsed/>
    <w:qFormat/>
    <w:rPr>
      <w:color w:val="0000FF"/>
      <w:u w:val="single"/>
    </w:rPr>
  </w:style>
  <w:style w:type="character" w:customStyle="1" w:styleId="1Char">
    <w:name w:val="标题 1 Char"/>
    <w:link w:val="Heading1"/>
    <w:uiPriority w:val="9"/>
    <w:qFormat/>
    <w:rPr>
      <w:b/>
      <w:bCs/>
      <w:kern w:val="44"/>
      <w:sz w:val="44"/>
      <w:szCs w:val="44"/>
    </w:rPr>
  </w:style>
  <w:style w:type="character" w:customStyle="1" w:styleId="2Char">
    <w:name w:val="标题 2 Char"/>
    <w:link w:val="Heading2"/>
    <w:uiPriority w:val="9"/>
    <w:semiHidden/>
    <w:qFormat/>
    <w:rPr>
      <w:rFonts w:ascii="Cambria" w:eastAsia="宋体" w:hAnsi="Cambria" w:cs="Times New Roman"/>
      <w:b/>
      <w:bCs/>
      <w:sz w:val="32"/>
      <w:szCs w:val="32"/>
    </w:rPr>
  </w:style>
  <w:style w:type="character" w:customStyle="1" w:styleId="3Char">
    <w:name w:val="标题 3 Char"/>
    <w:link w:val="Heading3"/>
    <w:uiPriority w:val="9"/>
    <w:semiHidden/>
    <w:qFormat/>
    <w:rPr>
      <w:b/>
      <w:bCs/>
      <w:sz w:val="32"/>
      <w:szCs w:val="32"/>
    </w:rPr>
  </w:style>
  <w:style w:type="character" w:customStyle="1" w:styleId="Char">
    <w:name w:val="批注框文本 Char"/>
    <w:link w:val="BalloonText"/>
    <w:uiPriority w:val="99"/>
    <w:semiHidden/>
    <w:qFormat/>
    <w:rPr>
      <w:sz w:val="18"/>
      <w:szCs w:val="18"/>
    </w:rPr>
  </w:style>
  <w:style w:type="character" w:customStyle="1" w:styleId="Char0">
    <w:name w:val="页脚 Char"/>
    <w:link w:val="Footer"/>
    <w:semiHidden/>
    <w:qFormat/>
    <w:rPr>
      <w:sz w:val="18"/>
      <w:szCs w:val="18"/>
    </w:rPr>
  </w:style>
  <w:style w:type="character" w:customStyle="1" w:styleId="Char1">
    <w:name w:val="页眉 Char"/>
    <w:link w:val="Header"/>
    <w:semiHidden/>
    <w:qFormat/>
    <w:rPr>
      <w:sz w:val="18"/>
      <w:szCs w:val="18"/>
    </w:rPr>
  </w:style>
  <w:style w:type="paragraph" w:customStyle="1" w:styleId="TOC">
    <w:name w:val="TOC 标题"/>
    <w:basedOn w:val="Heading1"/>
    <w:next w:val="Normal"/>
    <w:uiPriority w:val="39"/>
    <w:unhideWhenUsed/>
    <w:qFormat/>
    <w:pPr>
      <w:widowControl/>
      <w:adjustRightInd/>
      <w:spacing w:before="480" w:after="0" w:line="276" w:lineRule="auto"/>
      <w:textAlignment w:val="auto"/>
      <w:outlineLvl w:val="9"/>
    </w:pPr>
    <w:rPr>
      <w:rFonts w:ascii="Cambria" w:eastAsia="宋体" w:hAnsi="Cambria" w:cs="Times New Roman"/>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2</TotalTime>
  <Pages>14</Pages>
  <Words>1524</Words>
  <Characters>1706</Characters>
  <Application>Microsoft Office Word</Application>
  <DocSecurity>0</DocSecurity>
  <Lines>60</Lines>
  <Paragraphs>16</Paragraphs>
  <ScaleCrop>false</ScaleCrop>
  <Company>Microsoft</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绫香~</cp:lastModifiedBy>
  <cp:revision>5</cp:revision>
  <cp:lastPrinted>2012-09-19T14:00:00Z</cp:lastPrinted>
  <dcterms:created xsi:type="dcterms:W3CDTF">2019-07-28T02:37:00Z</dcterms:created>
  <dcterms:modified xsi:type="dcterms:W3CDTF">2024-08-21T04:17:20Z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9337EA9B326C43D7BCD51FC2F8926154_13</vt:lpwstr>
  </property>
  <property fmtid="{D5CDD505-2E9C-101B-9397-08002B2CF9AE}" pid="3" name="KSOProductBuildVer">
    <vt:lpwstr>2052-12.1.0.17147</vt:lpwstr>
  </property>
</Properties>
</file>