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ackground w:color="ffffff">
    <v:background id="_x0000_s1025" filled="t"/>
  </w:background>
  <w:body>
    <w:p w14:paraId="771A5F97">
      <w:pPr>
        <w:pageBreakBefore w:val="0"/>
        <w:kinsoku/>
        <w:wordWrap/>
        <w:overflowPunct/>
        <w:topLinePunct w:val="0"/>
        <w:autoSpaceDE/>
        <w:autoSpaceDN/>
        <w:bidi w:val="0"/>
        <w:snapToGrid/>
        <w:spacing w:line="240" w:lineRule="auto"/>
        <w:rPr>
          <w:rFonts w:ascii="黑体" w:eastAsia="黑体" w:hAnsi="黑体" w:cs="黑体" w:hint="default"/>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7F5E6F1">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lang w:val="en-US" w:eastAsia="zh-CN"/>
        </w:rPr>
      </w:pPr>
      <w:r>
        <w:rPr>
          <w:rFonts w:ascii="方正小标宋简体" w:eastAsia="方正小标宋简体" w:hAnsi="方正小标宋简体" w:cs="方正小标宋简体" w:hint="eastAsia"/>
          <w:sz w:val="48"/>
          <w:szCs w:val="48"/>
          <w:highlight w:val="none"/>
          <w:lang w:val="en-US" w:eastAsia="zh-CN"/>
        </w:rPr>
        <w:t>天津市津南区第十四幼儿园</w:t>
      </w:r>
    </w:p>
    <w:p w14:paraId="6C77533C">
      <w:pPr>
        <w:pageBreakBefore w:val="0"/>
        <w:kinsoku/>
        <w:wordWrap/>
        <w:overflowPunct/>
        <w:topLinePunct w:val="0"/>
        <w:autoSpaceDE/>
        <w:autoSpaceDN/>
        <w:bidi w:val="0"/>
        <w:snapToGrid/>
        <w:spacing w:line="240" w:lineRule="auto"/>
        <w:jc w:val="center"/>
        <w:rPr>
          <w:rFonts w:ascii="黑体" w:eastAsia="黑体" w:hint="eastAsia"/>
          <w:sz w:val="30"/>
          <w:szCs w:val="30"/>
          <w:highlight w:val="none"/>
        </w:rPr>
      </w:pPr>
      <w:r>
        <w:rPr>
          <w:rFonts w:ascii="方正小标宋简体" w:eastAsia="方正小标宋简体" w:hAnsi="方正小标宋简体" w:cs="方正小标宋简体" w:hint="eastAsia"/>
          <w:sz w:val="48"/>
          <w:szCs w:val="48"/>
          <w:highlight w:val="none"/>
          <w:lang w:eastAsia="zh-CN"/>
        </w:rPr>
        <w:t>202</w:t>
      </w:r>
      <w:r>
        <w:rPr>
          <w:rFonts w:ascii="方正小标宋简体" w:eastAsia="方正小标宋简体" w:hAnsi="方正小标宋简体" w:cs="方正小标宋简体" w:hint="eastAsia"/>
          <w:sz w:val="48"/>
          <w:szCs w:val="48"/>
          <w:highlight w:val="none"/>
          <w:lang w:val="en-US" w:eastAsia="zh-CN"/>
        </w:rPr>
        <w:t>3</w:t>
      </w:r>
      <w:r>
        <w:rPr>
          <w:rFonts w:ascii="方正小标宋简体" w:eastAsia="方正小标宋简体" w:hAnsi="方正小标宋简体" w:cs="方正小标宋简体" w:hint="eastAsia"/>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ascii="黑体" w:eastAsia="黑体" w:hint="eastAsia"/>
          <w:sz w:val="44"/>
          <w:szCs w:val="44"/>
          <w:highlight w:val="none"/>
        </w:rPr>
      </w:pPr>
    </w:p>
    <w:p w14:paraId="5EF768AF">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sectPr>
          <w:pgSz w:w="11906" w:h="16838"/>
          <w:pgMar w:top="1440" w:right="1800" w:bottom="1440" w:left="1800" w:header="851" w:footer="992" w:gutter="0"/>
          <w:pgNumType w:start="1"/>
          <w:cols w:num="1" w:space="720"/>
          <w:docGrid w:type="lines" w:linePitch="312" w:charSpace="0"/>
        </w:sectPr>
      </w:pPr>
    </w:p>
    <w:p w14:paraId="5FE03D61">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pPr>
    </w:p>
    <w:p w14:paraId="340F20B9">
      <w:pPr>
        <w:pageBreakBefore w:val="0"/>
        <w:kinsoku/>
        <w:wordWrap/>
        <w:overflowPunct/>
        <w:topLinePunct w:val="0"/>
        <w:autoSpaceDE/>
        <w:autoSpaceDN/>
        <w:bidi w:val="0"/>
        <w:snapToGrid/>
        <w:spacing w:line="600" w:lineRule="exact"/>
        <w:jc w:val="center"/>
        <w:rPr>
          <w:rFonts w:ascii="黑体" w:eastAsia="黑体" w:hint="eastAsia"/>
          <w:sz w:val="44"/>
          <w:szCs w:val="44"/>
        </w:rPr>
      </w:pPr>
      <w:r>
        <w:rPr>
          <w:rFonts w:ascii="黑体" w:eastAsia="黑体" w:hint="eastAsia"/>
          <w:sz w:val="44"/>
          <w:szCs w:val="44"/>
        </w:rPr>
        <w:t>目   录</w:t>
      </w:r>
    </w:p>
    <w:p w14:paraId="37D8886D">
      <w:pPr>
        <w:pageBreakBefore w:val="0"/>
        <w:kinsoku/>
        <w:wordWrap/>
        <w:overflowPunct/>
        <w:topLinePunct w:val="0"/>
        <w:autoSpaceDE/>
        <w:autoSpaceDN/>
        <w:bidi w:val="0"/>
        <w:snapToGrid/>
        <w:spacing w:line="600" w:lineRule="exact"/>
        <w:rPr>
          <w:rFonts w:ascii="黑体" w:eastAsia="黑体" w:hint="eastAsia"/>
          <w:sz w:val="30"/>
          <w:szCs w:val="30"/>
          <w:highlight w:val="none"/>
        </w:rPr>
      </w:pPr>
    </w:p>
    <w:p w14:paraId="7A1C0097">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r>
        <w:rPr>
          <w:rFonts w:ascii="Times New Roman" w:eastAsia="仿宋_GB2312" w:hAnsi="Times New Roman" w:cs="Times New Roman"/>
          <w:sz w:val="30"/>
          <w:szCs w:val="30"/>
          <w:highlight w:val="none"/>
        </w:rPr>
        <w:fldChar w:fldCharType="begin"/>
      </w:r>
      <w:r>
        <w:rPr>
          <w:rFonts w:ascii="Times New Roman" w:eastAsia="仿宋_GB2312" w:hAnsi="Times New Roman" w:cs="Times New Roman"/>
          <w:sz w:val="30"/>
          <w:szCs w:val="30"/>
          <w:highlight w:val="none"/>
        </w:rPr>
        <w:instrText xml:space="preserve"> TOC \o "1-3" \h \z \u </w:instrText>
      </w:r>
      <w:r>
        <w:rPr>
          <w:rFonts w:ascii="Times New Roman" w:eastAsia="仿宋_GB2312" w:hAnsi="Times New Roman" w:cs="Times New Roman"/>
          <w:sz w:val="30"/>
          <w:szCs w:val="30"/>
          <w:highlight w:val="none"/>
        </w:rPr>
        <w:fldChar w:fldCharType="separate"/>
      </w:r>
      <w:hyperlink w:anchor="_Toc7076" w:history="1">
        <w:r>
          <w:rPr>
            <w:rFonts w:ascii="方正小标宋简体" w:eastAsia="方正小标宋简体" w:hAnsi="方正小标宋简体" w:cs="方正小标宋简体" w:hint="eastAsia"/>
            <w:b w:val="0"/>
            <w:bCs w:val="0"/>
            <w:sz w:val="30"/>
            <w:szCs w:val="30"/>
            <w:highlight w:val="none"/>
          </w:rPr>
          <w:t>第一部分  概 况</w:t>
        </w:r>
        <w:r>
          <w:rPr>
            <w:rFonts w:ascii="方正小标宋简体" w:eastAsia="方正小标宋简体" w:hAnsi="方正小标宋简体" w:cs="方正小标宋简体" w:hint="eastAsia"/>
            <w:b w:val="0"/>
            <w:bCs w:val="0"/>
            <w:sz w:val="30"/>
            <w:szCs w:val="30"/>
          </w:rPr>
          <w:tab/>
        </w:r>
        <w:r>
          <w:rPr>
            <w:rFonts w:ascii="方正小标宋简体" w:eastAsia="方正小标宋简体" w:hAnsi="方正小标宋简体" w:cs="方正小标宋简体" w:hint="eastAsia"/>
            <w:b w:val="0"/>
            <w:bCs w:val="0"/>
            <w:sz w:val="30"/>
            <w:szCs w:val="30"/>
          </w:rPr>
          <w:fldChar w:fldCharType="begin"/>
        </w:r>
        <w:r>
          <w:rPr>
            <w:rFonts w:ascii="方正小标宋简体" w:eastAsia="方正小标宋简体" w:hAnsi="方正小标宋简体" w:cs="方正小标宋简体" w:hint="eastAsia"/>
            <w:b w:val="0"/>
            <w:bCs w:val="0"/>
            <w:sz w:val="30"/>
            <w:szCs w:val="30"/>
          </w:rPr>
          <w:instrText xml:space="preserve"> PAGEREF _Toc7076 </w:instrText>
        </w:r>
        <w:r>
          <w:rPr>
            <w:rFonts w:ascii="方正小标宋简体" w:eastAsia="方正小标宋简体" w:hAnsi="方正小标宋简体" w:cs="方正小标宋简体" w:hint="eastAsia"/>
            <w:b w:val="0"/>
            <w:bCs w:val="0"/>
            <w:sz w:val="30"/>
            <w:szCs w:val="30"/>
          </w:rPr>
          <w:fldChar w:fldCharType="separate"/>
        </w:r>
        <w:r>
          <w:rPr>
            <w:rFonts w:ascii="方正小标宋简体" w:eastAsia="方正小标宋简体" w:hAnsi="方正小标宋简体" w:cs="方正小标宋简体" w:hint="eastAsia"/>
            <w:b w:val="0"/>
            <w:bCs w:val="0"/>
            <w:sz w:val="30"/>
            <w:szCs w:val="30"/>
          </w:rPr>
          <w:t>1</w:t>
        </w:r>
        <w:r>
          <w:rPr>
            <w:rFonts w:ascii="方正小标宋简体" w:eastAsia="方正小标宋简体" w:hAnsi="方正小标宋简体" w:cs="方正小标宋简体" w:hint="eastAsia"/>
            <w:b w:val="0"/>
            <w:bCs w:val="0"/>
            <w:sz w:val="30"/>
            <w:szCs w:val="30"/>
          </w:rPr>
          <w:fldChar w:fldCharType="end"/>
        </w:r>
      </w:hyperlink>
    </w:p>
    <w:p w14:paraId="255B2CE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809" w:history="1">
        <w:r>
          <w:rPr>
            <w:rFonts w:ascii="仿宋_GB2312" w:eastAsia="仿宋_GB2312" w:hAnsi="仿宋_GB2312" w:cs="仿宋_GB2312" w:hint="eastAsia"/>
            <w:bCs w:val="0"/>
            <w:sz w:val="30"/>
            <w:szCs w:val="30"/>
            <w:highlight w:val="none"/>
          </w:rPr>
          <w:t>一、主要职责</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_Toc13809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3CEA7295">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0426" w:history="1">
        <w:r>
          <w:rPr>
            <w:rFonts w:ascii="仿宋_GB2312" w:eastAsia="仿宋_GB2312" w:hAnsi="仿宋_GB2312" w:cs="仿宋_GB2312" w:hint="eastAsia"/>
            <w:bCs w:val="0"/>
            <w:sz w:val="30"/>
            <w:szCs w:val="30"/>
            <w:highlight w:val="none"/>
          </w:rPr>
          <w:t>二、机构设置</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_Toc20426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63E6C9E8">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5731" w:history="1">
        <w:r>
          <w:rPr>
            <w:rFonts w:ascii="方正小标宋简体" w:eastAsia="方正小标宋简体" w:hAnsi="方正小标宋简体" w:cs="方正小标宋简体" w:hint="eastAsia"/>
            <w:b w:val="0"/>
            <w:bCs w:val="0"/>
            <w:sz w:val="30"/>
            <w:szCs w:val="30"/>
            <w:highlight w:val="none"/>
          </w:rPr>
          <w:t xml:space="preserve">第二部分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年度部门决算表</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_Toc15731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2</w:t>
        </w:r>
        <w:r>
          <w:rPr>
            <w:rFonts w:ascii="方正小标宋简体" w:eastAsia="方正小标宋简体" w:hAnsi="方正小标宋简体" w:cs="方正小标宋简体" w:hint="eastAsia"/>
            <w:b w:val="0"/>
            <w:bCs w:val="0"/>
            <w:sz w:val="30"/>
            <w:szCs w:val="30"/>
            <w:highlight w:val="none"/>
          </w:rPr>
          <w:fldChar w:fldCharType="end"/>
        </w:r>
      </w:hyperlink>
    </w:p>
    <w:p w14:paraId="5745C42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843" w:history="1">
        <w:r>
          <w:rPr>
            <w:rFonts w:ascii="仿宋_GB2312" w:eastAsia="仿宋_GB2312" w:hAnsi="仿宋_GB2312" w:cs="仿宋_GB2312" w:hint="eastAsia"/>
            <w:sz w:val="30"/>
            <w:szCs w:val="30"/>
            <w:highlight w:val="none"/>
          </w:rPr>
          <w:t>一、《收入支出决算总表》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_Toc8843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E3AED2">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52" w:history="1">
        <w:r>
          <w:rPr>
            <w:rFonts w:ascii="仿宋_GB2312" w:eastAsia="仿宋_GB2312" w:hAnsi="仿宋_GB2312" w:cs="仿宋_GB2312" w:hint="eastAsia"/>
            <w:sz w:val="30"/>
            <w:szCs w:val="30"/>
            <w:highlight w:val="none"/>
          </w:rPr>
          <w:t>二、《收入决算表（按功能分类列示）》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_Toc2552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C7371C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841" w:history="1">
        <w:r>
          <w:rPr>
            <w:rFonts w:ascii="仿宋_GB2312" w:eastAsia="仿宋_GB2312" w:hAnsi="仿宋_GB2312" w:cs="仿宋_GB2312" w:hint="eastAsia"/>
            <w:sz w:val="30"/>
            <w:szCs w:val="30"/>
            <w:highlight w:val="none"/>
          </w:rPr>
          <w:t>三、《收入决算表（按单位列示）》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_Toc27841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257E23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617" w:history="1">
        <w:r>
          <w:rPr>
            <w:rFonts w:ascii="仿宋_GB2312" w:eastAsia="仿宋_GB2312" w:hAnsi="仿宋_GB2312" w:cs="仿宋_GB2312" w:hint="eastAsia"/>
            <w:sz w:val="30"/>
            <w:szCs w:val="30"/>
            <w:highlight w:val="none"/>
          </w:rPr>
          <w:t>四、《支出决算表》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_Toc8617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5B1ED0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763" w:history="1">
        <w:r>
          <w:rPr>
            <w:rFonts w:ascii="仿宋_GB2312" w:eastAsia="仿宋_GB2312" w:hAnsi="仿宋_GB2312" w:cs="仿宋_GB2312" w:hint="eastAsia"/>
            <w:sz w:val="30"/>
            <w:szCs w:val="30"/>
            <w:highlight w:val="none"/>
          </w:rPr>
          <w:t>五、《财政拨款收入支出决算总表》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_Toc12763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C6C4D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4693" w:history="1">
        <w:r>
          <w:rPr>
            <w:rFonts w:ascii="仿宋_GB2312" w:eastAsia="仿宋_GB2312" w:hAnsi="仿宋_GB2312" w:cs="仿宋_GB2312" w:hint="eastAsia"/>
            <w:sz w:val="30"/>
            <w:szCs w:val="30"/>
            <w:highlight w:val="none"/>
          </w:rPr>
          <w:t>六、《一般公共预算财政拨款支出决算表》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_Toc24693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C8D7AA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25" w:history="1">
        <w:r>
          <w:rPr>
            <w:rFonts w:ascii="仿宋_GB2312" w:eastAsia="仿宋_GB2312" w:hAnsi="仿宋_GB2312" w:cs="仿宋_GB2312" w:hint="eastAsia"/>
            <w:sz w:val="30"/>
            <w:szCs w:val="30"/>
            <w:highlight w:val="none"/>
          </w:rPr>
          <w:t>七、《一般公共预算财政拨款基本支出决算表》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_Toc13125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2271CE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248"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、《政府性基金预算财政拨款收入支出决算表》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_Toc27248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1ECC3FF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5066"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、《国有资本经营预算财政拨款收入支出决算表》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_Toc5066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5F80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1014" w:history="1">
        <w:r>
          <w:rPr>
            <w:rFonts w:ascii="仿宋_GB2312" w:eastAsia="仿宋_GB2312" w:hAnsi="仿宋_GB2312" w:cs="仿宋_GB2312" w:hint="eastAsia"/>
            <w:sz w:val="30"/>
            <w:szCs w:val="30"/>
            <w:highlight w:val="none"/>
            <w:lang w:eastAsia="zh-CN"/>
          </w:rPr>
          <w:t>十</w:t>
        </w:r>
        <w:r>
          <w:rPr>
            <w:rFonts w:ascii="仿宋_GB2312" w:eastAsia="仿宋_GB2312" w:hAnsi="仿宋_GB2312" w:cs="仿宋_GB2312" w:hint="eastAsia"/>
            <w:sz w:val="30"/>
            <w:szCs w:val="30"/>
            <w:highlight w:val="none"/>
          </w:rPr>
          <w:t>、《财政拨款“三公”经费支出决算表》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_Toc21014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7DD5B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44"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、《项目支出决算表》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49A43F59">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6548" w:history="1">
        <w:r>
          <w:rPr>
            <w:rFonts w:ascii="方正小标宋简体" w:eastAsia="方正小标宋简体" w:hAnsi="方正小标宋简体" w:cs="方正小标宋简体" w:hint="eastAsia"/>
            <w:b w:val="0"/>
            <w:bCs w:val="0"/>
            <w:sz w:val="30"/>
            <w:szCs w:val="30"/>
            <w:highlight w:val="none"/>
          </w:rPr>
          <w:t xml:space="preserve">第三部分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年度部门决算情况说明</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_Toc6548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4</w:t>
        </w:r>
        <w:r>
          <w:rPr>
            <w:rFonts w:ascii="方正小标宋简体" w:eastAsia="方正小标宋简体" w:hAnsi="方正小标宋简体" w:cs="方正小标宋简体" w:hint="eastAsia"/>
            <w:b w:val="0"/>
            <w:bCs w:val="0"/>
            <w:sz w:val="30"/>
            <w:szCs w:val="30"/>
            <w:highlight w:val="none"/>
          </w:rPr>
          <w:fldChar w:fldCharType="end"/>
        </w:r>
      </w:hyperlink>
    </w:p>
    <w:p w14:paraId="6665115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044" w:history="1">
        <w:r>
          <w:rPr>
            <w:rFonts w:ascii="仿宋_GB2312" w:eastAsia="仿宋_GB2312" w:hAnsi="仿宋_GB2312" w:cs="仿宋_GB2312" w:hint="eastAsia"/>
            <w:sz w:val="30"/>
            <w:szCs w:val="30"/>
            <w:highlight w:val="none"/>
          </w:rPr>
          <w:t>一、收入支出决算总体情况说明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_Toc28044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3EF27B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76" w:history="1">
        <w:r>
          <w:rPr>
            <w:rFonts w:ascii="仿宋_GB2312" w:eastAsia="仿宋_GB2312" w:hAnsi="仿宋_GB2312" w:cs="仿宋_GB2312" w:hint="eastAsia"/>
            <w:sz w:val="30"/>
            <w:szCs w:val="30"/>
            <w:highlight w:val="none"/>
          </w:rPr>
          <w:t>二、收入决算情况说明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_Toc12176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B1F54F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1212" w:history="1">
        <w:r>
          <w:rPr>
            <w:rFonts w:ascii="仿宋_GB2312" w:eastAsia="仿宋_GB2312" w:hAnsi="仿宋_GB2312" w:cs="仿宋_GB2312" w:hint="eastAsia"/>
            <w:sz w:val="30"/>
            <w:szCs w:val="30"/>
            <w:highlight w:val="none"/>
          </w:rPr>
          <w:t>三、支出决算情况说明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_Toc31212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08C2ECD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9211" w:history="1">
        <w:r>
          <w:rPr>
            <w:rFonts w:ascii="仿宋_GB2312" w:eastAsia="仿宋_GB2312" w:hAnsi="仿宋_GB2312" w:cs="仿宋_GB2312" w:hint="eastAsia"/>
            <w:sz w:val="30"/>
            <w:szCs w:val="30"/>
            <w:highlight w:val="none"/>
          </w:rPr>
          <w:t>四、财政拨款收支决算总体情况说明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_Toc19211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5005F8A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286" w:history="1">
        <w:r>
          <w:rPr>
            <w:rFonts w:ascii="仿宋_GB2312" w:eastAsia="仿宋_GB2312" w:hAnsi="仿宋_GB2312" w:cs="仿宋_GB2312" w:hint="eastAsia"/>
            <w:sz w:val="30"/>
            <w:szCs w:val="30"/>
            <w:highlight w:val="none"/>
          </w:rPr>
          <w:t>五、一般公共预算财政拨款支出决算情况说明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_Toc25286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002A0E1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433" w:history="1">
        <w:r>
          <w:rPr>
            <w:rFonts w:ascii="仿宋_GB2312" w:eastAsia="仿宋_GB2312" w:hAnsi="仿宋_GB2312" w:cs="仿宋_GB2312" w:hint="eastAsia"/>
            <w:sz w:val="30"/>
            <w:szCs w:val="30"/>
            <w:highlight w:val="none"/>
          </w:rPr>
          <w:t>六、一般公共预算财政拨款基本支出决算情况</w:t>
        </w:r>
        <w:r>
          <w:rPr>
            <w:rFonts w:ascii="仿宋_GB2312" w:eastAsia="仿宋_GB2312" w:hAnsi="仿宋_GB2312" w:cs="仿宋_GB2312" w:hint="eastAsia"/>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_Toc26433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B2BEC7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665" w:history="1">
        <w:r>
          <w:rPr>
            <w:rFonts w:ascii="仿宋_GB2312" w:eastAsia="仿宋_GB2312" w:hAnsi="仿宋_GB2312" w:cs="仿宋_GB2312" w:hint="eastAsia"/>
            <w:sz w:val="30"/>
            <w:szCs w:val="30"/>
            <w:highlight w:val="none"/>
            <w:lang w:eastAsia="zh-CN"/>
          </w:rPr>
          <w:t>七</w:t>
        </w:r>
        <w:r>
          <w:rPr>
            <w:rFonts w:ascii="仿宋_GB2312" w:eastAsia="仿宋_GB2312" w:hAnsi="仿宋_GB2312" w:cs="仿宋_GB2312" w:hint="eastAsia"/>
            <w:sz w:val="30"/>
            <w:szCs w:val="30"/>
            <w:highlight w:val="none"/>
          </w:rPr>
          <w:t>、政府性基金预算财政拨款收支决算情况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_Toc28665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9D078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562"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、国有资本经营预算财政拨款收支决算情况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_Toc26562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15B010B8">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397"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、财政拨款“三公”经费支出决算情况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_Toc3397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fldChar w:fldCharType="end"/>
        </w:r>
      </w:hyperlink>
    </w:p>
    <w:p w14:paraId="07A03F7B">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180" w:history="1">
        <w:r>
          <w:rPr>
            <w:rFonts w:ascii="仿宋_GB2312" w:eastAsia="仿宋_GB2312" w:hAnsi="仿宋_GB2312" w:cs="仿宋_GB2312" w:hint="eastAsia"/>
            <w:sz w:val="30"/>
            <w:szCs w:val="30"/>
            <w:highlight w:val="none"/>
          </w:rPr>
          <w:t>十、机关运行经费支出情况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_Toc28180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3A140E9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238"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、政府采购支出情况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_Toc12238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4196E11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0109"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二</w:t>
        </w:r>
        <w:r>
          <w:rPr>
            <w:rFonts w:ascii="仿宋_GB2312" w:eastAsia="仿宋_GB2312" w:hAnsi="仿宋_GB2312" w:cs="仿宋_GB2312" w:hint="eastAsia"/>
            <w:sz w:val="30"/>
            <w:szCs w:val="30"/>
            <w:highlight w:val="none"/>
          </w:rPr>
          <w:t>、国有资产占有使用情况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_Toc30109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4668112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7408" w:history="1">
        <w:r>
          <w:rPr>
            <w:rFonts w:ascii="仿宋_GB2312" w:eastAsia="仿宋_GB2312" w:hAnsi="仿宋_GB2312" w:cs="仿宋_GB2312" w:hint="eastAsia"/>
            <w:bCs w:val="0"/>
            <w:sz w:val="30"/>
            <w:szCs w:val="30"/>
          </w:rPr>
          <w:t xml:space="preserve">十三、 </w:t>
        </w:r>
        <w:r>
          <w:rPr>
            <w:rFonts w:ascii="仿宋_GB2312" w:eastAsia="仿宋_GB2312" w:hAnsi="仿宋_GB2312" w:cs="仿宋_GB2312" w:hint="eastAsia"/>
            <w:bCs w:val="0"/>
            <w:sz w:val="30"/>
            <w:szCs w:val="30"/>
            <w:highlight w:val="none"/>
          </w:rPr>
          <w:t>预算绩效情况说明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_Toc7408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163A91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98" w:history="1">
        <w:r>
          <w:rPr>
            <w:rFonts w:ascii="仿宋_GB2312" w:eastAsia="仿宋_GB2312" w:hAnsi="仿宋_GB2312" w:cs="仿宋_GB2312" w:hint="eastAsia"/>
            <w:bCs w:val="0"/>
            <w:sz w:val="30"/>
            <w:szCs w:val="30"/>
          </w:rPr>
          <w:t xml:space="preserve">十四、 </w:t>
        </w:r>
        <w:r>
          <w:rPr>
            <w:rFonts w:ascii="仿宋_GB2312" w:eastAsia="仿宋_GB2312" w:hAnsi="仿宋_GB2312" w:cs="仿宋_GB2312" w:hint="eastAsia"/>
            <w:bCs w:val="0"/>
            <w:sz w:val="30"/>
            <w:szCs w:val="30"/>
            <w:highlight w:val="none"/>
          </w:rPr>
          <w:t>教育、医疗卫生、社会保障和就业、住房保障、涉农补贴等民生支出情况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_Toc12198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4A8E55AA">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17573" w:history="1">
        <w:r>
          <w:rPr>
            <w:rFonts w:ascii="方正小标宋简体" w:eastAsia="方正小标宋简体" w:hAnsi="方正小标宋简体" w:cs="方正小标宋简体" w:hint="eastAsia"/>
            <w:b w:val="0"/>
            <w:bCs w:val="0"/>
            <w:sz w:val="30"/>
            <w:szCs w:val="30"/>
            <w:highlight w:val="none"/>
          </w:rPr>
          <w:t>第四部分  名词解释</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_Toc17573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11</w:t>
        </w:r>
        <w:r>
          <w:rPr>
            <w:rFonts w:ascii="方正小标宋简体" w:eastAsia="方正小标宋简体" w:hAnsi="方正小标宋简体" w:cs="方正小标宋简体" w:hint="eastAsia"/>
            <w:b w:val="0"/>
            <w:bCs w:val="0"/>
            <w:sz w:val="30"/>
            <w:szCs w:val="30"/>
            <w:highlight w:val="none"/>
          </w:rPr>
          <w:fldChar w:fldCharType="end"/>
        </w:r>
      </w:hyperlink>
    </w:p>
    <w:p w14:paraId="076A79FC">
      <w:pPr>
        <w:pStyle w:val="TOC2"/>
        <w:pageBreakBefore w:val="0"/>
        <w:tabs>
          <w:tab w:val="right" w:leader="dot" w:pos="8296"/>
        </w:tabs>
        <w:kinsoku/>
        <w:wordWrap/>
        <w:overflowPunct/>
        <w:topLinePunct w:val="0"/>
        <w:autoSpaceDE/>
        <w:autoSpaceDN/>
        <w:bidi w:val="0"/>
        <w:snapToGrid/>
        <w:spacing w:after="0" w:line="600" w:lineRule="exact"/>
        <w:rPr>
          <w:rFonts w:ascii="Times New Roman" w:eastAsia="仿宋_GB2312" w:hAnsi="Times New Roman"/>
          <w:sz w:val="32"/>
          <w:szCs w:val="32"/>
          <w:highlight w:val="none"/>
        </w:rPr>
        <w:sectPr>
          <w:footerReference w:type="default" r:id="rId5"/>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0" w:name="_Toc7076"/>
      <w:r>
        <w:rPr>
          <w:rFonts w:ascii="方正小标宋简体" w:eastAsia="方正小标宋简体" w:hAnsi="方正小标宋简体" w:cs="方正小标宋简体" w:hint="eastAsia"/>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1" w:name="_Toc13809"/>
      <w:r>
        <w:rPr>
          <w:rFonts w:ascii="黑体" w:eastAsia="黑体" w:hAnsi="黑体" w:hint="eastAsia"/>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为学龄前儿童提供教育和保育服务。</w:t>
      </w:r>
    </w:p>
    <w:p w14:paraId="643966F6">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2" w:name="_Toc20426"/>
      <w:r>
        <w:rPr>
          <w:rFonts w:ascii="黑体" w:eastAsia="黑体" w:hAnsi="黑体" w:hint="eastAsia"/>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Times New Roman" w:cs="Times New Roman" w:hint="eastAsia"/>
          <w:sz w:val="30"/>
          <w:szCs w:val="30"/>
          <w:highlight w:val="none"/>
          <w:lang w:val="en-US" w:eastAsia="zh-CN"/>
        </w:rPr>
        <w:t>天津市津南区第十四幼儿园内设1个职能</w:t>
      </w:r>
      <w:r>
        <w:rPr>
          <w:rFonts w:ascii="仿宋_GB2312" w:eastAsia="仿宋_GB2312" w:cs="Times New Roman" w:hint="eastAsia"/>
          <w:sz w:val="30"/>
          <w:szCs w:val="30"/>
          <w:highlight w:val="none"/>
          <w:lang w:val="en-US" w:eastAsia="zh-CN"/>
        </w:rPr>
        <w:t>科</w:t>
      </w:r>
      <w:r>
        <w:rPr>
          <w:rFonts w:ascii="仿宋_GB2312" w:eastAsia="仿宋_GB2312" w:hAnsi="Times New Roman" w:cs="Times New Roman" w:hint="eastAsia"/>
          <w:sz w:val="30"/>
          <w:szCs w:val="30"/>
          <w:highlight w:val="none"/>
          <w:lang w:val="en-US" w:eastAsia="zh-CN"/>
        </w:rPr>
        <w:t xml:space="preserve">室。 </w:t>
      </w:r>
      <w:r>
        <w:rPr>
          <w:rFonts w:eastAsia="楷体_GB2312"/>
          <w:b/>
          <w:sz w:val="30"/>
          <w:szCs w:val="30"/>
          <w:highlight w:val="none"/>
        </w:rPr>
        <w:br w:type="page"/>
      </w:r>
    </w:p>
    <w:p w14:paraId="671C2795">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 w:name="_Toc15731"/>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二</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4" w:name="_Toc8843"/>
      <w:r>
        <w:rPr>
          <w:rFonts w:ascii="黑体" w:eastAsia="黑体" w:hAnsi="黑体"/>
          <w:b w:val="0"/>
          <w:sz w:val="30"/>
          <w:szCs w:val="30"/>
          <w:highlight w:val="none"/>
        </w:rPr>
        <w:t>一</w:t>
      </w:r>
      <w:r>
        <w:rPr>
          <w:rFonts w:ascii="黑体" w:eastAsia="黑体" w:hAnsi="黑体" w:hint="eastAsia"/>
          <w:b w:val="0"/>
          <w:sz w:val="30"/>
          <w:szCs w:val="30"/>
          <w:highlight w:val="none"/>
        </w:rPr>
        <w:t>、</w:t>
      </w:r>
      <w:r>
        <w:rPr>
          <w:rFonts w:ascii="黑体" w:eastAsia="黑体" w:hAnsi="黑体"/>
          <w:b w:val="0"/>
          <w:sz w:val="30"/>
          <w:szCs w:val="30"/>
          <w:highlight w:val="none"/>
        </w:rPr>
        <w:t>《</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4"/>
    </w:p>
    <w:p w14:paraId="464FD5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5" w:name="_Toc2552"/>
      <w:r>
        <w:rPr>
          <w:rFonts w:ascii="黑体" w:eastAsia="黑体" w:hAnsi="黑体"/>
          <w:b w:val="0"/>
          <w:sz w:val="30"/>
          <w:szCs w:val="30"/>
          <w:highlight w:val="none"/>
        </w:rPr>
        <w:t>二、《收入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（按功能分类列示）</w:t>
      </w:r>
      <w:r>
        <w:rPr>
          <w:rFonts w:ascii="黑体" w:eastAsia="黑体" w:hAnsi="黑体"/>
          <w:b w:val="0"/>
          <w:sz w:val="30"/>
          <w:szCs w:val="30"/>
          <w:highlight w:val="none"/>
        </w:rPr>
        <w:t>》</w:t>
      </w:r>
      <w:bookmarkEnd w:id="5"/>
    </w:p>
    <w:p w14:paraId="426CA0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6" w:name="_Toc27841"/>
      <w:r>
        <w:rPr>
          <w:rFonts w:ascii="黑体" w:eastAsia="黑体" w:hAnsi="黑体" w:hint="eastAsia"/>
          <w:b w:val="0"/>
          <w:sz w:val="30"/>
          <w:szCs w:val="30"/>
          <w:highlight w:val="none"/>
        </w:rPr>
        <w:t>三</w:t>
      </w:r>
      <w:r>
        <w:rPr>
          <w:rFonts w:ascii="黑体" w:eastAsia="黑体" w:hAnsi="黑体"/>
          <w:b w:val="0"/>
          <w:sz w:val="30"/>
          <w:szCs w:val="30"/>
          <w:highlight w:val="none"/>
        </w:rPr>
        <w:t>、《收入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（按单位列示）</w:t>
      </w:r>
      <w:r>
        <w:rPr>
          <w:rFonts w:ascii="黑体" w:eastAsia="黑体" w:hAnsi="黑体"/>
          <w:b w:val="0"/>
          <w:sz w:val="30"/>
          <w:szCs w:val="30"/>
          <w:highlight w:val="none"/>
        </w:rPr>
        <w:t>》</w:t>
      </w:r>
      <w:bookmarkEnd w:id="6"/>
    </w:p>
    <w:p w14:paraId="475FBA8F">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7" w:name="_Toc8617"/>
      <w:r>
        <w:rPr>
          <w:rFonts w:ascii="黑体" w:eastAsia="黑体" w:hAnsi="黑体" w:hint="eastAsia"/>
          <w:b w:val="0"/>
          <w:sz w:val="30"/>
          <w:szCs w:val="30"/>
          <w:highlight w:val="none"/>
        </w:rPr>
        <w:t>四、</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7"/>
    </w:p>
    <w:p w14:paraId="270015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8" w:name="_Toc12763"/>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8"/>
    </w:p>
    <w:p w14:paraId="0EC24594">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9" w:name="_Toc24693"/>
      <w:r>
        <w:rPr>
          <w:rFonts w:ascii="黑体" w:eastAsia="黑体" w:hAnsi="黑体"/>
          <w:b w:val="0"/>
          <w:sz w:val="30"/>
          <w:szCs w:val="30"/>
          <w:highlight w:val="none"/>
        </w:rPr>
        <w:t>六</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9"/>
    </w:p>
    <w:p w14:paraId="4AD9931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b w:val="0"/>
          <w:sz w:val="30"/>
          <w:szCs w:val="30"/>
          <w:highlight w:val="none"/>
        </w:rPr>
      </w:pPr>
      <w:bookmarkStart w:id="10" w:name="_Toc13125"/>
      <w:r>
        <w:rPr>
          <w:rFonts w:ascii="黑体" w:eastAsia="黑体" w:hAnsi="黑体"/>
          <w:b w:val="0"/>
          <w:sz w:val="30"/>
          <w:szCs w:val="30"/>
          <w:highlight w:val="none"/>
        </w:rPr>
        <w:t>七</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《一般公共预算财政拨款基本支出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0"/>
    </w:p>
    <w:p w14:paraId="7B7351B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1" w:name="_Toc27248"/>
      <w:r>
        <w:rPr>
          <w:rFonts w:ascii="黑体" w:eastAsia="黑体" w:hAnsi="黑体" w:hint="eastAsia"/>
          <w:b w:val="0"/>
          <w:sz w:val="30"/>
          <w:szCs w:val="30"/>
          <w:highlight w:val="none"/>
          <w:lang w:eastAsia="zh-CN"/>
        </w:rPr>
        <w:t>八</w:t>
      </w:r>
      <w:r>
        <w:rPr>
          <w:rFonts w:ascii="黑体" w:eastAsia="黑体" w:hAnsi="黑体" w:hint="eastAsia"/>
          <w:b w:val="0"/>
          <w:sz w:val="30"/>
          <w:szCs w:val="30"/>
          <w:highlight w:val="none"/>
        </w:rPr>
        <w:t>、</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1"/>
    </w:p>
    <w:p w14:paraId="583F435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2" w:name="_Toc5066"/>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《国有资本经营预算财政拨款</w:t>
      </w:r>
      <w:r>
        <w:rPr>
          <w:rFonts w:ascii="黑体" w:eastAsia="黑体" w:hAnsi="黑体" w:hint="eastAsia"/>
          <w:b w:val="0"/>
          <w:sz w:val="30"/>
          <w:szCs w:val="30"/>
          <w:highlight w:val="none"/>
        </w:rPr>
        <w:t>收入支出决算</w:t>
      </w:r>
      <w:r>
        <w:rPr>
          <w:rFonts w:ascii="黑体" w:eastAsia="黑体" w:hAnsi="黑体"/>
          <w:b w:val="0"/>
          <w:sz w:val="30"/>
          <w:szCs w:val="30"/>
          <w:highlight w:val="none"/>
        </w:rPr>
        <w:t>表》</w:t>
      </w:r>
      <w:bookmarkEnd w:id="12"/>
    </w:p>
    <w:p w14:paraId="3B9CB3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3" w:name="_Toc21014"/>
      <w:r>
        <w:rPr>
          <w:rFonts w:ascii="黑体" w:eastAsia="黑体" w:hAnsi="黑体" w:hint="eastAsia"/>
          <w:b w:val="0"/>
          <w:sz w:val="30"/>
          <w:szCs w:val="30"/>
          <w:highlight w:val="none"/>
          <w:lang w:eastAsia="zh-CN"/>
        </w:rPr>
        <w:t>十</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3"/>
    </w:p>
    <w:p w14:paraId="5E3E5525">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4" w:name="_Toc13144"/>
      <w:r>
        <w:rPr>
          <w:rFonts w:ascii="黑体" w:eastAsia="黑体" w:hAnsi="黑体"/>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ascii="黑体" w:eastAsia="黑体" w:hAnsi="黑体" w:hint="eastAsia"/>
          <w:b w:val="0"/>
          <w:bCs w:val="0"/>
          <w:sz w:val="30"/>
          <w:szCs w:val="30"/>
          <w:highlight w:val="none"/>
        </w:rPr>
      </w:pPr>
      <w:r>
        <w:rPr>
          <w:rFonts w:eastAsia="楷体" w:hint="eastAsia"/>
          <w:sz w:val="30"/>
          <w:szCs w:val="30"/>
          <w:highlight w:val="none"/>
        </w:rPr>
        <w:t>注：以上决算公开表均作为附表，附于决算公开说明文档后。</w:t>
      </w:r>
      <w:r>
        <w:rPr>
          <w:rFonts w:hint="eastAsia"/>
          <w:b w:val="0"/>
          <w:bCs w:val="0"/>
          <w:highlight w:val="none"/>
          <w:lang w:val="en-US" w:eastAsia="zh-CN"/>
        </w:rPr>
        <w:t xml:space="preserve">    </w:t>
      </w:r>
      <w:r>
        <w:rPr>
          <w:rFonts w:ascii="黑体" w:eastAsia="黑体" w:hAnsi="黑体" w:cs="Times New Roman" w:hint="eastAsia"/>
          <w:b w:val="0"/>
          <w:bCs/>
          <w:sz w:val="30"/>
          <w:szCs w:val="30"/>
          <w:highlight w:val="none"/>
          <w:lang w:val="en-US" w:eastAsia="zh-CN" w:bidi="ar-SA"/>
        </w:rPr>
        <w:t>十二、关于空表的说明</w:t>
      </w:r>
    </w:p>
    <w:p w14:paraId="4698F441">
      <w:pPr>
        <w:pageBreakBefore w:val="0"/>
        <w:numPr>
          <w:ilvl w:val="0"/>
          <w:numId w:val="0"/>
        </w:numPr>
        <w:kinsoku/>
        <w:wordWrap/>
        <w:overflowPunct/>
        <w:topLinePunct w:val="0"/>
        <w:autoSpaceDE/>
        <w:autoSpaceDN/>
        <w:bidi w:val="0"/>
        <w:snapToGrid/>
        <w:spacing w:line="600" w:lineRule="exact"/>
        <w:ind w:firstLine="600" w:firstLineChars="200"/>
        <w:jc w:val="both"/>
        <w:rPr>
          <w:rFonts w:ascii="仿宋_GB2312" w:eastAsia="仿宋_GB2312" w:hAnsi="Times New Roman" w:cs="Times New Roman" w:hint="default"/>
          <w:sz w:val="30"/>
          <w:szCs w:val="30"/>
          <w:highlight w:val="none"/>
          <w:lang w:val="en-US" w:eastAsia="zh-CN"/>
        </w:rPr>
        <w:sectPr>
          <w:footerReference w:type="default" r:id="rId6"/>
          <w:pgSz w:w="11906" w:h="16838"/>
          <w:pgMar w:top="1440" w:right="1800" w:bottom="1440" w:left="1800" w:header="851" w:footer="992" w:gutter="0"/>
          <w:pgNumType w:start="1"/>
          <w:cols w:num="1" w:space="720"/>
          <w:docGrid w:type="lines" w:linePitch="312" w:charSpace="0"/>
        </w:sectPr>
      </w:pPr>
      <w:r>
        <w:rPr>
          <w:rFonts w:ascii="仿宋_GB2312" w:eastAsia="仿宋_GB2312" w:hAnsi="Times New Roman" w:cs="Times New Roman" w:hint="eastAsia"/>
          <w:sz w:val="30"/>
          <w:szCs w:val="30"/>
          <w:highlight w:val="none"/>
          <w:lang w:val="en-US" w:eastAsia="zh-CN"/>
        </w:rPr>
        <w:t>1.天津市津南区第十四幼儿园2023年度政府性基金预算财政拨款收入支出决算表为空表。</w:t>
        <w:br/>
        <w:t>　　2.天津市津南区第十四幼儿园2023年度国有资本经营预算财政拨款收入支出决算表为空表。</w:t>
        <w:br/>
        <w:t>　　3.天津市津南区第十四幼儿园2023年度财政拨款“三公”经费支出决算表为空表。</w:t>
      </w:r>
    </w:p>
    <w:p w14:paraId="2224BE62">
      <w:pPr>
        <w:pageBreakBefore w:val="0"/>
        <w:kinsoku/>
        <w:wordWrap/>
        <w:overflowPunct/>
        <w:topLinePunct w:val="0"/>
        <w:autoSpaceDE/>
        <w:autoSpaceDN/>
        <w:bidi w:val="0"/>
        <w:snapToGrid/>
        <w:spacing w:line="640" w:lineRule="exact"/>
        <w:jc w:val="center"/>
        <w:rPr>
          <w:rFonts w:eastAsia="黑体" w:hint="eastAsia"/>
          <w:sz w:val="30"/>
          <w:szCs w:val="30"/>
          <w:highlight w:val="none"/>
        </w:rPr>
      </w:pPr>
    </w:p>
    <w:p w14:paraId="79BC762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15" w:name="_Toc6548"/>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三</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情况</w:t>
      </w:r>
      <w:r>
        <w:rPr>
          <w:rFonts w:ascii="方正小标宋简体" w:eastAsia="方正小标宋简体" w:hAnsi="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ascii="黑体" w:eastAsia="黑体" w:hint="eastAsia"/>
          <w:sz w:val="30"/>
          <w:szCs w:val="30"/>
          <w:highlight w:val="none"/>
        </w:rPr>
      </w:pPr>
    </w:p>
    <w:p w14:paraId="033FFF87">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6" w:name="_Toc28044"/>
      <w:r>
        <w:rPr>
          <w:rFonts w:ascii="黑体" w:eastAsia="黑体" w:hAnsi="黑体" w:hint="eastAsia"/>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eastAsia="楷体_GB2312" w:hint="eastAsia"/>
          <w:b/>
          <w:sz w:val="30"/>
          <w:szCs w:val="30"/>
          <w:highlight w:val="none"/>
        </w:rPr>
      </w:pPr>
      <w:r>
        <w:rPr>
          <w:rFonts w:eastAsia="仿宋_GB2312" w:hint="eastAsia"/>
          <w:sz w:val="30"/>
          <w:szCs w:val="30"/>
          <w:highlight w:val="none"/>
        </w:rPr>
        <w:t xml:space="preserve">   </w:t>
      </w:r>
      <w:r>
        <w:rPr>
          <w:rFonts w:ascii="Times New Roman" w:eastAsia="仿宋_GB2312" w:hAnsi="Times New Roman" w:cs="Times New Roman" w:hint="eastAsia"/>
          <w:sz w:val="30"/>
          <w:szCs w:val="30"/>
          <w:highlight w:val="none"/>
        </w:rPr>
        <w:t xml:space="preserve"> </w:t>
      </w:r>
      <w:r>
        <w:rPr>
          <w:rFonts w:ascii="仿宋_GB2312" w:eastAsia="仿宋_GB2312" w:hAnsi="仿宋_GB2312" w:cs="仿宋_GB2312" w:hint="eastAsia"/>
          <w:sz w:val="30"/>
          <w:szCs w:val="30"/>
          <w:highlight w:val="none"/>
          <w:lang w:val="en-US" w:eastAsia="zh-CN"/>
        </w:rPr>
        <w:t>天津市津南区第十四幼儿园2023年度收入、支出决算总计2,707,124.32元。与2022年度相比，收、支总计各增加2,202,282.23元，增长436.23%，主要原因是本单位为2022年9月新增单位，2023年支出为全年支出；本年度外聘教师增加，人员经费比上年增加；增加了项目资金的投入。</w:t>
      </w:r>
    </w:p>
    <w:p w14:paraId="115E107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7" w:name="_Toc12176"/>
      <w:r>
        <w:rPr>
          <w:rFonts w:ascii="黑体" w:eastAsia="黑体" w:hAnsi="黑体" w:cs="仿宋_GB2312" w:hint="eastAsia"/>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第十四幼儿园2023年度本年收入合计2,694,192.32元。与2022年度相比增加2,189,350.23元，主要原因是本单位为2022年9月新增单位，2023年支出为全年支出；本年度外聘教师增加，人员经费比上年增加；增加了项目资金的投入。其中：一般公共预算财政拨款收入2,694,178.27元，占100.00%；其他收入14.05元，占0.00%。</w:t>
      </w:r>
    </w:p>
    <w:p w14:paraId="72BD76E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8" w:name="_Toc31212"/>
      <w:r>
        <w:rPr>
          <w:rFonts w:ascii="黑体" w:eastAsia="黑体" w:hAnsi="黑体" w:cs="仿宋_GB2312" w:hint="eastAsia"/>
          <w:b w:val="0"/>
          <w:sz w:val="30"/>
          <w:szCs w:val="30"/>
          <w:highlight w:val="none"/>
        </w:rPr>
        <w:t>三、</w:t>
      </w:r>
      <w:r>
        <w:rPr>
          <w:rFonts w:ascii="黑体" w:eastAsia="黑体" w:hAnsi="黑体" w:cs="仿宋_GB2312"/>
          <w:b w:val="0"/>
          <w:sz w:val="30"/>
          <w:szCs w:val="30"/>
          <w:highlight w:val="none"/>
        </w:rPr>
        <w:t>支出</w:t>
      </w:r>
      <w:r>
        <w:rPr>
          <w:rFonts w:ascii="黑体" w:eastAsia="黑体" w:hAnsi="黑体" w:cs="仿宋_GB2312" w:hint="eastAsia"/>
          <w:b w:val="0"/>
          <w:sz w:val="30"/>
          <w:szCs w:val="30"/>
          <w:highlight w:val="none"/>
        </w:rPr>
        <w:t>决算</w:t>
      </w:r>
      <w:r>
        <w:rPr>
          <w:rFonts w:ascii="黑体" w:eastAsia="黑体" w:hAnsi="黑体" w:cs="仿宋_GB2312"/>
          <w:b w:val="0"/>
          <w:sz w:val="30"/>
          <w:szCs w:val="30"/>
          <w:highlight w:val="none"/>
        </w:rPr>
        <w:t>情况</w:t>
      </w:r>
      <w:r>
        <w:rPr>
          <w:rFonts w:ascii="黑体" w:eastAsia="黑体" w:hAnsi="黑体" w:cs="仿宋_GB2312" w:hint="eastAsia"/>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第十四幼儿园2023年度本年支出合计2,707,110.27元。与2022年度相比增加2,215,204.80元，主要原因是本单位为2022年9月新增单位，2023年支出为全年支出；本年度外聘教师增加，人员经费支出比上年增加；增加了项目资金的的支出。其中：基本支出2,585,039.19元，占95.49%；项目支出122,071.08元，占4.51%。</w:t>
      </w:r>
    </w:p>
    <w:p w14:paraId="27F86E7C">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9" w:name="_Toc19211"/>
      <w:r>
        <w:rPr>
          <w:rFonts w:ascii="黑体" w:eastAsia="黑体" w:hAnsi="黑体" w:hint="eastAsia"/>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第十四幼儿园2023年度财政拨款收入、支出决算总计2,707,110.27元。与2022年度相比，财政拨款收、支总计各增加2,202,272.80元，增长436.23%，主要原因是本单位为2022年9月新增单位，2023年支出为全年支出；本年度外聘教师增加，人员经费比上年增加；增加了项目资金的投入。</w:t>
      </w:r>
    </w:p>
    <w:p w14:paraId="64D9186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0" w:name="_Toc25286"/>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一般公共预算财政拨款支出决算情况</w:t>
      </w:r>
      <w:r>
        <w:rPr>
          <w:rFonts w:ascii="黑体" w:eastAsia="黑体" w:hAnsi="黑体" w:hint="eastAsia"/>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第十四幼儿园2023年度部门决算一般公共预算财政拨款支出合计2,707,110.27元，占本年支出合计的100.00%。与2022年度相比，一般公共预算财政拨款支出增加2,215,204.80元，增长450.33%，主要原因是本单位为2022年9月新增单位，2023年支出为全年支出；本年度外聘教师增加，人员经费比上年增加；增加了项目资金的投入。</w:t>
      </w:r>
    </w:p>
    <w:p w14:paraId="6DC3EBD7">
      <w:pPr>
        <w:pageBreakBefore w:val="0"/>
        <w:kinsoku/>
        <w:wordWrap/>
        <w:overflowPunct/>
        <w:topLinePunct w:val="0"/>
        <w:autoSpaceDE/>
        <w:autoSpaceDN/>
        <w:bidi w:val="0"/>
        <w:snapToGrid/>
        <w:spacing w:line="600" w:lineRule="exact"/>
        <w:ind w:firstLine="600" w:firstLine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eastAsia="仿宋_GB2312" w:hint="eastAsia"/>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2023年度一般公共预算财政拨款支出2,707,110.27元，主要用于以下方面：</w:t>
        <w:br/>
        <w:t>　　教育支出（类）支出2,301,744.05元，占85.03%；</w:t>
        <w:br/>
        <w:t>　　社会保障和就业支出（类）支出190,972.80元，占7.05%；</w:t>
        <w:br/>
        <w:t>　　卫生健康支出（类）支出93,205.42元，占3.44%；</w:t>
        <w:br/>
        <w:t>　　住房保障支出（类）支出121,188.00元，占4.48%。</w:t>
      </w:r>
    </w:p>
    <w:p w14:paraId="25EC0BDB">
      <w:pPr>
        <w:pageBreakBefore w:val="0"/>
        <w:numPr>
          <w:ilvl w:val="0"/>
          <w:numId w:val="1"/>
        </w:numPr>
        <w:kinsoku/>
        <w:wordWrap/>
        <w:overflowPunct/>
        <w:topLinePunct w:val="0"/>
        <w:autoSpaceDE/>
        <w:autoSpaceDN/>
        <w:bidi w:val="0"/>
        <w:snapToGrid/>
        <w:spacing w:line="600" w:lineRule="exact"/>
        <w:ind w:firstLine="600" w:firstLineChars="200"/>
        <w:rPr>
          <w:rFonts w:ascii="楷体" w:eastAsia="楷体" w:hAnsi="楷体" w:cs="仿宋_GB2312"/>
          <w:b/>
          <w:sz w:val="30"/>
          <w:szCs w:val="30"/>
          <w:highlight w:val="none"/>
        </w:rPr>
      </w:pPr>
      <w:r>
        <w:rPr>
          <w:rFonts w:ascii="楷体" w:eastAsia="楷体" w:hAnsi="楷体" w:cs="仿宋_GB2312"/>
          <w:b/>
          <w:sz w:val="30"/>
          <w:szCs w:val="30"/>
          <w:highlight w:val="none"/>
        </w:rPr>
        <w:t>具体情况</w:t>
      </w:r>
    </w:p>
    <w:p w14:paraId="0502470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2023年度一般公共预算财政拨款支出年初预算为2,355,213.14元，支出决算为2,707,110.27元，完成年初预算的114.94%。其中：</w:t>
        <w:br/>
        <w:t>　　1.教育支出（类）普通教育（款）学前教育（项）年初预算为1,977,898.34元，支出决算为2,301,744.05元，完成年初预算的116.37%，决算数大于年初预算数的主要原因是本年度新增外聘教师，人员经费支出增加。</w:t>
        <w:br/>
        <w:t>　　2.社会保障和就业支出（类）行政事业单位养老支出（款）机关事业单位基本养老保险缴费支出（项）年初预算为115,488.96元，支出决算为127,315.20元，完成年初预算的110.24%，决算数大于年初预算数的主要原因是本年度社保基数上调。</w:t>
        <w:br/>
        <w:t>　　3.社会保障和就业支出（类）行政事业单位养老支出（款）机关事业单位职业年金缴费支出（项）年初预算为57,744.48元，支出决算为63,657.60元，完成年初预算的110.24%，决算数大于年初预算数的主要原因是本年度社保基数上调。</w:t>
        <w:br/>
        <w:t>　　4.卫生健康支出（类）行政事业单位医疗（款）事业单位医疗（项）年初预算为75,789.36元，支出决算为82,855.42元，完成年初预算的109.32%，决算数大于年初预算数的主要原因是本年度社保基数上调。</w:t>
        <w:br/>
        <w:t>　　5.卫生健康支出（类）行政事业单位医疗（款）其他行政事业单位医疗支出（项）年初预算为10,800.00元，支出决算为10,350.00元，完成年初预算的95.83%，决算数小于年初预算数的主要原因是实际缴费标准小于年初预算标准。</w:t>
        <w:br/>
        <w:t>　　6.住房保障支出（类）住房改革支出（款）住房公积金（项）年初预算为117,492.00元，支出决算为121,188.00元，完成年初预算的103.15%，决算数大于年初预算数的主要原因是调整公积金，基数增加。</w:t>
      </w:r>
    </w:p>
    <w:p w14:paraId="36C75B1F">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1" w:name="_Toc26433"/>
      <w:r>
        <w:rPr>
          <w:rFonts w:ascii="黑体" w:eastAsia="黑体" w:hAnsi="黑体"/>
          <w:b w:val="0"/>
          <w:sz w:val="30"/>
          <w:szCs w:val="30"/>
          <w:highlight w:val="none"/>
        </w:rPr>
        <w:t>六、一般公共预算财政拨款基本支出决算情况</w:t>
      </w:r>
      <w:r>
        <w:rPr>
          <w:rFonts w:ascii="黑体" w:eastAsia="黑体" w:hAnsi="黑体" w:hint="eastAsia"/>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天津市津南区第十四幼儿园2023年度部门决算一般公共预算财政拨款基本支出合计2,585,039.19元，与2022年度相比增加2,093,133.72元，主要原因是本单位为2022年9月新增单位，2023年支出为全年支出；本年度外聘教师增加，人员经费比上年增加。其中：</w:t>
        <w:br/>
        <w:t>　　人员经费2,178,221.13元，主要包括基本工资、津贴补贴、绩效工资、机关事业单位养老保险缴费、职业年金缴费、职工基本医疗保险缴费、其他社会保障缴费、住房公积金、其他工资福利支出；</w:t>
        <w:br/>
        <w:t>　　公用经费406,818.06元，主要包括办公费、印刷费、咨询费、手续费、水费、电费、邮电费、取暖费、物业管理费、维修（护）费、培训费、工会经费、福利费、其他商品和服务支出、其他资本性支出。</w:t>
      </w:r>
    </w:p>
    <w:p w14:paraId="32521B65">
      <w:pPr>
        <w:pStyle w:val="Heading2"/>
        <w:pageBreakBefore w:val="0"/>
        <w:kinsoku/>
        <w:wordWrap/>
        <w:overflowPunct/>
        <w:topLinePunct w:val="0"/>
        <w:autoSpaceDE/>
        <w:autoSpaceDN/>
        <w:bidi w:val="0"/>
        <w:snapToGrid/>
        <w:spacing w:before="0" w:after="0" w:line="600" w:lineRule="exact"/>
        <w:ind w:firstLine="600" w:firstLineChars="200"/>
        <w:rPr>
          <w:rFonts w:ascii="楷体" w:eastAsia="楷体" w:hAnsi="楷体" w:cs="仿宋_GB2312" w:hint="eastAsia"/>
          <w:b w:val="0"/>
          <w:sz w:val="30"/>
          <w:szCs w:val="30"/>
          <w:highlight w:val="none"/>
        </w:rPr>
      </w:pPr>
      <w:bookmarkStart w:id="22" w:name="_Toc28665"/>
      <w:r>
        <w:rPr>
          <w:rFonts w:ascii="黑体" w:eastAsia="黑体" w:hAnsi="黑体" w:hint="eastAsia"/>
          <w:b w:val="0"/>
          <w:sz w:val="30"/>
          <w:szCs w:val="30"/>
          <w:highlight w:val="none"/>
          <w:lang w:eastAsia="zh-CN"/>
        </w:rPr>
        <w:t>七</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收支决算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天津市津南区第十四幼儿园2023年度无政府性基金预算财政拨款收入、支出和结转结余。</w:t>
      </w:r>
    </w:p>
    <w:p w14:paraId="1925F1C1">
      <w:pPr>
        <w:pStyle w:val="Heading2"/>
        <w:pageBreakBefore w:val="0"/>
        <w:kinsoku/>
        <w:wordWrap/>
        <w:overflowPunct/>
        <w:topLinePunct w:val="0"/>
        <w:autoSpaceDE/>
        <w:autoSpaceDN/>
        <w:bidi w:val="0"/>
        <w:snapToGrid/>
        <w:spacing w:before="0" w:after="0" w:line="600" w:lineRule="exact"/>
        <w:ind w:firstLine="600" w:firstLineChars="200"/>
        <w:rPr>
          <w:rFonts w:eastAsia="黑体" w:hint="eastAsia"/>
          <w:b w:val="0"/>
          <w:sz w:val="30"/>
          <w:szCs w:val="30"/>
          <w:highlight w:val="none"/>
        </w:rPr>
      </w:pPr>
      <w:bookmarkStart w:id="23" w:name="_Toc26562"/>
      <w:r>
        <w:rPr>
          <w:rFonts w:eastAsia="黑体" w:hint="eastAsia"/>
          <w:b w:val="0"/>
          <w:sz w:val="30"/>
          <w:szCs w:val="30"/>
          <w:highlight w:val="none"/>
          <w:lang w:eastAsia="zh-CN"/>
        </w:rPr>
        <w:t>八</w:t>
      </w:r>
      <w:r>
        <w:rPr>
          <w:rFonts w:eastAsia="黑体" w:hint="eastAsia"/>
          <w:b w:val="0"/>
          <w:sz w:val="30"/>
          <w:szCs w:val="30"/>
          <w:highlight w:val="none"/>
        </w:rPr>
        <w:t>、国有资本经营预算财政拨款收支决算情况</w:t>
      </w:r>
      <w:r>
        <w:rPr>
          <w:rFonts w:ascii="黑体" w:eastAsia="黑体" w:hAnsi="黑体" w:hint="eastAsia"/>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天津市津南区第十四幼儿园2023年度无国有资本经营预算财政拨款收入、支出和结转结余。</w:t>
      </w:r>
    </w:p>
    <w:p w14:paraId="4AA74E2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4" w:name="_Toc3397"/>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w:t>
      </w:r>
      <w:r>
        <w:rPr>
          <w:rFonts w:ascii="黑体" w:eastAsia="黑体" w:hAnsi="黑体" w:hint="eastAsia"/>
          <w:b w:val="0"/>
          <w:sz w:val="30"/>
          <w:szCs w:val="30"/>
          <w:highlight w:val="none"/>
        </w:rPr>
        <w:t>支出决算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7A19286E">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br/>
        <w:t>　　2023年本单位组织的出国团组0个，出国0人次。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b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b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5" w:name="_Toc28180"/>
      <w:r>
        <w:rPr>
          <w:rFonts w:ascii="黑体" w:eastAsia="黑体" w:hAnsi="黑体" w:hint="eastAsia"/>
          <w:b w:val="0"/>
          <w:sz w:val="30"/>
          <w:szCs w:val="30"/>
          <w:highlight w:val="none"/>
        </w:rPr>
        <w:t>十、</w:t>
      </w:r>
      <w:r>
        <w:rPr>
          <w:rFonts w:ascii="黑体" w:eastAsia="黑体" w:hAnsi="黑体"/>
          <w:b w:val="0"/>
          <w:sz w:val="30"/>
          <w:szCs w:val="30"/>
          <w:highlight w:val="none"/>
        </w:rPr>
        <w:t>机关运行经费</w:t>
      </w:r>
      <w:r>
        <w:rPr>
          <w:rFonts w:ascii="黑体" w:eastAsia="黑体" w:hAnsi="黑体" w:hint="eastAsia"/>
          <w:b w:val="0"/>
          <w:sz w:val="30"/>
          <w:szCs w:val="30"/>
          <w:highlight w:val="none"/>
        </w:rPr>
        <w:t>支出情况</w:t>
      </w:r>
      <w:r>
        <w:rPr>
          <w:rFonts w:ascii="黑体" w:eastAsia="黑体" w:hAnsi="黑体" w:hint="eastAsia"/>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天津市津南区第十四幼儿园2023年度无机关运行经费。</w:t>
      </w:r>
    </w:p>
    <w:p w14:paraId="6BA0F1F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6" w:name="_Toc12238"/>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政府采购</w:t>
      </w:r>
      <w:r>
        <w:rPr>
          <w:rFonts w:ascii="黑体" w:eastAsia="黑体" w:hAnsi="黑体" w:hint="eastAsia"/>
          <w:b w:val="0"/>
          <w:sz w:val="30"/>
          <w:szCs w:val="30"/>
          <w:highlight w:val="none"/>
        </w:rPr>
        <w:t>支出</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天津市津南区第十四幼儿园2023年度无政府采购支出。</w:t>
      </w:r>
    </w:p>
    <w:p w14:paraId="37455A8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7" w:name="_Toc30109"/>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二</w:t>
      </w:r>
      <w:r>
        <w:rPr>
          <w:rFonts w:ascii="黑体" w:eastAsia="黑体" w:hAnsi="黑体" w:hint="eastAsia"/>
          <w:b w:val="0"/>
          <w:sz w:val="30"/>
          <w:szCs w:val="30"/>
          <w:highlight w:val="none"/>
        </w:rPr>
        <w:t>、国有资产占有使用情况</w:t>
      </w:r>
      <w:r>
        <w:rPr>
          <w:rFonts w:ascii="黑体" w:eastAsia="黑体" w:hAnsi="黑体" w:hint="eastAsia"/>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天津市津南区第十四幼儿园2023年度无国有资产占有使用情况。</w:t>
      </w:r>
    </w:p>
    <w:p w14:paraId="196FFC43">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8" w:name="_Toc7408"/>
      <w:r>
        <w:rPr>
          <w:rFonts w:ascii="黑体" w:eastAsia="黑体" w:hAnsi="黑体" w:hint="eastAsia"/>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天津市津南区第十四幼儿园2023年度无需公开项目支出绩效自评结果。</w:t>
      </w:r>
    </w:p>
    <w:p w14:paraId="48A05015">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9" w:name="_Toc12198"/>
      <w:r>
        <w:rPr>
          <w:rFonts w:ascii="黑体" w:eastAsia="黑体" w:hAnsi="黑体" w:hint="eastAsia"/>
          <w:b w:val="0"/>
          <w:bCs w:val="0"/>
          <w:sz w:val="30"/>
          <w:szCs w:val="30"/>
          <w:highlight w:val="none"/>
        </w:rPr>
        <w:t>教育、医疗卫生、社会保障和就业、住房保障、涉农补贴等民生支出情况</w:t>
      </w:r>
      <w:r>
        <w:rPr>
          <w:rFonts w:ascii="黑体" w:eastAsia="黑体" w:hAnsi="黑体" w:hint="eastAsia"/>
          <w:b w:val="0"/>
          <w:bCs w:val="0"/>
          <w:sz w:val="30"/>
          <w:szCs w:val="30"/>
          <w:highlight w:val="none"/>
          <w:lang w:eastAsia="zh-CN"/>
        </w:rPr>
        <w:t>说明</w:t>
      </w:r>
      <w:bookmarkEnd w:id="29"/>
    </w:p>
    <w:p w14:paraId="32BC4F5E">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num="1" w:space="720"/>
          <w:docGrid w:type="lines" w:linePitch="312" w:charSpace="0"/>
        </w:sectPr>
      </w:pPr>
      <w:r>
        <w:rPr>
          <w:rFonts w:ascii="仿宋_GB2312" w:eastAsia="仿宋_GB2312" w:hAnsi="仿宋_GB2312" w:cs="仿宋_GB2312" w:hint="eastAsia"/>
          <w:sz w:val="30"/>
          <w:szCs w:val="30"/>
          <w:highlight w:val="none"/>
          <w:lang w:val="en-US" w:eastAsia="zh-CN"/>
        </w:rPr>
        <w:t>天津市津南区第十四幼儿园不属于乡、镇、街级单位，不涉及公开2023年度教育、医疗卫生、社会保障和就业、住房保障、涉农补贴等民生支出情况。</w:t>
      </w:r>
    </w:p>
    <w:p w14:paraId="2BFEB69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0" w:name="_Toc17573"/>
      <w:r>
        <w:rPr>
          <w:rFonts w:ascii="方正小标宋简体" w:eastAsia="方正小标宋简体" w:hAnsi="方正小标宋简体" w:cs="方正小标宋简体" w:hint="eastAsia"/>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bookmarkStart w:id="31" w:name="_GoBack"/>
      <w:bookmarkEnd w:id="31"/>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118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974C58C">
    <w:pPr>
      <w:pStyle w:val="Footer"/>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49" type="#_x0000_t202" style="width:2in;height:2in;margin-top:0;margin-left:207.25pt;mso-position-horizontal-relative:margin;mso-wrap-distance-bottom:0;mso-wrap-distance-left:9pt;mso-wrap-distance-right:9pt;mso-wrap-distance-top:0;mso-wrap-style:none;position:absolute;v-text-anchor:top;z-index:251658240" filled="f" fillcolor="this" stroked="f" strokeweight="1.25pt">
              <v:textbox style="mso-fit-shape-to-text:t" inset="0,0,0,0">
                <w:txbxContent>
                  <w:p w14:paraId="3277D735">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BE256EE"/>
    <w:multiLevelType w:val="singleLevel"/>
    <w:tmpl w:val="EBE256EE"/>
    <w:lvl w:ilvl="0">
      <w:start w:val="13"/>
      <w:numFmt w:val="chineseCounting"/>
      <w:suff w:val="nothing"/>
      <w:lvlText w:val="%1、"/>
      <w:lvlJc w:val="left"/>
      <w:rPr>
        <w:rFonts w:hint="eastAsia"/>
      </w:rPr>
    </w:lvl>
  </w:abstractNum>
  <w:abstractNum w:abstractNumId="1">
    <w:nsid w:val="62CB79B7"/>
    <w:multiLevelType w:val="singleLevel"/>
    <w:tmpl w:val="62CB79B7"/>
    <w:lvl w:ilvl="0">
      <w:start w:val="3"/>
      <w:numFmt w:val="chineseCounting"/>
      <w:suff w:val="nothing"/>
      <w:lvlText w:val="（%1）"/>
      <w:lvlJc w:val="left"/>
    </w:lvl>
  </w:abstractNum>
  <w:abstractNum w:abstractNumId="2">
    <w:nsid w:val="62CB88B4"/>
    <w:multiLevelType w:val="singleLevel"/>
    <w:tmpl w:val="62CB88B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D802DB"/>
    <w:rsid w:val="BBFEB28B"/>
    <w:rsid w:val="D74FDF30"/>
    <w:rsid w:val="DEAEE68D"/>
    <w:rsid w:val="F7F97754"/>
    <w:rsid w:val="FB7FC3E7"/>
    <w:rsid w:val="FF3F61B6"/>
    <w:rsid w:val="FFC7ECE8"/>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s>
  <w:docVars>
    <w:docVar w:name="commondata" w:val="eyJoZGlkIjoiZjFmZWIzNDg2MmIzZjExOTIzMmViNTBmYTMwYTk0ZWY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0"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2Char"/>
    <w:uiPriority w:val="9"/>
    <w:unhideWhenUsed/>
    <w:qFormat/>
    <w:pPr>
      <w:keepNext/>
      <w:keepLines/>
      <w:spacing w:before="260" w:after="260" w:line="416" w:lineRule="atLeast"/>
      <w:outlineLvl w:val="1"/>
    </w:pPr>
    <w:rPr>
      <w:rFonts w:ascii="Cambria" w:eastAsia="宋体" w:hAnsi="Cambria" w:cs="Times New Roman"/>
      <w:b/>
      <w:bCs/>
      <w:sz w:val="32"/>
      <w:szCs w:val="32"/>
    </w:rPr>
  </w:style>
  <w:style w:type="paragraph" w:styleId="Heading3">
    <w:name w:val="heading 3"/>
    <w:basedOn w:val="Normal"/>
    <w:next w:val="Normal"/>
    <w:link w:val="3Char"/>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rPr>
  </w:style>
  <w:style w:type="paragraph" w:styleId="BalloonText">
    <w:name w:val="Balloon Text"/>
    <w:basedOn w:val="Normal"/>
    <w:link w:val="Char"/>
    <w:uiPriority w:val="99"/>
    <w:unhideWhenUsed/>
    <w:qFormat/>
    <w:pPr>
      <w:spacing w:line="240" w:lineRule="auto"/>
    </w:pPr>
    <w:rPr>
      <w:sz w:val="18"/>
      <w:szCs w:val="18"/>
    </w:rPr>
  </w:style>
  <w:style w:type="paragraph" w:styleId="Footer">
    <w:name w:val="footer"/>
    <w:basedOn w:val="Normal"/>
    <w:link w:val="Char0"/>
    <w:unhideWhenUsed/>
    <w:qFormat/>
    <w:pPr>
      <w:tabs>
        <w:tab w:val="center" w:pos="4153"/>
        <w:tab w:val="right" w:pos="8306"/>
      </w:tabs>
      <w:snapToGrid w:val="0"/>
      <w:spacing w:line="240" w:lineRule="atLeas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rPr>
  </w:style>
  <w:style w:type="character" w:styleId="Hyperlink">
    <w:name w:val="Hyperlink"/>
    <w:uiPriority w:val="99"/>
    <w:unhideWhenUsed/>
    <w:qFormat/>
    <w:rPr>
      <w:color w:val="0000FF"/>
      <w:u w:val="single"/>
    </w:rPr>
  </w:style>
  <w:style w:type="character" w:customStyle="1" w:styleId="1Char">
    <w:name w:val="标题 1 Char"/>
    <w:link w:val="Heading1"/>
    <w:uiPriority w:val="9"/>
    <w:qFormat/>
    <w:rPr>
      <w:b/>
      <w:bCs/>
      <w:kern w:val="44"/>
      <w:sz w:val="44"/>
      <w:szCs w:val="44"/>
    </w:rPr>
  </w:style>
  <w:style w:type="character" w:customStyle="1" w:styleId="2Char">
    <w:name w:val="标题 2 Char"/>
    <w:link w:val="Heading2"/>
    <w:uiPriority w:val="9"/>
    <w:semiHidden/>
    <w:qFormat/>
    <w:rPr>
      <w:rFonts w:ascii="Cambria" w:eastAsia="宋体" w:hAnsi="Cambria" w:cs="Times New Roman"/>
      <w:b/>
      <w:bCs/>
      <w:sz w:val="32"/>
      <w:szCs w:val="32"/>
    </w:rPr>
  </w:style>
  <w:style w:type="character" w:customStyle="1" w:styleId="3Char">
    <w:name w:val="标题 3 Char"/>
    <w:link w:val="Heading3"/>
    <w:uiPriority w:val="9"/>
    <w:semiHidden/>
    <w:qFormat/>
    <w:rPr>
      <w:b/>
      <w:bCs/>
      <w:sz w:val="32"/>
      <w:szCs w:val="32"/>
    </w:rPr>
  </w:style>
  <w:style w:type="character" w:customStyle="1" w:styleId="Char">
    <w:name w:val="批注框文本 Char"/>
    <w:link w:val="BalloonText"/>
    <w:uiPriority w:val="99"/>
    <w:semiHidden/>
    <w:qFormat/>
    <w:rPr>
      <w:sz w:val="18"/>
      <w:szCs w:val="18"/>
    </w:rPr>
  </w:style>
  <w:style w:type="character" w:customStyle="1" w:styleId="Char0">
    <w:name w:val="页脚 Char"/>
    <w:link w:val="Footer"/>
    <w:semiHidden/>
    <w:qFormat/>
    <w:rPr>
      <w:sz w:val="18"/>
      <w:szCs w:val="18"/>
    </w:rPr>
  </w:style>
  <w:style w:type="character" w:customStyle="1" w:styleId="Char1">
    <w:name w:val="页眉 Char"/>
    <w:link w:val="Header"/>
    <w:semiHidden/>
    <w:qFormat/>
    <w:rPr>
      <w:sz w:val="18"/>
      <w:szCs w:val="18"/>
    </w:rPr>
  </w:style>
  <w:style w:type="paragraph" w:customStyle="1" w:styleId="TOC">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14</Pages>
  <Words>1524</Words>
  <Characters>1706</Characters>
  <Application>Microsoft Office Word</Application>
  <DocSecurity>0</DocSecurity>
  <Lines>60</Lines>
  <Paragraphs>16</Paragraphs>
  <ScaleCrop>false</ScaleCrop>
  <Company>Microsoft</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绫香~</cp:lastModifiedBy>
  <cp:revision>5</cp:revision>
  <cp:lastPrinted>2012-09-19T14:00:00Z</cp:lastPrinted>
  <dcterms:created xsi:type="dcterms:W3CDTF">2019-07-28T02:37:00Z</dcterms:created>
  <dcterms:modified xsi:type="dcterms:W3CDTF">2024-08-21T04:17:20Z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2052-12.1.0.17147</vt:lpwstr>
  </property>
</Properties>
</file>