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天津市葛沽第三中学</w:t>
      </w: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年部门预算</w:t>
      </w:r>
    </w:p>
    <w:p>
      <w:pPr>
        <w:spacing w:line="580" w:lineRule="exact"/>
        <w:jc w:val="center"/>
        <w:rPr>
          <w:rFonts w:hint="eastAsia" w:ascii="楷体_GB2312" w:eastAsia="楷体_GB2312"/>
          <w:sz w:val="36"/>
          <w:szCs w:val="36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黑体" w:eastAsia="黑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目   录</w:t>
      </w:r>
    </w:p>
    <w:p>
      <w:pPr>
        <w:spacing w:line="600" w:lineRule="exact"/>
        <w:rPr>
          <w:rFonts w:hint="eastAsia" w:ascii="黑体" w:eastAsia="黑体"/>
          <w:sz w:val="30"/>
          <w:szCs w:val="30"/>
        </w:rPr>
      </w:pPr>
    </w:p>
    <w:p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第一部分  概 况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一、主要职责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二、机构设置情况</w:t>
      </w:r>
    </w:p>
    <w:p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第二部分  2025年部门预算情况说明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一、关于收支总体情况表的说明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二、关于收入总体情况表的说明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三、关于支出总体情况表的说明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四、关于财政拨款收支总体情况表的说明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五、关于一般公共预算支出情况的说明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六、关于一般公共预算基本支出情况表的说明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七、关于一般公共预算“三公”经费支出情况表的说明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八、关于政府性基金预算支出情况表的说明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九、关于国有资本经营预算支出情况表的说明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十、其他重要事项的情况说明</w:t>
      </w:r>
    </w:p>
    <w:p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第三部分  名词解释</w:t>
      </w:r>
    </w:p>
    <w:p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第四部分  2025年部门预算表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一、部门收支总体情况表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二、部门收入总体情况表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三、部门支出总体情况表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四、财政拨款收支总体情况表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五、一般公共预算支出情况表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六、一般公共预算基本支出情况表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七、一般公共预算“三公”经费支出情况表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八、政府性基金预算支出情况表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九、国有资本经营预算支出情况表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十、项目支出表</w:t>
      </w:r>
    </w:p>
    <w:p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十一、关于空表的说明</w:t>
      </w:r>
      <w:r>
        <w:rPr>
          <w:rFonts w:hint="eastAsia" w:ascii="仿宋_GB2312" w:hAnsi="Times New Roman" w:eastAsia="仿宋_GB2312"/>
          <w:sz w:val="30"/>
          <w:szCs w:val="30"/>
        </w:rPr>
        <w:tab/>
      </w:r>
    </w:p>
    <w:p>
      <w:pPr>
        <w:spacing w:line="600" w:lineRule="exact"/>
        <w:rPr>
          <w:rFonts w:ascii="仿宋_GB2312" w:hAnsi="Times New Roman" w:eastAsia="仿宋_GB2312"/>
          <w:b/>
          <w:sz w:val="30"/>
          <w:szCs w:val="30"/>
        </w:rPr>
      </w:pPr>
      <w:r>
        <w:rPr>
          <w:rFonts w:ascii="仿宋_GB2312" w:hAnsi="Times New Roman" w:eastAsia="仿宋_GB2312"/>
          <w:b/>
          <w:sz w:val="30"/>
          <w:szCs w:val="30"/>
        </w:rPr>
        <w:fldChar w:fldCharType="begin"/>
      </w:r>
      <w:r>
        <w:rPr>
          <w:rFonts w:ascii="仿宋_GB2312" w:hAnsi="Times New Roman" w:eastAsia="仿宋_GB2312"/>
          <w:b/>
          <w:sz w:val="30"/>
          <w:szCs w:val="30"/>
        </w:rPr>
        <w:instrText xml:space="preserve"> </w:instrText>
      </w:r>
      <w:r>
        <w:rPr>
          <w:rFonts w:hint="eastAsia" w:ascii="仿宋_GB2312" w:hAnsi="Times New Roman" w:eastAsia="仿宋_GB2312"/>
          <w:b/>
          <w:sz w:val="30"/>
          <w:szCs w:val="30"/>
        </w:rPr>
        <w:instrText xml:space="preserve">TOC \o "1-3" \h \z \u</w:instrText>
      </w:r>
      <w:r>
        <w:rPr>
          <w:rFonts w:ascii="仿宋_GB2312" w:hAnsi="Times New Roman" w:eastAsia="仿宋_GB2312"/>
          <w:b/>
          <w:sz w:val="30"/>
          <w:szCs w:val="30"/>
        </w:rPr>
        <w:instrText xml:space="preserve"> </w:instrText>
      </w:r>
      <w:r>
        <w:rPr>
          <w:rFonts w:ascii="仿宋_GB2312" w:hAnsi="Times New Roman" w:eastAsia="仿宋_GB2312"/>
          <w:b/>
          <w:sz w:val="30"/>
          <w:szCs w:val="30"/>
        </w:rPr>
        <w:fldChar w:fldCharType="separate"/>
      </w: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  <w:r>
        <w:rPr>
          <w:rFonts w:ascii="仿宋_GB2312" w:hAnsi="Times New Roman" w:eastAsia="仿宋_GB2312"/>
          <w:sz w:val="30"/>
          <w:szCs w:val="30"/>
        </w:rPr>
        <w:fldChar w:fldCharType="end"/>
      </w: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pStyle w:val="8"/>
        <w:tabs>
          <w:tab w:val="right" w:leader="dot" w:pos="8296"/>
        </w:tabs>
        <w:spacing w:line="600" w:lineRule="exact"/>
        <w:ind w:left="0"/>
        <w:rPr>
          <w:rFonts w:ascii="黑体" w:eastAsia="黑体"/>
          <w:sz w:val="30"/>
          <w:szCs w:val="30"/>
        </w:rPr>
        <w:sectPr>
          <w:headerReference r:id="rId5" w:type="default"/>
          <w:footerReference r:id="rId6" w:type="default"/>
          <w:footerReference r:id="rId7" w:type="even"/>
          <w:pgSz w:w="11907" w:h="16840"/>
          <w:pgMar w:top="2098" w:right="1474" w:bottom="1304" w:left="1588" w:header="765" w:footer="765" w:gutter="0"/>
          <w:pgNumType w:fmt="numberInDash" w:start="1"/>
          <w:cols w:space="720" w:num="1"/>
          <w:docGrid w:linePitch="326" w:charSpace="0"/>
        </w:sectPr>
      </w:pPr>
    </w:p>
    <w:p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sz w:val="48"/>
          <w:szCs w:val="48"/>
        </w:rPr>
      </w:pPr>
      <w:bookmarkStart w:id="0" w:name="_Toc78784554"/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第一部分  概 况</w:t>
      </w:r>
      <w:bookmarkEnd w:id="0"/>
    </w:p>
    <w:p>
      <w:pPr>
        <w:spacing w:line="600" w:lineRule="exact"/>
        <w:rPr>
          <w:rFonts w:hint="eastAsia"/>
        </w:rPr>
      </w:pPr>
    </w:p>
    <w:p>
      <w:pPr>
        <w:pStyle w:val="3"/>
        <w:spacing w:line="600" w:lineRule="exact"/>
        <w:ind w:firstLine="602" w:firstLineChars="200"/>
        <w:rPr>
          <w:rFonts w:hint="eastAsia" w:ascii="黑体" w:hAnsi="黑体" w:eastAsia="黑体"/>
          <w:sz w:val="30"/>
          <w:szCs w:val="30"/>
        </w:rPr>
      </w:pPr>
      <w:bookmarkStart w:id="1" w:name="_Toc78784555"/>
      <w:r>
        <w:rPr>
          <w:rFonts w:hint="eastAsia" w:ascii="黑体" w:hAnsi="黑体" w:eastAsia="黑体"/>
          <w:sz w:val="30"/>
          <w:szCs w:val="30"/>
        </w:rPr>
        <w:t>一、主要职责</w:t>
      </w:r>
      <w:bookmarkEnd w:id="1"/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bookmarkStart w:id="2" w:name="_Toc78784556"/>
      <w:r>
        <w:rPr>
          <w:rFonts w:hint="eastAsia" w:ascii="仿宋_GB2312" w:eastAsia="仿宋_GB2312"/>
          <w:sz w:val="30"/>
          <w:szCs w:val="30"/>
        </w:rPr>
        <w:t>天津市葛沽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三</w:t>
      </w:r>
      <w:r>
        <w:rPr>
          <w:rFonts w:ascii="仿宋_GB2312" w:eastAsia="仿宋_GB2312"/>
          <w:sz w:val="30"/>
          <w:szCs w:val="30"/>
        </w:rPr>
        <w:t>中学</w:t>
      </w:r>
      <w:r>
        <w:rPr>
          <w:rFonts w:hint="eastAsia" w:ascii="仿宋_GB2312" w:eastAsia="仿宋_GB2312"/>
          <w:sz w:val="30"/>
          <w:szCs w:val="30"/>
        </w:rPr>
        <w:t>主要职责完成</w:t>
      </w:r>
      <w:r>
        <w:rPr>
          <w:rFonts w:ascii="仿宋_GB2312" w:eastAsia="仿宋_GB2312"/>
          <w:sz w:val="30"/>
          <w:szCs w:val="30"/>
        </w:rPr>
        <w:t>初中学段学生教育教学工作，培养</w:t>
      </w:r>
      <w:r>
        <w:rPr>
          <w:rFonts w:hint="eastAsia" w:ascii="仿宋_GB2312" w:eastAsia="仿宋_GB2312"/>
          <w:sz w:val="30"/>
          <w:szCs w:val="30"/>
        </w:rPr>
        <w:t>优秀</w:t>
      </w:r>
      <w:r>
        <w:rPr>
          <w:rFonts w:ascii="仿宋_GB2312" w:eastAsia="仿宋_GB2312"/>
          <w:sz w:val="30"/>
          <w:szCs w:val="30"/>
        </w:rPr>
        <w:t>毕业生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pStyle w:val="3"/>
        <w:spacing w:line="600" w:lineRule="exact"/>
        <w:ind w:firstLine="602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二、机构设置</w:t>
      </w:r>
      <w:bookmarkEnd w:id="2"/>
      <w:r>
        <w:rPr>
          <w:rFonts w:hint="eastAsia" w:ascii="黑体" w:hAnsi="黑体" w:eastAsia="黑体"/>
          <w:sz w:val="30"/>
          <w:szCs w:val="30"/>
        </w:rPr>
        <w:t>情况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天津市葛沽第三中学</w:t>
      </w:r>
      <w:r>
        <w:rPr>
          <w:rFonts w:eastAsia="仿宋_GB2312"/>
          <w:sz w:val="30"/>
          <w:szCs w:val="30"/>
        </w:rPr>
        <w:t>内设</w:t>
      </w:r>
      <w:r>
        <w:rPr>
          <w:rFonts w:hint="eastAsia" w:eastAsia="仿宋_GB2312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个职能处室；下辖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>个预算单位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纳入天津市葛沽第三中学202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</w:rPr>
        <w:t>年部门预算编制范围的预算单位包括：</w:t>
      </w:r>
    </w:p>
    <w:p>
      <w:pPr>
        <w:spacing w:line="600" w:lineRule="exact"/>
        <w:ind w:firstLine="6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1.天津市葛沽第三中学</w:t>
      </w:r>
    </w:p>
    <w:p>
      <w:pPr>
        <w:spacing w:line="600" w:lineRule="exact"/>
        <w:ind w:firstLine="600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sz w:val="48"/>
          <w:szCs w:val="48"/>
        </w:rPr>
      </w:pPr>
      <w:bookmarkStart w:id="3" w:name="_Toc78784570"/>
      <w:r>
        <w:rPr>
          <w:rFonts w:ascii="方正小标宋简体" w:hAnsi="方正小标宋简体" w:eastAsia="方正小标宋简体" w:cs="方正小标宋简体"/>
          <w:b w:val="0"/>
          <w:sz w:val="48"/>
          <w:szCs w:val="48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二</w:t>
      </w:r>
      <w:r>
        <w:rPr>
          <w:rFonts w:ascii="方正小标宋简体" w:hAnsi="方正小标宋简体" w:eastAsia="方正小标宋简体" w:cs="方正小标宋简体"/>
          <w:b w:val="0"/>
          <w:sz w:val="48"/>
          <w:szCs w:val="48"/>
        </w:rPr>
        <w:t xml:space="preserve">部分  </w:t>
      </w:r>
      <w:r>
        <w:rPr>
          <w:rFonts w:hint="eastAsia"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2025</w:t>
      </w:r>
      <w:r>
        <w:rPr>
          <w:rFonts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年部门</w:t>
      </w:r>
      <w:r>
        <w:rPr>
          <w:rFonts w:hint="eastAsia"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预算情况</w:t>
      </w:r>
      <w:r>
        <w:rPr>
          <w:rFonts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说明</w:t>
      </w:r>
      <w:bookmarkEnd w:id="3"/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4" w:name="_Toc78784571"/>
      <w:r>
        <w:rPr>
          <w:rFonts w:hint="eastAsia" w:ascii="黑体" w:hAnsi="黑体" w:eastAsia="黑体"/>
          <w:b w:val="0"/>
          <w:sz w:val="30"/>
          <w:szCs w:val="30"/>
        </w:rPr>
        <w:t>一、关于收支总体情况</w:t>
      </w:r>
      <w:bookmarkEnd w:id="4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>
      <w:pPr>
        <w:spacing w:line="600" w:lineRule="exact"/>
        <w:ind w:firstLine="150" w:firstLineChars="5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按照综合预算的原则，</w:t>
      </w: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所有收入和支出均纳入部门预算管理。收入包括：一般公共预算拨款收入2287.82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政府性基金预算拨款收入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国有资本经营预算拨款收入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、财政专户管理资金收入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事业单位经营收入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、其他收入</w:t>
      </w:r>
      <w:r>
        <w:rPr>
          <w:rFonts w:hint="eastAsia" w:eastAsia="仿宋_GB2312"/>
          <w:sz w:val="30"/>
          <w:szCs w:val="30"/>
          <w:lang w:val="en-US" w:eastAsia="zh-CN"/>
        </w:rPr>
        <w:t>220.00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上年结转结余</w:t>
      </w:r>
      <w:r>
        <w:rPr>
          <w:rFonts w:hint="eastAsia" w:eastAsia="仿宋_GB2312"/>
          <w:sz w:val="30"/>
          <w:szCs w:val="30"/>
          <w:lang w:val="en-US" w:eastAsia="zh-CN"/>
        </w:rPr>
        <w:t>0.20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；支出包括：教育支出2186.74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、社会保障和就业支出217.44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、卫生健康支出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eastAsia="仿宋_GB2312"/>
          <w:sz w:val="30"/>
          <w:szCs w:val="30"/>
        </w:rPr>
        <w:t>万元。天津市葛沽第三中学202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</w:rPr>
        <w:t>年收支总预算</w:t>
      </w:r>
      <w:r>
        <w:rPr>
          <w:rFonts w:hint="eastAsia" w:eastAsia="仿宋_GB2312"/>
          <w:sz w:val="30"/>
          <w:szCs w:val="30"/>
          <w:lang w:val="en-US" w:eastAsia="zh-CN"/>
        </w:rPr>
        <w:t>2508.02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 w:cs="仿宋_GB2312"/>
          <w:b w:val="0"/>
          <w:sz w:val="30"/>
          <w:szCs w:val="30"/>
        </w:rPr>
      </w:pPr>
      <w:bookmarkStart w:id="5" w:name="_Toc78784572"/>
      <w:r>
        <w:rPr>
          <w:rFonts w:hint="eastAsia" w:ascii="黑体" w:hAnsi="黑体" w:eastAsia="黑体" w:cs="仿宋_GB2312"/>
          <w:b w:val="0"/>
          <w:sz w:val="30"/>
          <w:szCs w:val="30"/>
        </w:rPr>
        <w:t>二、关于收入总体情况</w:t>
      </w:r>
      <w:bookmarkEnd w:id="5"/>
      <w:r>
        <w:rPr>
          <w:rFonts w:hint="eastAsia" w:ascii="黑体" w:hAnsi="黑体" w:eastAsia="黑体" w:cs="仿宋_GB2312"/>
          <w:b w:val="0"/>
          <w:sz w:val="30"/>
          <w:szCs w:val="30"/>
        </w:rPr>
        <w:t>表的说明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部门预算</w:t>
      </w:r>
      <w:r>
        <w:rPr>
          <w:rFonts w:eastAsia="仿宋_GB2312"/>
          <w:sz w:val="30"/>
          <w:szCs w:val="30"/>
        </w:rPr>
        <w:t>收入</w:t>
      </w:r>
      <w:r>
        <w:rPr>
          <w:rFonts w:hint="eastAsia" w:eastAsia="仿宋_GB2312"/>
          <w:sz w:val="30"/>
          <w:szCs w:val="30"/>
        </w:rPr>
        <w:t>2508.02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309.03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  <w:u w:val="none"/>
        </w:rPr>
        <w:t>。</w:t>
      </w:r>
      <w:r>
        <w:rPr>
          <w:rFonts w:eastAsia="仿宋_GB2312"/>
          <w:sz w:val="30"/>
          <w:szCs w:val="30"/>
        </w:rPr>
        <w:t>其中：</w:t>
      </w:r>
      <w:r>
        <w:rPr>
          <w:rFonts w:hint="eastAsia" w:eastAsia="仿宋_GB2312"/>
          <w:sz w:val="30"/>
          <w:szCs w:val="30"/>
        </w:rPr>
        <w:t>上年结转结余</w:t>
      </w:r>
      <w:r>
        <w:rPr>
          <w:rFonts w:hint="eastAsia" w:eastAsia="仿宋_GB2312"/>
          <w:sz w:val="30"/>
          <w:szCs w:val="30"/>
          <w:lang w:val="en-US" w:eastAsia="zh-CN"/>
        </w:rPr>
        <w:t>0.20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，占</w:t>
      </w:r>
      <w:r>
        <w:rPr>
          <w:rFonts w:hint="eastAsia" w:eastAsia="仿宋_GB2312"/>
          <w:sz w:val="30"/>
          <w:szCs w:val="30"/>
          <w:lang w:val="en-US" w:eastAsia="zh-CN"/>
        </w:rPr>
        <w:t>0.01</w:t>
      </w:r>
      <w:r>
        <w:rPr>
          <w:rFonts w:eastAsia="仿宋_GB2312"/>
          <w:sz w:val="30"/>
          <w:szCs w:val="30"/>
        </w:rPr>
        <w:t>%；一般公共预算</w:t>
      </w:r>
      <w:r>
        <w:rPr>
          <w:rFonts w:hint="eastAsia" w:eastAsia="仿宋_GB2312"/>
          <w:sz w:val="30"/>
          <w:szCs w:val="30"/>
          <w:u w:val="none"/>
        </w:rPr>
        <w:t>2287.82</w:t>
      </w:r>
      <w:r>
        <w:rPr>
          <w:rFonts w:eastAsia="仿宋_GB2312"/>
          <w:sz w:val="30"/>
          <w:szCs w:val="30"/>
          <w:u w:val="none"/>
        </w:rPr>
        <w:t xml:space="preserve"> 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91.22</w:t>
      </w:r>
      <w:r>
        <w:rPr>
          <w:rFonts w:eastAsia="仿宋_GB2312"/>
          <w:sz w:val="30"/>
          <w:szCs w:val="30"/>
        </w:rPr>
        <w:t>%；政府性基金预算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%；国有资本经营预算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财政专户管理资金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%；事业收入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事业单位</w:t>
      </w:r>
      <w:r>
        <w:rPr>
          <w:rFonts w:eastAsia="仿宋_GB2312"/>
          <w:sz w:val="30"/>
          <w:szCs w:val="30"/>
        </w:rPr>
        <w:t>经营收入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%；上级补助收入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%；附属单位上缴收入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%；其他收入</w:t>
      </w:r>
      <w:r>
        <w:rPr>
          <w:rFonts w:hint="eastAsia" w:eastAsia="仿宋_GB2312"/>
          <w:sz w:val="30"/>
          <w:szCs w:val="30"/>
          <w:lang w:val="en-US" w:eastAsia="zh-CN"/>
        </w:rPr>
        <w:t>220.00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8.77</w:t>
      </w:r>
      <w:r>
        <w:rPr>
          <w:rFonts w:eastAsia="仿宋_GB2312"/>
          <w:sz w:val="30"/>
          <w:szCs w:val="30"/>
        </w:rPr>
        <w:t>%</w:t>
      </w:r>
      <w:r>
        <w:rPr>
          <w:rFonts w:hint="eastAsia" w:eastAsia="仿宋_GB2312"/>
          <w:sz w:val="30"/>
          <w:szCs w:val="30"/>
        </w:rPr>
        <w:t>。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 w:cs="仿宋_GB2312"/>
          <w:b w:val="0"/>
          <w:sz w:val="30"/>
          <w:szCs w:val="30"/>
        </w:rPr>
      </w:pPr>
      <w:bookmarkStart w:id="6" w:name="_Toc78784573"/>
      <w:r>
        <w:rPr>
          <w:rFonts w:hint="eastAsia" w:ascii="黑体" w:hAnsi="黑体" w:eastAsia="黑体" w:cs="仿宋_GB2312"/>
          <w:b w:val="0"/>
          <w:sz w:val="30"/>
          <w:szCs w:val="30"/>
        </w:rPr>
        <w:t>三、关于</w:t>
      </w:r>
      <w:r>
        <w:rPr>
          <w:rFonts w:ascii="黑体" w:hAnsi="黑体" w:eastAsia="黑体" w:cs="仿宋_GB2312"/>
          <w:b w:val="0"/>
          <w:sz w:val="30"/>
          <w:szCs w:val="30"/>
        </w:rPr>
        <w:t>支出</w:t>
      </w:r>
      <w:r>
        <w:rPr>
          <w:rFonts w:hint="eastAsia" w:ascii="黑体" w:hAnsi="黑体" w:eastAsia="黑体" w:cs="仿宋_GB2312"/>
          <w:b w:val="0"/>
          <w:sz w:val="30"/>
          <w:szCs w:val="30"/>
        </w:rPr>
        <w:t>总体情况表</w:t>
      </w:r>
      <w:bookmarkEnd w:id="6"/>
      <w:r>
        <w:rPr>
          <w:rFonts w:hint="eastAsia" w:ascii="黑体" w:hAnsi="黑体" w:eastAsia="黑体" w:cs="仿宋_GB2312"/>
          <w:b w:val="0"/>
          <w:sz w:val="30"/>
          <w:szCs w:val="30"/>
        </w:rPr>
        <w:t>的说明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支出预算2508.02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309.03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其中：基本支出</w:t>
      </w:r>
      <w:r>
        <w:rPr>
          <w:rFonts w:hint="eastAsia" w:eastAsia="仿宋_GB2312"/>
          <w:sz w:val="30"/>
          <w:szCs w:val="30"/>
        </w:rPr>
        <w:t>2255.97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89.95</w:t>
      </w:r>
      <w:r>
        <w:rPr>
          <w:rFonts w:eastAsia="仿宋_GB2312"/>
          <w:sz w:val="30"/>
          <w:szCs w:val="30"/>
        </w:rPr>
        <w:t>%；项目支出</w:t>
      </w:r>
      <w:r>
        <w:rPr>
          <w:rFonts w:hint="eastAsia" w:eastAsia="仿宋_GB2312"/>
          <w:sz w:val="30"/>
          <w:szCs w:val="30"/>
        </w:rPr>
        <w:t>252.05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10.05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事业单位经营支出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%；上缴上级支出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对附属单位补助支出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%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 xml:space="preserve"> 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7" w:name="_Toc78784574"/>
      <w:r>
        <w:rPr>
          <w:rFonts w:hint="eastAsia" w:ascii="黑体" w:hAnsi="黑体" w:eastAsia="黑体"/>
          <w:b w:val="0"/>
          <w:sz w:val="30"/>
          <w:szCs w:val="30"/>
        </w:rPr>
        <w:t>四、关于财政拨款收支总体情况表</w:t>
      </w:r>
      <w:bookmarkEnd w:id="7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>
      <w:pPr>
        <w:spacing w:line="600" w:lineRule="exact"/>
        <w:ind w:firstLine="6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2025年财政拨款收入预算</w:t>
      </w:r>
      <w:r>
        <w:rPr>
          <w:rFonts w:hint="eastAsia" w:eastAsia="仿宋_GB2312"/>
          <w:sz w:val="30"/>
          <w:szCs w:val="30"/>
          <w:lang w:val="en-US" w:eastAsia="zh-CN"/>
        </w:rPr>
        <w:t>2288.02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138.43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。收入包括：一般公共预算拨款收入2287.82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政府性基金预算拨款收入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国有资本经营预算拨款收入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上年财政结转结余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0.20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。2025年财政拨款支出预算</w:t>
      </w:r>
      <w:r>
        <w:rPr>
          <w:rFonts w:hint="eastAsia" w:eastAsia="仿宋_GB2312"/>
          <w:sz w:val="30"/>
          <w:szCs w:val="30"/>
          <w:lang w:val="en-US" w:eastAsia="zh-CN"/>
        </w:rPr>
        <w:t>2288.02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138.43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。支出包括：教育支出1966.74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、社会保障和就业支出217.44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、卫生健康支出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eastAsia="仿宋_GB2312"/>
          <w:sz w:val="30"/>
          <w:szCs w:val="30"/>
        </w:rPr>
        <w:t>万元。</w:t>
      </w:r>
    </w:p>
    <w:p>
      <w:pPr>
        <w:spacing w:line="600" w:lineRule="exact"/>
        <w:ind w:firstLine="600"/>
        <w:rPr>
          <w:rFonts w:hint="eastAsia" w:eastAsia="仿宋_GB2312"/>
          <w:sz w:val="30"/>
          <w:szCs w:val="30"/>
        </w:rPr>
      </w:pP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8" w:name="_Toc78784575"/>
      <w:r>
        <w:rPr>
          <w:rFonts w:ascii="黑体" w:hAnsi="黑体" w:eastAsia="黑体"/>
          <w:b w:val="0"/>
          <w:sz w:val="30"/>
          <w:szCs w:val="30"/>
        </w:rPr>
        <w:t>五</w:t>
      </w:r>
      <w:r>
        <w:rPr>
          <w:rFonts w:hint="eastAsia" w:ascii="黑体" w:hAnsi="黑体" w:eastAsia="黑体"/>
          <w:b w:val="0"/>
          <w:sz w:val="30"/>
          <w:szCs w:val="30"/>
        </w:rPr>
        <w:t>、关于</w:t>
      </w:r>
      <w:r>
        <w:rPr>
          <w:rFonts w:ascii="黑体" w:hAnsi="黑体" w:eastAsia="黑体"/>
          <w:b w:val="0"/>
          <w:sz w:val="30"/>
          <w:szCs w:val="30"/>
        </w:rPr>
        <w:t>一般公共预算支出</w:t>
      </w:r>
      <w:r>
        <w:rPr>
          <w:rFonts w:hint="eastAsia" w:ascii="黑体" w:hAnsi="黑体" w:eastAsia="黑体"/>
          <w:b w:val="0"/>
          <w:sz w:val="30"/>
          <w:szCs w:val="30"/>
        </w:rPr>
        <w:t>情况表</w:t>
      </w:r>
      <w:bookmarkEnd w:id="8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>
      <w:pPr>
        <w:spacing w:line="600" w:lineRule="exact"/>
        <w:ind w:left="480" w:leftChars="200"/>
        <w:rPr>
          <w:rFonts w:hint="eastAsia"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（一）总体情况。</w:t>
      </w:r>
    </w:p>
    <w:p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hint="eastAsia" w:eastAsia="仿宋_GB2312"/>
          <w:sz w:val="30"/>
          <w:szCs w:val="30"/>
        </w:rPr>
        <w:t>2025年</w:t>
      </w:r>
      <w:r>
        <w:rPr>
          <w:rFonts w:eastAsia="仿宋_GB2312"/>
          <w:sz w:val="30"/>
          <w:szCs w:val="30"/>
        </w:rPr>
        <w:t>一般公共预算</w:t>
      </w:r>
      <w:r>
        <w:rPr>
          <w:rFonts w:hint="eastAsia" w:eastAsia="仿宋_GB2312"/>
          <w:sz w:val="30"/>
          <w:szCs w:val="30"/>
          <w:u w:val="none"/>
        </w:rPr>
        <w:t>2287.82</w:t>
      </w:r>
      <w:r>
        <w:rPr>
          <w:rFonts w:eastAsia="仿宋_GB2312"/>
          <w:sz w:val="30"/>
          <w:szCs w:val="30"/>
          <w:u w:val="none"/>
        </w:rPr>
        <w:t xml:space="preserve"> 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算相比减少</w:t>
      </w:r>
      <w:r>
        <w:rPr>
          <w:rFonts w:hint="eastAsia" w:eastAsia="仿宋_GB2312"/>
          <w:sz w:val="30"/>
          <w:szCs w:val="30"/>
          <w:lang w:val="en-US" w:eastAsia="zh-CN"/>
        </w:rPr>
        <w:t>138.63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sz w:val="30"/>
          <w:szCs w:val="30"/>
        </w:rPr>
        <w:t>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  <w:u w:val="none"/>
        </w:rPr>
        <w:t>。</w:t>
      </w:r>
    </w:p>
    <w:p>
      <w:pPr>
        <w:spacing w:line="600" w:lineRule="exact"/>
        <w:ind w:firstLine="602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（二）</w:t>
      </w:r>
      <w:r>
        <w:rPr>
          <w:rFonts w:ascii="楷体" w:hAnsi="楷体" w:eastAsia="楷体" w:cs="仿宋_GB2312"/>
          <w:b/>
          <w:sz w:val="30"/>
          <w:szCs w:val="30"/>
        </w:rPr>
        <w:t>具体情况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bookmarkStart w:id="9" w:name="_Toc78784576"/>
      <w:r>
        <w:rPr>
          <w:rFonts w:hint="eastAsia" w:eastAsia="仿宋_GB2312"/>
          <w:sz w:val="30"/>
          <w:szCs w:val="30"/>
        </w:rPr>
        <w:t>1、</w:t>
      </w: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</w:rPr>
        <w:t>教育支出</w:t>
      </w:r>
      <w:r>
        <w:rPr>
          <w:rFonts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  <w:lang w:val="en-US" w:eastAsia="zh-CN"/>
        </w:rPr>
        <w:t>1966.74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比202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年预算相比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增加56.92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2025年未做预算、人员增加</w:t>
      </w:r>
      <w:r>
        <w:rPr>
          <w:rFonts w:hint="eastAsia" w:ascii="仿宋_GB2312" w:hAnsi="仿宋_GB2312" w:eastAsia="仿宋_GB2312" w:cs="仿宋_GB2312"/>
          <w:sz w:val="30"/>
          <w:szCs w:val="30"/>
        </w:rPr>
        <w:t>，其中：</w:t>
      </w:r>
    </w:p>
    <w:p>
      <w:pPr>
        <w:spacing w:line="58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“初中教育”</w:t>
      </w:r>
      <w:r>
        <w:rPr>
          <w:rFonts w:hint="eastAsia" w:eastAsia="仿宋_GB2312"/>
          <w:sz w:val="30"/>
          <w:szCs w:val="30"/>
          <w:lang w:val="en-US" w:eastAsia="zh-CN"/>
        </w:rPr>
        <w:t>1965.44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万元，主要用于初中教育人员和公用费用支出；</w:t>
      </w:r>
    </w:p>
    <w:p>
      <w:pPr>
        <w:spacing w:line="58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特殊学校</w:t>
      </w:r>
      <w:r>
        <w:rPr>
          <w:rFonts w:hint="eastAsia" w:ascii="仿宋_GB2312" w:hAnsi="仿宋_GB2312" w:eastAsia="仿宋_GB2312" w:cs="仿宋_GB2312"/>
          <w:sz w:val="30"/>
          <w:szCs w:val="30"/>
        </w:rPr>
        <w:t>教育”</w:t>
      </w:r>
      <w:r>
        <w:rPr>
          <w:rFonts w:hint="eastAsia" w:eastAsia="仿宋_GB2312"/>
          <w:sz w:val="30"/>
          <w:szCs w:val="30"/>
          <w:lang w:val="en-US" w:eastAsia="zh-CN"/>
        </w:rPr>
        <w:t>1.30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补充</w:t>
      </w:r>
      <w:r>
        <w:rPr>
          <w:rFonts w:hint="eastAsia" w:ascii="仿宋_GB2312" w:hAnsi="仿宋_GB2312" w:eastAsia="仿宋_GB2312" w:cs="仿宋_GB2312"/>
          <w:sz w:val="30"/>
          <w:szCs w:val="30"/>
        </w:rPr>
        <w:t>公用费用支出；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“社会保障和就业支出”</w:t>
      </w:r>
      <w:r>
        <w:rPr>
          <w:rFonts w:hint="eastAsia" w:eastAsia="仿宋_GB2312"/>
          <w:sz w:val="30"/>
          <w:szCs w:val="30"/>
          <w:lang w:val="en-US" w:eastAsia="zh-CN"/>
        </w:rPr>
        <w:t>217.44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比202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年预算相比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减少43.66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2025年教职工社保基数减少</w:t>
      </w:r>
      <w:r>
        <w:rPr>
          <w:rFonts w:hint="eastAsia" w:ascii="仿宋_GB2312" w:hAnsi="仿宋_GB2312" w:eastAsia="仿宋_GB2312" w:cs="仿宋_GB2312"/>
          <w:sz w:val="30"/>
          <w:szCs w:val="30"/>
        </w:rPr>
        <w:t>。其中：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“行政事业单位养老支出”</w:t>
      </w:r>
      <w:r>
        <w:rPr>
          <w:rFonts w:hint="eastAsia" w:eastAsia="仿宋_GB2312"/>
          <w:sz w:val="30"/>
          <w:szCs w:val="30"/>
          <w:lang w:val="en-US" w:eastAsia="zh-CN"/>
        </w:rPr>
        <w:t>217.24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万元，包括：“机关事业单位基本养老保险缴费支出”</w:t>
      </w:r>
      <w:r>
        <w:rPr>
          <w:rFonts w:hint="eastAsia" w:eastAsia="仿宋_GB2312"/>
          <w:sz w:val="30"/>
          <w:szCs w:val="30"/>
          <w:lang w:val="en-US" w:eastAsia="zh-CN"/>
        </w:rPr>
        <w:t>144.83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万元，主要用于支付人员基本养老保险；“机关事业单位职业年金缴费支出”</w:t>
      </w:r>
      <w:r>
        <w:rPr>
          <w:rFonts w:hint="eastAsia" w:eastAsia="仿宋_GB2312"/>
          <w:sz w:val="30"/>
          <w:szCs w:val="30"/>
          <w:lang w:val="en-US" w:eastAsia="zh-CN"/>
        </w:rPr>
        <w:t>72.41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万元，主要用于支付人员的职业年金支出。</w:t>
      </w:r>
    </w:p>
    <w:p>
      <w:pPr>
        <w:spacing w:line="60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</w:rPr>
        <w:t>人力资源和社会保障管理事务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支出0.20万元主要用于 其他人力资源和社会保障管理事务支出。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“卫生健康支出”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</w:rPr>
        <w:t>比202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年预算相比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减少22.75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2025年教职工社保基数减少</w:t>
      </w:r>
      <w:r>
        <w:rPr>
          <w:rFonts w:hint="eastAsia" w:ascii="仿宋_GB2312" w:hAnsi="仿宋_GB2312" w:eastAsia="仿宋_GB2312" w:cs="仿宋_GB2312"/>
          <w:sz w:val="30"/>
          <w:szCs w:val="30"/>
        </w:rPr>
        <w:t>，其中：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“行政事业单位医疗”</w:t>
      </w:r>
      <w:r>
        <w:rPr>
          <w:rFonts w:hint="eastAsia" w:eastAsia="仿宋_GB2312"/>
          <w:sz w:val="30"/>
          <w:szCs w:val="30"/>
          <w:lang w:val="en-US" w:eastAsia="zh-CN"/>
        </w:rPr>
        <w:t>103.84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万元，包括：“事业单位医疗”90.52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万元，主要用于支付人员的医疗保险；“其他行政事业单位医疗支出”</w:t>
      </w:r>
      <w:r>
        <w:rPr>
          <w:rFonts w:hint="eastAsia" w:eastAsia="仿宋_GB2312"/>
          <w:sz w:val="30"/>
          <w:szCs w:val="30"/>
          <w:lang w:val="en-US" w:eastAsia="zh-CN"/>
        </w:rPr>
        <w:t>13.32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万元，主要用于支付人员的补充医疗保险。</w:t>
      </w:r>
    </w:p>
    <w:p>
      <w:pPr>
        <w:pStyle w:val="3"/>
        <w:spacing w:line="600" w:lineRule="exact"/>
        <w:ind w:firstLine="600" w:firstLineChars="200"/>
        <w:rPr>
          <w:rFonts w:ascii="黑体" w:hAnsi="黑体" w:eastAsia="黑体"/>
          <w:b w:val="0"/>
          <w:sz w:val="30"/>
          <w:szCs w:val="30"/>
        </w:rPr>
      </w:pPr>
      <w:r>
        <w:rPr>
          <w:rFonts w:ascii="黑体" w:hAnsi="黑体" w:eastAsia="黑体"/>
          <w:b w:val="0"/>
          <w:sz w:val="30"/>
          <w:szCs w:val="30"/>
        </w:rPr>
        <w:t>六、</w:t>
      </w:r>
      <w:r>
        <w:rPr>
          <w:rFonts w:hint="eastAsia" w:ascii="黑体" w:hAnsi="黑体" w:eastAsia="黑体"/>
          <w:b w:val="0"/>
          <w:sz w:val="30"/>
          <w:szCs w:val="30"/>
        </w:rPr>
        <w:t>关于</w:t>
      </w:r>
      <w:r>
        <w:rPr>
          <w:rFonts w:ascii="黑体" w:hAnsi="黑体" w:eastAsia="黑体"/>
          <w:b w:val="0"/>
          <w:sz w:val="30"/>
          <w:szCs w:val="30"/>
        </w:rPr>
        <w:t>一般公共预算基本支出情况</w:t>
      </w:r>
      <w:bookmarkEnd w:id="9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bookmarkStart w:id="10" w:name="_Toc78784577"/>
      <w:r>
        <w:rPr>
          <w:rFonts w:hint="eastAsia" w:eastAsia="仿宋_GB2312"/>
          <w:sz w:val="30"/>
          <w:szCs w:val="30"/>
        </w:rPr>
        <w:t>天津市葛沽第三中学</w:t>
      </w:r>
      <w:r>
        <w:rPr>
          <w:rFonts w:eastAsia="仿宋_GB2312"/>
          <w:sz w:val="30"/>
          <w:szCs w:val="30"/>
        </w:rPr>
        <w:t>一般公共预算</w:t>
      </w:r>
      <w:r>
        <w:rPr>
          <w:rFonts w:hint="eastAsia" w:eastAsia="仿宋_GB2312"/>
          <w:sz w:val="30"/>
          <w:szCs w:val="30"/>
        </w:rPr>
        <w:t>基本支出</w:t>
      </w:r>
      <w:r>
        <w:rPr>
          <w:rFonts w:hint="eastAsia" w:eastAsia="仿宋_GB2312"/>
          <w:sz w:val="30"/>
          <w:szCs w:val="30"/>
          <w:lang w:val="en-US" w:eastAsia="zh-CN"/>
        </w:rPr>
        <w:t>2035.97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</w:t>
      </w:r>
      <w:r>
        <w:rPr>
          <w:rFonts w:hint="eastAsia" w:eastAsia="仿宋_GB2312"/>
          <w:sz w:val="30"/>
          <w:szCs w:val="30"/>
          <w:lang w:val="en-US" w:eastAsia="zh-CN"/>
        </w:rPr>
        <w:t>减少299.53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u w:val="none"/>
          <w:lang w:eastAsia="zh-CN"/>
        </w:rPr>
        <w:t>教师考评绩效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2025年未做预算、人员减少</w:t>
      </w:r>
      <w:r>
        <w:rPr>
          <w:rFonts w:hint="eastAsia" w:eastAsia="仿宋_GB2312"/>
          <w:sz w:val="30"/>
          <w:szCs w:val="30"/>
        </w:rPr>
        <w:t>。其中：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人员经费</w:t>
      </w:r>
      <w:r>
        <w:rPr>
          <w:rFonts w:hint="eastAsia" w:eastAsia="仿宋_GB2312"/>
          <w:sz w:val="30"/>
          <w:szCs w:val="30"/>
          <w:lang w:val="en-US" w:eastAsia="zh-CN"/>
        </w:rPr>
        <w:t>1851.04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，主要包括：工资福利支出</w:t>
      </w:r>
      <w:r>
        <w:rPr>
          <w:rFonts w:hint="eastAsia" w:eastAsia="仿宋_GB2312"/>
          <w:sz w:val="30"/>
          <w:szCs w:val="30"/>
          <w:lang w:val="en-US" w:eastAsia="zh-CN"/>
        </w:rPr>
        <w:t>1816.53</w:t>
      </w:r>
      <w:r>
        <w:rPr>
          <w:rFonts w:hint="eastAsia" w:eastAsia="仿宋_GB2312"/>
          <w:sz w:val="30"/>
          <w:szCs w:val="30"/>
        </w:rPr>
        <w:t>万元、退休费支出</w:t>
      </w:r>
      <w:r>
        <w:rPr>
          <w:rFonts w:hint="eastAsia" w:eastAsia="仿宋_GB2312"/>
          <w:sz w:val="30"/>
          <w:szCs w:val="30"/>
          <w:lang w:val="en-US" w:eastAsia="zh-CN"/>
        </w:rPr>
        <w:t>34.51</w:t>
      </w:r>
      <w:r>
        <w:rPr>
          <w:rFonts w:hint="eastAsia" w:eastAsia="仿宋_GB2312"/>
          <w:sz w:val="30"/>
          <w:szCs w:val="30"/>
        </w:rPr>
        <w:t>万元。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公用经费</w:t>
      </w:r>
      <w:r>
        <w:rPr>
          <w:rFonts w:hint="eastAsia" w:eastAsia="仿宋_GB2312"/>
          <w:sz w:val="30"/>
          <w:szCs w:val="30"/>
          <w:lang w:val="en-US" w:eastAsia="zh-CN"/>
        </w:rPr>
        <w:t>184.93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，主要包括：办公费</w:t>
      </w:r>
      <w:r>
        <w:rPr>
          <w:rFonts w:hint="eastAsia" w:eastAsia="仿宋_GB2312"/>
          <w:sz w:val="30"/>
          <w:szCs w:val="30"/>
          <w:lang w:val="en-US" w:eastAsia="zh-CN"/>
        </w:rPr>
        <w:t>12.30</w:t>
      </w:r>
      <w:r>
        <w:rPr>
          <w:rFonts w:hint="eastAsia"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  <w:lang w:val="en-US" w:eastAsia="zh-CN"/>
        </w:rPr>
        <w:t>印刷费7.00</w:t>
      </w:r>
      <w:r>
        <w:rPr>
          <w:rFonts w:hint="eastAsia" w:eastAsia="仿宋_GB2312"/>
          <w:sz w:val="30"/>
          <w:szCs w:val="30"/>
        </w:rPr>
        <w:t>万元、手续费</w:t>
      </w:r>
      <w:r>
        <w:rPr>
          <w:rFonts w:eastAsia="仿宋_GB2312"/>
          <w:sz w:val="30"/>
          <w:szCs w:val="30"/>
        </w:rPr>
        <w:t>0.</w:t>
      </w:r>
      <w:r>
        <w:rPr>
          <w:rFonts w:hint="eastAsia" w:eastAsia="仿宋_GB2312"/>
          <w:sz w:val="30"/>
          <w:szCs w:val="30"/>
          <w:lang w:val="en-US" w:eastAsia="zh-CN"/>
        </w:rPr>
        <w:t>08</w:t>
      </w:r>
      <w:r>
        <w:rPr>
          <w:rFonts w:hint="eastAsia" w:eastAsia="仿宋_GB2312"/>
          <w:sz w:val="30"/>
          <w:szCs w:val="30"/>
        </w:rPr>
        <w:t>万元、水费</w:t>
      </w:r>
      <w:r>
        <w:rPr>
          <w:rFonts w:hint="eastAsia" w:eastAsia="仿宋_GB2312"/>
          <w:sz w:val="30"/>
          <w:szCs w:val="30"/>
          <w:lang w:val="en-US" w:eastAsia="zh-CN"/>
        </w:rPr>
        <w:t>2.50</w:t>
      </w:r>
      <w:r>
        <w:rPr>
          <w:rFonts w:hint="eastAsia" w:eastAsia="仿宋_GB2312"/>
          <w:sz w:val="30"/>
          <w:szCs w:val="30"/>
        </w:rPr>
        <w:t>万元、电费</w:t>
      </w:r>
      <w:r>
        <w:rPr>
          <w:rFonts w:hint="eastAsia" w:eastAsia="仿宋_GB2312"/>
          <w:sz w:val="30"/>
          <w:szCs w:val="30"/>
          <w:lang w:val="en-US" w:eastAsia="zh-CN"/>
        </w:rPr>
        <w:t>7.00</w:t>
      </w:r>
      <w:r>
        <w:rPr>
          <w:rFonts w:hint="eastAsia" w:eastAsia="仿宋_GB2312"/>
          <w:sz w:val="30"/>
          <w:szCs w:val="30"/>
        </w:rPr>
        <w:t>万元、邮电费</w:t>
      </w:r>
      <w:r>
        <w:rPr>
          <w:rFonts w:hint="eastAsia" w:eastAsia="仿宋_GB2312"/>
          <w:sz w:val="30"/>
          <w:szCs w:val="30"/>
          <w:lang w:val="en-US" w:eastAsia="zh-CN"/>
        </w:rPr>
        <w:t>0.30</w:t>
      </w:r>
      <w:r>
        <w:rPr>
          <w:rFonts w:hint="eastAsia" w:eastAsia="仿宋_GB2312"/>
          <w:sz w:val="30"/>
          <w:szCs w:val="30"/>
        </w:rPr>
        <w:t>万元、取暖费</w:t>
      </w:r>
      <w:r>
        <w:rPr>
          <w:rFonts w:hint="eastAsia" w:eastAsia="仿宋_GB2312"/>
          <w:sz w:val="30"/>
          <w:szCs w:val="30"/>
          <w:lang w:val="en-US" w:eastAsia="zh-CN"/>
        </w:rPr>
        <w:t>6.73</w:t>
      </w:r>
      <w:r>
        <w:rPr>
          <w:rFonts w:hint="eastAsia" w:eastAsia="仿宋_GB2312"/>
          <w:sz w:val="30"/>
          <w:szCs w:val="30"/>
        </w:rPr>
        <w:t>万元、物业管理费</w:t>
      </w:r>
      <w:r>
        <w:rPr>
          <w:rFonts w:hint="eastAsia" w:eastAsia="仿宋_GB2312"/>
          <w:sz w:val="30"/>
          <w:szCs w:val="30"/>
          <w:lang w:val="en-US" w:eastAsia="zh-CN"/>
        </w:rPr>
        <w:t>51.46</w:t>
      </w:r>
      <w:r>
        <w:rPr>
          <w:rFonts w:hint="eastAsia" w:eastAsia="仿宋_GB2312"/>
          <w:sz w:val="30"/>
          <w:szCs w:val="30"/>
        </w:rPr>
        <w:t>万元、差旅费0.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hint="eastAsia" w:eastAsia="仿宋_GB2312"/>
          <w:sz w:val="30"/>
          <w:szCs w:val="30"/>
        </w:rPr>
        <w:t>0万元、维修（护）费</w:t>
      </w:r>
      <w:r>
        <w:rPr>
          <w:rFonts w:hint="eastAsia" w:eastAsia="仿宋_GB2312"/>
          <w:sz w:val="30"/>
          <w:szCs w:val="30"/>
          <w:lang w:val="en-US" w:eastAsia="zh-CN"/>
        </w:rPr>
        <w:t>15.00</w:t>
      </w:r>
      <w:r>
        <w:rPr>
          <w:rFonts w:hint="eastAsia" w:eastAsia="仿宋_GB2312"/>
          <w:sz w:val="30"/>
          <w:szCs w:val="30"/>
        </w:rPr>
        <w:t>万元、培训费</w:t>
      </w:r>
      <w:r>
        <w:rPr>
          <w:rFonts w:hint="eastAsia" w:eastAsia="仿宋_GB2312"/>
          <w:sz w:val="30"/>
          <w:szCs w:val="30"/>
          <w:lang w:val="en-US" w:eastAsia="zh-CN"/>
        </w:rPr>
        <w:t>13.50</w:t>
      </w:r>
      <w:r>
        <w:rPr>
          <w:rFonts w:hint="eastAsia" w:eastAsia="仿宋_GB2312"/>
          <w:sz w:val="30"/>
          <w:szCs w:val="30"/>
        </w:rPr>
        <w:t>万元、专用材料费</w:t>
      </w:r>
      <w:r>
        <w:rPr>
          <w:rFonts w:hint="eastAsia" w:eastAsia="仿宋_GB2312"/>
          <w:sz w:val="30"/>
          <w:szCs w:val="30"/>
          <w:lang w:val="en-US" w:eastAsia="zh-CN"/>
        </w:rPr>
        <w:t>3</w:t>
      </w:r>
      <w:r>
        <w:rPr>
          <w:rFonts w:hint="eastAsia" w:eastAsia="仿宋_GB2312"/>
          <w:sz w:val="30"/>
          <w:szCs w:val="30"/>
        </w:rPr>
        <w:t>.00万元、</w:t>
      </w:r>
      <w:r>
        <w:rPr>
          <w:rFonts w:hint="eastAsia" w:eastAsia="仿宋_GB2312"/>
          <w:sz w:val="30"/>
          <w:szCs w:val="30"/>
          <w:lang w:val="en-US" w:eastAsia="zh-CN"/>
        </w:rPr>
        <w:t>委托业务费9.00万元、</w:t>
      </w:r>
      <w:r>
        <w:rPr>
          <w:rFonts w:hint="eastAsia" w:eastAsia="仿宋_GB2312"/>
          <w:sz w:val="30"/>
          <w:szCs w:val="30"/>
        </w:rPr>
        <w:t>工会经费</w:t>
      </w:r>
      <w:r>
        <w:rPr>
          <w:rFonts w:hint="eastAsia" w:eastAsia="仿宋_GB2312"/>
          <w:sz w:val="30"/>
          <w:szCs w:val="30"/>
          <w:lang w:val="en-US" w:eastAsia="zh-CN"/>
        </w:rPr>
        <w:t>15.85</w:t>
      </w:r>
      <w:r>
        <w:rPr>
          <w:rFonts w:hint="eastAsia" w:eastAsia="仿宋_GB2312"/>
          <w:sz w:val="30"/>
          <w:szCs w:val="30"/>
        </w:rPr>
        <w:t>万元、福利费支出</w:t>
      </w:r>
      <w:r>
        <w:rPr>
          <w:rFonts w:hint="eastAsia" w:eastAsia="仿宋_GB2312"/>
          <w:sz w:val="30"/>
          <w:szCs w:val="30"/>
          <w:lang w:val="en-US" w:eastAsia="zh-CN"/>
        </w:rPr>
        <w:t>11.99</w:t>
      </w:r>
      <w:r>
        <w:rPr>
          <w:rFonts w:hint="eastAsia" w:eastAsia="仿宋_GB2312"/>
          <w:sz w:val="30"/>
          <w:szCs w:val="30"/>
        </w:rPr>
        <w:t>万元、其他交通费用支出</w:t>
      </w:r>
      <w:r>
        <w:rPr>
          <w:rFonts w:hint="eastAsia" w:eastAsia="仿宋_GB2312"/>
          <w:sz w:val="30"/>
          <w:szCs w:val="30"/>
          <w:lang w:val="en-US" w:eastAsia="zh-CN"/>
        </w:rPr>
        <w:t>3.00</w:t>
      </w:r>
      <w:r>
        <w:rPr>
          <w:rFonts w:hint="eastAsia" w:eastAsia="仿宋_GB2312"/>
          <w:sz w:val="30"/>
          <w:szCs w:val="30"/>
        </w:rPr>
        <w:t>万元、其他商品服务支出</w:t>
      </w:r>
      <w:r>
        <w:rPr>
          <w:rFonts w:hint="eastAsia" w:eastAsia="仿宋_GB2312"/>
          <w:sz w:val="30"/>
          <w:szCs w:val="30"/>
          <w:lang w:val="en-US" w:eastAsia="zh-CN"/>
        </w:rPr>
        <w:t>21</w:t>
      </w:r>
      <w:r>
        <w:rPr>
          <w:rFonts w:eastAsia="仿宋_GB2312"/>
          <w:sz w:val="30"/>
          <w:szCs w:val="30"/>
        </w:rPr>
        <w:t>.</w:t>
      </w:r>
      <w:r>
        <w:rPr>
          <w:rFonts w:hint="eastAsia" w:eastAsia="仿宋_GB2312"/>
          <w:sz w:val="30"/>
          <w:szCs w:val="30"/>
          <w:lang w:val="en-US" w:eastAsia="zh-CN"/>
        </w:rPr>
        <w:t>2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万元、其他资本性支出</w:t>
      </w:r>
      <w:r>
        <w:rPr>
          <w:rFonts w:hint="eastAsia" w:eastAsia="仿宋_GB2312"/>
          <w:sz w:val="30"/>
          <w:szCs w:val="30"/>
          <w:lang w:val="en-US" w:eastAsia="zh-CN"/>
        </w:rPr>
        <w:t>4.32</w:t>
      </w:r>
      <w:r>
        <w:rPr>
          <w:rFonts w:hint="eastAsia" w:eastAsia="仿宋_GB2312"/>
          <w:sz w:val="30"/>
          <w:szCs w:val="30"/>
        </w:rPr>
        <w:t>万元。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r>
        <w:rPr>
          <w:rFonts w:hint="eastAsia" w:ascii="黑体" w:hAnsi="黑体" w:eastAsia="黑体"/>
          <w:b w:val="0"/>
          <w:sz w:val="30"/>
          <w:szCs w:val="30"/>
        </w:rPr>
        <w:t>七、关于一般公共预算“三公”经费支出情况表的说明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年一般公共预算“三公”经费安排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。具体情况：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r>
        <w:rPr>
          <w:rFonts w:hint="eastAsia" w:ascii="黑体" w:hAnsi="黑体" w:eastAsia="黑体"/>
          <w:b w:val="0"/>
          <w:sz w:val="30"/>
          <w:szCs w:val="30"/>
        </w:rPr>
        <w:t>八</w:t>
      </w:r>
      <w:r>
        <w:rPr>
          <w:rFonts w:ascii="黑体" w:hAnsi="黑体" w:eastAsia="黑体"/>
          <w:b w:val="0"/>
          <w:sz w:val="30"/>
          <w:szCs w:val="30"/>
        </w:rPr>
        <w:t>、</w:t>
      </w:r>
      <w:r>
        <w:rPr>
          <w:rFonts w:hint="eastAsia" w:ascii="黑体" w:hAnsi="黑体" w:eastAsia="黑体"/>
          <w:b w:val="0"/>
          <w:sz w:val="30"/>
          <w:szCs w:val="30"/>
        </w:rPr>
        <w:t>关于</w:t>
      </w:r>
      <w:r>
        <w:rPr>
          <w:rFonts w:ascii="黑体" w:hAnsi="黑体" w:eastAsia="黑体"/>
          <w:b w:val="0"/>
          <w:sz w:val="30"/>
          <w:szCs w:val="30"/>
        </w:rPr>
        <w:t>政府性基金预算</w:t>
      </w:r>
      <w:r>
        <w:rPr>
          <w:rFonts w:hint="eastAsia" w:ascii="黑体" w:hAnsi="黑体" w:eastAsia="黑体"/>
          <w:b w:val="0"/>
          <w:sz w:val="30"/>
          <w:szCs w:val="30"/>
        </w:rPr>
        <w:t>支出</w:t>
      </w:r>
      <w:r>
        <w:rPr>
          <w:rFonts w:ascii="黑体" w:hAnsi="黑体" w:eastAsia="黑体"/>
          <w:b w:val="0"/>
          <w:sz w:val="30"/>
          <w:szCs w:val="30"/>
        </w:rPr>
        <w:t>情况</w:t>
      </w:r>
      <w:bookmarkEnd w:id="10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>
      <w:pPr>
        <w:spacing w:line="600" w:lineRule="exact"/>
        <w:ind w:left="480" w:leftChars="200"/>
        <w:rPr>
          <w:rFonts w:ascii="楷体" w:hAnsi="楷体" w:eastAsia="楷体" w:cs="仿宋_GB2312"/>
          <w:b/>
          <w:sz w:val="30"/>
          <w:szCs w:val="30"/>
        </w:rPr>
      </w:pPr>
      <w:bookmarkStart w:id="11" w:name="_Toc78784578"/>
      <w:r>
        <w:rPr>
          <w:rFonts w:hint="eastAsia" w:ascii="楷体" w:hAnsi="楷体" w:eastAsia="楷体" w:cs="仿宋_GB2312"/>
          <w:b/>
          <w:sz w:val="30"/>
          <w:szCs w:val="30"/>
        </w:rPr>
        <w:t>（一）总体情况。</w:t>
      </w:r>
    </w:p>
    <w:p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天津市葛沽第三中学</w:t>
      </w:r>
      <w:r>
        <w:rPr>
          <w:rFonts w:eastAsia="仿宋_GB2312"/>
          <w:sz w:val="30"/>
          <w:szCs w:val="30"/>
        </w:rPr>
        <w:t>政府性基金预算</w:t>
      </w:r>
      <w:r>
        <w:rPr>
          <w:rFonts w:hint="eastAsia" w:eastAsia="仿宋_GB2312"/>
          <w:sz w:val="30"/>
          <w:szCs w:val="30"/>
        </w:rPr>
        <w:t>支出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32.81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val="en-US" w:eastAsia="zh-CN"/>
        </w:rPr>
        <w:t>32.81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sz w:val="30"/>
          <w:szCs w:val="30"/>
        </w:rPr>
        <w:t>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lang w:val="en-US" w:eastAsia="zh-CN"/>
        </w:rPr>
        <w:t>增加政采购置文印纸和教育系统长聘教师经费</w:t>
      </w:r>
      <w:r>
        <w:rPr>
          <w:rFonts w:hint="eastAsia" w:eastAsia="仿宋_GB2312"/>
          <w:sz w:val="30"/>
          <w:szCs w:val="30"/>
        </w:rPr>
        <w:t>。</w:t>
      </w:r>
    </w:p>
    <w:p>
      <w:pPr>
        <w:numPr>
          <w:ilvl w:val="0"/>
          <w:numId w:val="2"/>
        </w:numPr>
        <w:spacing w:line="600" w:lineRule="exact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 w:cs="仿宋_GB2312"/>
          <w:b/>
          <w:sz w:val="30"/>
          <w:szCs w:val="30"/>
        </w:rPr>
        <w:t>具体情况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>
      <w:pPr>
        <w:numPr>
          <w:ilvl w:val="0"/>
          <w:numId w:val="3"/>
        </w:numPr>
        <w:spacing w:line="58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  <w:lang w:val="en-US" w:eastAsia="zh-CN"/>
        </w:rPr>
        <w:t>公用经费</w:t>
      </w:r>
      <w:r>
        <w:rPr>
          <w:rFonts w:hint="eastAsia"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  <w:lang w:val="en-US" w:eastAsia="zh-CN"/>
        </w:rPr>
        <w:t>1.5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val="en-US" w:eastAsia="zh-CN"/>
        </w:rPr>
        <w:t>1.5</w:t>
      </w:r>
      <w:r>
        <w:rPr>
          <w:rFonts w:hint="eastAsia" w:eastAsia="仿宋_GB2312"/>
          <w:sz w:val="30"/>
          <w:szCs w:val="30"/>
          <w:u w:val="none"/>
        </w:rPr>
        <w:t>万</w:t>
      </w:r>
      <w:r>
        <w:rPr>
          <w:rFonts w:eastAsia="仿宋_GB2312"/>
          <w:sz w:val="30"/>
          <w:szCs w:val="30"/>
        </w:rPr>
        <w:t>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lang w:val="en-US" w:eastAsia="zh-CN"/>
        </w:rPr>
        <w:t>政采购置文印纸经费</w:t>
      </w:r>
      <w:r>
        <w:rPr>
          <w:rFonts w:hint="eastAsia" w:eastAsia="仿宋_GB2312"/>
          <w:sz w:val="30"/>
          <w:szCs w:val="30"/>
          <w:lang w:eastAsia="zh-CN"/>
        </w:rPr>
        <w:t>。</w:t>
      </w:r>
    </w:p>
    <w:p>
      <w:pPr>
        <w:numPr>
          <w:ilvl w:val="0"/>
          <w:numId w:val="3"/>
        </w:numPr>
        <w:spacing w:line="58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  <w:lang w:val="en-US" w:eastAsia="zh-CN"/>
        </w:rPr>
        <w:t>特定目标类</w:t>
      </w:r>
      <w:r>
        <w:rPr>
          <w:rFonts w:hint="eastAsia"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  <w:lang w:val="en-US" w:eastAsia="zh-CN"/>
        </w:rPr>
        <w:t>31.31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val="en-US" w:eastAsia="zh-CN"/>
        </w:rPr>
        <w:t>31.31</w:t>
      </w:r>
      <w:r>
        <w:rPr>
          <w:rFonts w:hint="eastAsia" w:eastAsia="仿宋_GB2312"/>
          <w:sz w:val="30"/>
          <w:szCs w:val="30"/>
          <w:u w:val="none"/>
        </w:rPr>
        <w:t>万</w:t>
      </w:r>
      <w:r>
        <w:rPr>
          <w:rFonts w:eastAsia="仿宋_GB2312"/>
          <w:sz w:val="30"/>
          <w:szCs w:val="30"/>
        </w:rPr>
        <w:t>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lang w:val="en-US" w:eastAsia="zh-CN"/>
        </w:rPr>
        <w:t>支付教育系统长聘教师经费</w:t>
      </w:r>
      <w:r>
        <w:rPr>
          <w:rFonts w:hint="eastAsia" w:eastAsia="仿宋_GB2312"/>
          <w:sz w:val="30"/>
          <w:szCs w:val="30"/>
          <w:lang w:eastAsia="zh-CN"/>
        </w:rPr>
        <w:t>。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r>
        <w:rPr>
          <w:rFonts w:hint="eastAsia" w:ascii="黑体" w:hAnsi="黑体" w:eastAsia="黑体"/>
          <w:b w:val="0"/>
          <w:sz w:val="30"/>
          <w:szCs w:val="30"/>
        </w:rPr>
        <w:t>九、关于国有资本经营预算支出情况表</w:t>
      </w:r>
      <w:bookmarkEnd w:id="11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>
      <w:pPr>
        <w:ind w:firstLine="600" w:firstLineChars="200"/>
      </w:pPr>
      <w:r>
        <w:rPr>
          <w:rFonts w:hint="eastAsia" w:ascii="楷体" w:hAnsi="楷体" w:eastAsia="楷体" w:cs="楷体"/>
          <w:sz w:val="30"/>
          <w:szCs w:val="30"/>
        </w:rPr>
        <w:t>202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sz w:val="30"/>
          <w:szCs w:val="30"/>
        </w:rPr>
        <w:t>年本部门预算中没有使用政府性基金预算安排的支出</w:t>
      </w:r>
      <w:r>
        <w:rPr>
          <w:rFonts w:hint="eastAsia" w:eastAsia="仿宋_GB2312"/>
          <w:sz w:val="30"/>
          <w:szCs w:val="30"/>
        </w:rPr>
        <w:t>。</w:t>
      </w:r>
    </w:p>
    <w:p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12" w:name="_Toc78784579"/>
      <w:r>
        <w:rPr>
          <w:rFonts w:hint="eastAsia" w:ascii="黑体" w:hAnsi="黑体" w:eastAsia="黑体"/>
          <w:b w:val="0"/>
          <w:sz w:val="30"/>
          <w:szCs w:val="30"/>
        </w:rPr>
        <w:t>十、其他重要事项的情况说明</w:t>
      </w:r>
    </w:p>
    <w:p>
      <w:pPr>
        <w:spacing w:line="600" w:lineRule="exact"/>
        <w:ind w:left="480" w:leftChars="200"/>
        <w:rPr>
          <w:rFonts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</w:t>
      </w:r>
      <w:r>
        <w:rPr>
          <w:rFonts w:ascii="楷体" w:hAnsi="楷体" w:eastAsia="楷体" w:cs="仿宋_GB2312"/>
          <w:b/>
          <w:sz w:val="30"/>
          <w:szCs w:val="30"/>
        </w:rPr>
        <w:t>机关运行经费</w:t>
      </w:r>
      <w:bookmarkEnd w:id="12"/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>
      <w:pPr>
        <w:spacing w:line="580" w:lineRule="exact"/>
        <w:ind w:firstLine="600" w:firstLineChars="200"/>
        <w:rPr>
          <w:rFonts w:hint="eastAsia" w:eastAsia="楷体_GB2312"/>
          <w:sz w:val="30"/>
          <w:szCs w:val="30"/>
          <w:lang w:val="en-US" w:eastAsia="zh-CN"/>
        </w:rPr>
      </w:pPr>
      <w:r>
        <w:rPr>
          <w:rFonts w:eastAsia="楷体_GB2312"/>
          <w:sz w:val="30"/>
          <w:szCs w:val="30"/>
        </w:rPr>
        <w:t>本部门202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年未安排机关运行经费</w:t>
      </w:r>
      <w:r>
        <w:rPr>
          <w:rFonts w:hint="eastAsia" w:eastAsia="楷体_GB2312"/>
          <w:sz w:val="30"/>
          <w:szCs w:val="30"/>
        </w:rPr>
        <w:t>预算</w:t>
      </w:r>
      <w:r>
        <w:rPr>
          <w:rFonts w:hint="eastAsia" w:eastAsia="楷体_GB2312"/>
          <w:sz w:val="30"/>
          <w:szCs w:val="30"/>
          <w:lang w:eastAsia="zh-CN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（二）</w:t>
      </w:r>
      <w:r>
        <w:rPr>
          <w:rFonts w:eastAsia="楷体_GB2312"/>
          <w:b/>
          <w:sz w:val="30"/>
          <w:szCs w:val="30"/>
        </w:rPr>
        <w:t>政府采购情况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30"/>
          <w:szCs w:val="30"/>
        </w:rPr>
        <w:t>本部门202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hint="eastAsia" w:eastAsia="仿宋_GB2312"/>
          <w:sz w:val="30"/>
          <w:szCs w:val="30"/>
        </w:rPr>
        <w:t>2.00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eastAsia="仿宋_GB2312"/>
          <w:sz w:val="30"/>
          <w:szCs w:val="30"/>
        </w:rPr>
        <w:t>2.00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：购买纸制品项目</w:t>
      </w:r>
      <w:r>
        <w:rPr>
          <w:rFonts w:hint="eastAsia" w:eastAsia="仿宋_GB2312"/>
          <w:sz w:val="30"/>
          <w:szCs w:val="30"/>
        </w:rPr>
        <w:t>2.00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600" w:lineRule="exact"/>
        <w:ind w:firstLine="301" w:firstLineChars="100"/>
        <w:rPr>
          <w:rFonts w:hint="eastAsia"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国有资产占用情况。</w:t>
      </w:r>
    </w:p>
    <w:p>
      <w:pPr>
        <w:spacing w:line="580" w:lineRule="exact"/>
        <w:ind w:firstLine="600" w:firstLineChars="200"/>
        <w:jc w:val="both"/>
        <w:rPr>
          <w:rFonts w:hint="eastAsia"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截至</w:t>
      </w:r>
      <w:r>
        <w:rPr>
          <w:rFonts w:eastAsia="仿宋_GB2312"/>
          <w:color w:val="000000"/>
          <w:sz w:val="30"/>
          <w:szCs w:val="30"/>
        </w:rPr>
        <w:t>202</w:t>
      </w:r>
      <w:r>
        <w:rPr>
          <w:rFonts w:hint="eastAsia" w:eastAsia="仿宋_GB2312"/>
          <w:color w:val="000000"/>
          <w:sz w:val="30"/>
          <w:szCs w:val="30"/>
        </w:rPr>
        <w:t>4年</w:t>
      </w:r>
      <w:r>
        <w:rPr>
          <w:rFonts w:eastAsia="仿宋_GB2312"/>
          <w:color w:val="000000"/>
          <w:sz w:val="30"/>
          <w:szCs w:val="30"/>
        </w:rPr>
        <w:t>7</w:t>
      </w:r>
      <w:r>
        <w:rPr>
          <w:rFonts w:hint="eastAsia" w:eastAsia="仿宋_GB2312"/>
          <w:color w:val="000000"/>
          <w:sz w:val="30"/>
          <w:szCs w:val="30"/>
        </w:rPr>
        <w:t>月底，</w:t>
      </w:r>
      <w:r>
        <w:rPr>
          <w:rFonts w:hint="eastAsia" w:eastAsia="仿宋_GB2312"/>
          <w:sz w:val="30"/>
          <w:szCs w:val="30"/>
        </w:rPr>
        <w:t>本</w:t>
      </w:r>
      <w:r>
        <w:rPr>
          <w:rFonts w:eastAsia="仿宋_GB2312"/>
          <w:sz w:val="30"/>
          <w:szCs w:val="30"/>
        </w:rPr>
        <w:t>部门</w:t>
      </w:r>
      <w:r>
        <w:rPr>
          <w:rFonts w:eastAsia="仿宋_GB2312"/>
          <w:color w:val="000000"/>
          <w:sz w:val="30"/>
          <w:szCs w:val="30"/>
        </w:rPr>
        <w:t>各单位共有车辆</w:t>
      </w:r>
      <w:r>
        <w:rPr>
          <w:rFonts w:hint="eastAsia" w:eastAsia="仿宋_GB2312"/>
          <w:sz w:val="30"/>
          <w:szCs w:val="30"/>
        </w:rPr>
        <w:t>0</w:t>
      </w:r>
      <w:r>
        <w:rPr>
          <w:rFonts w:eastAsia="仿宋_GB2312"/>
          <w:color w:val="000000"/>
          <w:sz w:val="30"/>
          <w:szCs w:val="30"/>
        </w:rPr>
        <w:t>辆，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sz w:val="30"/>
          <w:szCs w:val="30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辆、主要领导干部用车</w:t>
      </w:r>
      <w:r>
        <w:rPr>
          <w:rFonts w:hint="eastAsia" w:ascii="仿宋_GB2312" w:eastAsia="仿宋_GB2312"/>
          <w:sz w:val="30"/>
          <w:szCs w:val="30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辆、机要通信用车</w:t>
      </w:r>
      <w:r>
        <w:rPr>
          <w:rFonts w:hint="eastAsia" w:ascii="仿宋_GB2312" w:eastAsia="仿宋_GB2312"/>
          <w:sz w:val="30"/>
          <w:szCs w:val="30"/>
        </w:rPr>
        <w:t>0辆、应急保障用车0辆、执法执勤用车辆、特种专业技术用车0辆、离退休干部用车0辆、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其他用车0辆，</w:t>
      </w:r>
      <w:r>
        <w:rPr>
          <w:rFonts w:ascii="仿宋_GB2312" w:eastAsia="仿宋_GB2312"/>
          <w:sz w:val="30"/>
          <w:szCs w:val="30"/>
        </w:rPr>
        <w:t>其他用车主要包括</w:t>
      </w:r>
      <w:r>
        <w:rPr>
          <w:rFonts w:hint="eastAsia" w:ascii="仿宋_GB2312" w:eastAsia="仿宋_GB2312"/>
          <w:sz w:val="30"/>
          <w:szCs w:val="30"/>
          <w:lang w:eastAsia="zh-CN"/>
        </w:rPr>
        <w:t>无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。单价50万元以上的通用设备台（套），单价100万元以上的专用设备</w:t>
      </w:r>
      <w:r>
        <w:rPr>
          <w:rFonts w:hint="eastAsia" w:ascii="仿宋_GB2312" w:eastAsia="仿宋_GB2312"/>
          <w:sz w:val="30"/>
          <w:szCs w:val="30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预算绩效情况说明。</w:t>
      </w:r>
    </w:p>
    <w:p>
      <w:pPr>
        <w:spacing w:line="580" w:lineRule="exact"/>
        <w:ind w:left="151" w:leftChars="63" w:firstLine="450" w:firstLineChars="150"/>
        <w:jc w:val="both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本部门202</w:t>
      </w:r>
      <w:r>
        <w:rPr>
          <w:rFonts w:hint="eastAsia" w:eastAsia="仿宋_GB2312"/>
          <w:color w:val="000000"/>
          <w:sz w:val="30"/>
          <w:szCs w:val="30"/>
        </w:rPr>
        <w:t>5</w:t>
      </w:r>
      <w:r>
        <w:rPr>
          <w:rFonts w:eastAsia="仿宋_GB2312"/>
          <w:color w:val="000000"/>
          <w:sz w:val="30"/>
          <w:szCs w:val="30"/>
        </w:rPr>
        <w:t>年实行绩效目标管理的项目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8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hint="eastAsia" w:eastAsia="仿宋_GB2312"/>
          <w:color w:val="000000"/>
          <w:sz w:val="30"/>
          <w:szCs w:val="30"/>
        </w:rPr>
        <w:t>252.05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color w:val="000000"/>
          <w:sz w:val="30"/>
          <w:szCs w:val="30"/>
        </w:rPr>
        <w:t>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>
      <w:pPr>
        <w:spacing w:line="580" w:lineRule="exact"/>
        <w:jc w:val="both"/>
        <w:rPr>
          <w:rFonts w:eastAsia="仿宋_GB2312"/>
          <w:color w:val="000000"/>
          <w:sz w:val="30"/>
          <w:szCs w:val="30"/>
        </w:rPr>
      </w:pPr>
    </w:p>
    <w:p>
      <w:pPr>
        <w:pStyle w:val="2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bookmarkStart w:id="13" w:name="_Toc78784585"/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第三部分  名词解释</w:t>
      </w:r>
      <w:bookmarkEnd w:id="13"/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80" w:lineRule="exact"/>
        <w:ind w:firstLine="600" w:firstLineChars="200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r>
        <w:rPr>
          <w:rFonts w:hint="eastAsia" w:eastAsia="仿宋_GB2312"/>
          <w:sz w:val="30"/>
          <w:szCs w:val="30"/>
        </w:rPr>
        <w:t>2.</w:t>
      </w:r>
      <w:r>
        <w:rPr>
          <w:rFonts w:eastAsia="仿宋_GB2312"/>
          <w:sz w:val="30"/>
          <w:szCs w:val="30"/>
        </w:rPr>
        <w:t xml:space="preserve"> 机关运行经费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</w:t>
      </w:r>
      <w:r>
        <w:rPr>
          <w:rFonts w:hint="eastAsia" w:eastAsia="仿宋_GB2312"/>
          <w:sz w:val="30"/>
          <w:szCs w:val="30"/>
        </w:rPr>
        <w:t>。</w:t>
      </w:r>
    </w:p>
    <w:p>
      <w:pPr>
        <w:pStyle w:val="2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第四部分  2025年部门预算表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一、《部门收支总体情况表》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二、《部门收入总体情况表》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三、《部门支出总体情况表》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四、《财政拨款收支总体情况表》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五、《一般公共预算支出情况表》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六、《一般公共预算基本支出情况表》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七、《一般公共预算“三公”经费支出情况表》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八、《政府性基金预算支出情况表》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九、《国有资本经营预算支出情况表》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十、《项目支出表》</w:t>
      </w:r>
    </w:p>
    <w:p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十一、关于空表的说明</w:t>
      </w:r>
      <w:r>
        <w:rPr>
          <w:rFonts w:hint="eastAsia" w:ascii="楷体_GB2312" w:hAnsi="Times New Roman" w:eastAsia="楷体_GB2312"/>
          <w:b/>
          <w:sz w:val="30"/>
          <w:szCs w:val="30"/>
        </w:rPr>
        <w:tab/>
      </w:r>
    </w:p>
    <w:p>
      <w:pPr>
        <w:spacing w:line="560" w:lineRule="exact"/>
        <w:ind w:firstLine="600" w:firstLineChars="200"/>
        <w:rPr>
          <w:rFonts w:hint="eastAsia"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1</w:t>
      </w:r>
      <w:r>
        <w:rPr>
          <w:rFonts w:hint="eastAsia" w:eastAsia="楷体_GB2312"/>
          <w:sz w:val="30"/>
          <w:szCs w:val="30"/>
          <w:lang w:eastAsia="zh-CN"/>
        </w:rPr>
        <w:t>.</w:t>
      </w:r>
      <w:r>
        <w:rPr>
          <w:rFonts w:hint="eastAsia" w:eastAsia="楷体_GB2312"/>
          <w:sz w:val="30"/>
          <w:szCs w:val="30"/>
        </w:rPr>
        <w:t>本部门2025年一般公共预算“三公”经费支出情况表为空表。</w:t>
      </w:r>
    </w:p>
    <w:p>
      <w:pPr>
        <w:spacing w:line="560" w:lineRule="exact"/>
        <w:ind w:firstLine="600" w:firstLineChars="200"/>
        <w:rPr>
          <w:rFonts w:hint="eastAsia" w:eastAsia="楷体"/>
          <w:sz w:val="30"/>
          <w:szCs w:val="30"/>
        </w:rPr>
      </w:pPr>
      <w:r>
        <w:rPr>
          <w:rFonts w:hint="eastAsia" w:eastAsia="楷体_GB2312"/>
          <w:sz w:val="30"/>
          <w:szCs w:val="30"/>
          <w:lang w:val="en-US" w:eastAsia="zh-CN"/>
        </w:rPr>
        <w:t>2</w:t>
      </w:r>
      <w:r>
        <w:rPr>
          <w:rFonts w:hint="eastAsia" w:eastAsia="楷体_GB2312"/>
          <w:sz w:val="30"/>
          <w:szCs w:val="30"/>
        </w:rPr>
        <w:t>.本部门</w:t>
      </w:r>
      <w:r>
        <w:rPr>
          <w:rFonts w:eastAsia="楷体_GB2312"/>
          <w:sz w:val="30"/>
          <w:szCs w:val="30"/>
        </w:rPr>
        <w:t>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国有资本经营预算支出情况表为空表。</w:t>
      </w:r>
    </w:p>
    <w:p>
      <w:pPr>
        <w:spacing w:line="56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"/>
          <w:sz w:val="30"/>
          <w:szCs w:val="30"/>
        </w:rPr>
        <w:t>注：以上预算公开表均作为附表，附于预算公开说明文档后。</w:t>
      </w:r>
      <w:bookmarkStart w:id="14" w:name="_GoBack"/>
      <w:bookmarkEnd w:id="14"/>
    </w:p>
    <w:sectPr>
      <w:footerReference r:id="rId8" w:type="default"/>
      <w:pgSz w:w="11907" w:h="16840"/>
      <w:pgMar w:top="2098" w:right="1474" w:bottom="1304" w:left="1588" w:header="765" w:footer="765" w:gutter="0"/>
      <w:pgNumType w:fmt="numberInDash" w:start="1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7E1DD2"/>
    <w:multiLevelType w:val="singleLevel"/>
    <w:tmpl w:val="127E1DD2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2B924A1E"/>
    <w:multiLevelType w:val="multilevel"/>
    <w:tmpl w:val="2B924A1E"/>
    <w:lvl w:ilvl="0" w:tentative="0">
      <w:start w:val="2"/>
      <w:numFmt w:val="japaneseCounting"/>
      <w:lvlText w:val="（%1）"/>
      <w:lvlJc w:val="left"/>
      <w:pPr>
        <w:ind w:left="1682" w:hanging="1080"/>
      </w:pPr>
      <w:rPr>
        <w:rFonts w:hint="default" w:cs="仿宋_GB2312"/>
        <w:b/>
      </w:rPr>
    </w:lvl>
    <w:lvl w:ilvl="1" w:tentative="0">
      <w:start w:val="1"/>
      <w:numFmt w:val="lowerLetter"/>
      <w:lvlText w:val="%2)"/>
      <w:lvlJc w:val="left"/>
      <w:pPr>
        <w:ind w:left="1442" w:hanging="420"/>
      </w:pPr>
    </w:lvl>
    <w:lvl w:ilvl="2" w:tentative="0">
      <w:start w:val="1"/>
      <w:numFmt w:val="lowerRoman"/>
      <w:lvlText w:val="%3."/>
      <w:lvlJc w:val="right"/>
      <w:pPr>
        <w:ind w:left="1862" w:hanging="420"/>
      </w:pPr>
    </w:lvl>
    <w:lvl w:ilvl="3" w:tentative="0">
      <w:start w:val="1"/>
      <w:numFmt w:val="decimal"/>
      <w:lvlText w:val="%4."/>
      <w:lvlJc w:val="left"/>
      <w:pPr>
        <w:ind w:left="2282" w:hanging="420"/>
      </w:pPr>
    </w:lvl>
    <w:lvl w:ilvl="4" w:tentative="0">
      <w:start w:val="1"/>
      <w:numFmt w:val="lowerLetter"/>
      <w:lvlText w:val="%5)"/>
      <w:lvlJc w:val="left"/>
      <w:pPr>
        <w:ind w:left="2702" w:hanging="420"/>
      </w:pPr>
    </w:lvl>
    <w:lvl w:ilvl="5" w:tentative="0">
      <w:start w:val="1"/>
      <w:numFmt w:val="lowerRoman"/>
      <w:lvlText w:val="%6."/>
      <w:lvlJc w:val="right"/>
      <w:pPr>
        <w:ind w:left="3122" w:hanging="420"/>
      </w:pPr>
    </w:lvl>
    <w:lvl w:ilvl="6" w:tentative="0">
      <w:start w:val="1"/>
      <w:numFmt w:val="decimal"/>
      <w:lvlText w:val="%7."/>
      <w:lvlJc w:val="left"/>
      <w:pPr>
        <w:ind w:left="3542" w:hanging="420"/>
      </w:pPr>
    </w:lvl>
    <w:lvl w:ilvl="7" w:tentative="0">
      <w:start w:val="1"/>
      <w:numFmt w:val="lowerLetter"/>
      <w:lvlText w:val="%8)"/>
      <w:lvlJc w:val="left"/>
      <w:pPr>
        <w:ind w:left="3962" w:hanging="420"/>
      </w:pPr>
    </w:lvl>
    <w:lvl w:ilvl="8" w:tentative="0">
      <w:start w:val="1"/>
      <w:numFmt w:val="lowerRoman"/>
      <w:lvlText w:val="%9."/>
      <w:lvlJc w:val="right"/>
      <w:pPr>
        <w:ind w:left="4382" w:hanging="420"/>
      </w:pPr>
    </w:lvl>
  </w:abstractNum>
  <w:abstractNum w:abstractNumId="2">
    <w:nsid w:val="7F1BE4ED"/>
    <w:multiLevelType w:val="singleLevel"/>
    <w:tmpl w:val="7F1BE4E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ODJhNzE5MGY5NjZhY2JjNjVkZDljNjRkMDg0YjkifQ=="/>
  </w:docVars>
  <w:rsids>
    <w:rsidRoot w:val="00937D77"/>
    <w:rsid w:val="0001204D"/>
    <w:rsid w:val="00014B7E"/>
    <w:rsid w:val="00020DAE"/>
    <w:rsid w:val="00025DCF"/>
    <w:rsid w:val="00026B49"/>
    <w:rsid w:val="000279BC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4C45"/>
    <w:rsid w:val="000A6A5A"/>
    <w:rsid w:val="000B1B04"/>
    <w:rsid w:val="000B5758"/>
    <w:rsid w:val="000C211F"/>
    <w:rsid w:val="000C3FFB"/>
    <w:rsid w:val="000C5349"/>
    <w:rsid w:val="000C704F"/>
    <w:rsid w:val="000D1BEF"/>
    <w:rsid w:val="000E221E"/>
    <w:rsid w:val="000E5A14"/>
    <w:rsid w:val="000F2DDD"/>
    <w:rsid w:val="00101B9A"/>
    <w:rsid w:val="00103D12"/>
    <w:rsid w:val="001044EF"/>
    <w:rsid w:val="00107793"/>
    <w:rsid w:val="00107F74"/>
    <w:rsid w:val="00141FB3"/>
    <w:rsid w:val="00143640"/>
    <w:rsid w:val="00146622"/>
    <w:rsid w:val="00151DB8"/>
    <w:rsid w:val="00151E56"/>
    <w:rsid w:val="00154D50"/>
    <w:rsid w:val="001574DB"/>
    <w:rsid w:val="001616F8"/>
    <w:rsid w:val="001639E6"/>
    <w:rsid w:val="0016548E"/>
    <w:rsid w:val="00167781"/>
    <w:rsid w:val="0017420B"/>
    <w:rsid w:val="001743A6"/>
    <w:rsid w:val="0019552B"/>
    <w:rsid w:val="001A1316"/>
    <w:rsid w:val="001A58F7"/>
    <w:rsid w:val="001B47FB"/>
    <w:rsid w:val="001C525C"/>
    <w:rsid w:val="001E4814"/>
    <w:rsid w:val="001F43D8"/>
    <w:rsid w:val="001F69BB"/>
    <w:rsid w:val="0020344E"/>
    <w:rsid w:val="00217977"/>
    <w:rsid w:val="00222775"/>
    <w:rsid w:val="00223D56"/>
    <w:rsid w:val="00225E9E"/>
    <w:rsid w:val="002319C9"/>
    <w:rsid w:val="00235DDA"/>
    <w:rsid w:val="002456BF"/>
    <w:rsid w:val="00252DD7"/>
    <w:rsid w:val="002568D5"/>
    <w:rsid w:val="0026664B"/>
    <w:rsid w:val="00290082"/>
    <w:rsid w:val="00290EAC"/>
    <w:rsid w:val="00293ACA"/>
    <w:rsid w:val="002A0B54"/>
    <w:rsid w:val="002A1782"/>
    <w:rsid w:val="002A23DC"/>
    <w:rsid w:val="002A3DBF"/>
    <w:rsid w:val="002D67AE"/>
    <w:rsid w:val="002D715E"/>
    <w:rsid w:val="002E3C02"/>
    <w:rsid w:val="002F0601"/>
    <w:rsid w:val="002F0F40"/>
    <w:rsid w:val="002F0F49"/>
    <w:rsid w:val="00304097"/>
    <w:rsid w:val="003147A8"/>
    <w:rsid w:val="0031700B"/>
    <w:rsid w:val="0032641E"/>
    <w:rsid w:val="003407F4"/>
    <w:rsid w:val="00343F3E"/>
    <w:rsid w:val="0035053A"/>
    <w:rsid w:val="0035182A"/>
    <w:rsid w:val="003609DB"/>
    <w:rsid w:val="00361453"/>
    <w:rsid w:val="00364050"/>
    <w:rsid w:val="00364294"/>
    <w:rsid w:val="003734E1"/>
    <w:rsid w:val="00381526"/>
    <w:rsid w:val="00386D08"/>
    <w:rsid w:val="00391275"/>
    <w:rsid w:val="003929CE"/>
    <w:rsid w:val="003A5370"/>
    <w:rsid w:val="003A7D0E"/>
    <w:rsid w:val="003B24BB"/>
    <w:rsid w:val="003B3A66"/>
    <w:rsid w:val="003C1B4D"/>
    <w:rsid w:val="003C2CCF"/>
    <w:rsid w:val="003D48A4"/>
    <w:rsid w:val="003D647A"/>
    <w:rsid w:val="003E3EA7"/>
    <w:rsid w:val="003F4CDB"/>
    <w:rsid w:val="00404E18"/>
    <w:rsid w:val="00406A09"/>
    <w:rsid w:val="004139C1"/>
    <w:rsid w:val="004150DB"/>
    <w:rsid w:val="004178F1"/>
    <w:rsid w:val="00421C5C"/>
    <w:rsid w:val="00424A5A"/>
    <w:rsid w:val="00452C1F"/>
    <w:rsid w:val="004645C1"/>
    <w:rsid w:val="004654FD"/>
    <w:rsid w:val="004660E2"/>
    <w:rsid w:val="0046727B"/>
    <w:rsid w:val="0047004A"/>
    <w:rsid w:val="00472621"/>
    <w:rsid w:val="00474C09"/>
    <w:rsid w:val="0048352E"/>
    <w:rsid w:val="004A5DF5"/>
    <w:rsid w:val="004A6EE3"/>
    <w:rsid w:val="004B0888"/>
    <w:rsid w:val="004C0EED"/>
    <w:rsid w:val="004C1F92"/>
    <w:rsid w:val="004C3B81"/>
    <w:rsid w:val="004D2A21"/>
    <w:rsid w:val="004E5901"/>
    <w:rsid w:val="004E7F96"/>
    <w:rsid w:val="004F1D8F"/>
    <w:rsid w:val="004F304B"/>
    <w:rsid w:val="00507FC2"/>
    <w:rsid w:val="00513E0C"/>
    <w:rsid w:val="00531F24"/>
    <w:rsid w:val="00534FC8"/>
    <w:rsid w:val="005442FD"/>
    <w:rsid w:val="00547CCA"/>
    <w:rsid w:val="0055334A"/>
    <w:rsid w:val="0056218D"/>
    <w:rsid w:val="00563DE0"/>
    <w:rsid w:val="00564CA2"/>
    <w:rsid w:val="00566B36"/>
    <w:rsid w:val="005717FD"/>
    <w:rsid w:val="00577762"/>
    <w:rsid w:val="00585D27"/>
    <w:rsid w:val="0058731A"/>
    <w:rsid w:val="00587691"/>
    <w:rsid w:val="0059010F"/>
    <w:rsid w:val="0059248B"/>
    <w:rsid w:val="005A4CD0"/>
    <w:rsid w:val="005B0F7B"/>
    <w:rsid w:val="005B3956"/>
    <w:rsid w:val="005B5E4D"/>
    <w:rsid w:val="005C0A1F"/>
    <w:rsid w:val="005C3C59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17301"/>
    <w:rsid w:val="00646289"/>
    <w:rsid w:val="00646C58"/>
    <w:rsid w:val="0065320E"/>
    <w:rsid w:val="00664752"/>
    <w:rsid w:val="00673ABE"/>
    <w:rsid w:val="006777CE"/>
    <w:rsid w:val="006934E1"/>
    <w:rsid w:val="00694200"/>
    <w:rsid w:val="0069616E"/>
    <w:rsid w:val="006A0604"/>
    <w:rsid w:val="006A7042"/>
    <w:rsid w:val="006A7123"/>
    <w:rsid w:val="006B0F4B"/>
    <w:rsid w:val="006D456D"/>
    <w:rsid w:val="006D7313"/>
    <w:rsid w:val="006E5C14"/>
    <w:rsid w:val="006F408B"/>
    <w:rsid w:val="00703777"/>
    <w:rsid w:val="00716804"/>
    <w:rsid w:val="00737A20"/>
    <w:rsid w:val="0074381E"/>
    <w:rsid w:val="00754417"/>
    <w:rsid w:val="00795DC2"/>
    <w:rsid w:val="007B750A"/>
    <w:rsid w:val="007C0CD1"/>
    <w:rsid w:val="007C220B"/>
    <w:rsid w:val="007C257B"/>
    <w:rsid w:val="007C27C2"/>
    <w:rsid w:val="007C4FF4"/>
    <w:rsid w:val="007C5704"/>
    <w:rsid w:val="007E0D5B"/>
    <w:rsid w:val="007E2276"/>
    <w:rsid w:val="007F218B"/>
    <w:rsid w:val="00810D0C"/>
    <w:rsid w:val="00824025"/>
    <w:rsid w:val="008277F5"/>
    <w:rsid w:val="0083475B"/>
    <w:rsid w:val="008370F2"/>
    <w:rsid w:val="00841058"/>
    <w:rsid w:val="00844953"/>
    <w:rsid w:val="00846C2E"/>
    <w:rsid w:val="00847B3C"/>
    <w:rsid w:val="00851ECC"/>
    <w:rsid w:val="00861D45"/>
    <w:rsid w:val="00866211"/>
    <w:rsid w:val="00890F33"/>
    <w:rsid w:val="008A2192"/>
    <w:rsid w:val="008A584F"/>
    <w:rsid w:val="008B0BE1"/>
    <w:rsid w:val="008C6A37"/>
    <w:rsid w:val="008D0B65"/>
    <w:rsid w:val="008D7A7F"/>
    <w:rsid w:val="008E4B67"/>
    <w:rsid w:val="008F0A65"/>
    <w:rsid w:val="008F7F2F"/>
    <w:rsid w:val="0090543A"/>
    <w:rsid w:val="00912DED"/>
    <w:rsid w:val="009224E2"/>
    <w:rsid w:val="00922C71"/>
    <w:rsid w:val="00931ADF"/>
    <w:rsid w:val="009339F5"/>
    <w:rsid w:val="00933DD8"/>
    <w:rsid w:val="00934F3E"/>
    <w:rsid w:val="00937D77"/>
    <w:rsid w:val="00946BC0"/>
    <w:rsid w:val="0095553A"/>
    <w:rsid w:val="00962587"/>
    <w:rsid w:val="009822BE"/>
    <w:rsid w:val="00990C9A"/>
    <w:rsid w:val="009970B7"/>
    <w:rsid w:val="009A08A7"/>
    <w:rsid w:val="009A3307"/>
    <w:rsid w:val="009A41AC"/>
    <w:rsid w:val="009A45FD"/>
    <w:rsid w:val="009A47C1"/>
    <w:rsid w:val="009B0D59"/>
    <w:rsid w:val="009B0FCC"/>
    <w:rsid w:val="009C3FA3"/>
    <w:rsid w:val="009C4227"/>
    <w:rsid w:val="009C5EC4"/>
    <w:rsid w:val="009D1FD1"/>
    <w:rsid w:val="009D2134"/>
    <w:rsid w:val="009E0550"/>
    <w:rsid w:val="009E6A2C"/>
    <w:rsid w:val="009F0927"/>
    <w:rsid w:val="00A01A53"/>
    <w:rsid w:val="00A020B8"/>
    <w:rsid w:val="00A02970"/>
    <w:rsid w:val="00A1342C"/>
    <w:rsid w:val="00A15BB3"/>
    <w:rsid w:val="00A169EE"/>
    <w:rsid w:val="00A25266"/>
    <w:rsid w:val="00A325D0"/>
    <w:rsid w:val="00A37FB3"/>
    <w:rsid w:val="00A410A3"/>
    <w:rsid w:val="00A43941"/>
    <w:rsid w:val="00A47777"/>
    <w:rsid w:val="00A50357"/>
    <w:rsid w:val="00A52A4D"/>
    <w:rsid w:val="00A54C43"/>
    <w:rsid w:val="00A54C55"/>
    <w:rsid w:val="00A62D36"/>
    <w:rsid w:val="00A64852"/>
    <w:rsid w:val="00A74096"/>
    <w:rsid w:val="00A8081F"/>
    <w:rsid w:val="00A8708A"/>
    <w:rsid w:val="00A918A4"/>
    <w:rsid w:val="00A91C28"/>
    <w:rsid w:val="00A96D04"/>
    <w:rsid w:val="00AB093E"/>
    <w:rsid w:val="00AB791A"/>
    <w:rsid w:val="00AC0500"/>
    <w:rsid w:val="00AC3444"/>
    <w:rsid w:val="00AC4DF4"/>
    <w:rsid w:val="00AD51D9"/>
    <w:rsid w:val="00AD6740"/>
    <w:rsid w:val="00AD6772"/>
    <w:rsid w:val="00AE14F7"/>
    <w:rsid w:val="00AE3DA6"/>
    <w:rsid w:val="00AE5D0B"/>
    <w:rsid w:val="00AF0A58"/>
    <w:rsid w:val="00AF121D"/>
    <w:rsid w:val="00AF38CA"/>
    <w:rsid w:val="00B03433"/>
    <w:rsid w:val="00B100CB"/>
    <w:rsid w:val="00B1463F"/>
    <w:rsid w:val="00B25010"/>
    <w:rsid w:val="00B370F4"/>
    <w:rsid w:val="00B4348E"/>
    <w:rsid w:val="00B45D35"/>
    <w:rsid w:val="00B47C04"/>
    <w:rsid w:val="00B53EC1"/>
    <w:rsid w:val="00B66FA2"/>
    <w:rsid w:val="00B757C2"/>
    <w:rsid w:val="00B90553"/>
    <w:rsid w:val="00B91BBF"/>
    <w:rsid w:val="00B93818"/>
    <w:rsid w:val="00BA2588"/>
    <w:rsid w:val="00BA3C6F"/>
    <w:rsid w:val="00BA407A"/>
    <w:rsid w:val="00BB359F"/>
    <w:rsid w:val="00BB423E"/>
    <w:rsid w:val="00BC0DF6"/>
    <w:rsid w:val="00BC3841"/>
    <w:rsid w:val="00BC5E5F"/>
    <w:rsid w:val="00BC76FF"/>
    <w:rsid w:val="00BF3615"/>
    <w:rsid w:val="00BF54DA"/>
    <w:rsid w:val="00BF7933"/>
    <w:rsid w:val="00C1455B"/>
    <w:rsid w:val="00C148BB"/>
    <w:rsid w:val="00C149C4"/>
    <w:rsid w:val="00C17C17"/>
    <w:rsid w:val="00C24562"/>
    <w:rsid w:val="00C378B1"/>
    <w:rsid w:val="00C435D4"/>
    <w:rsid w:val="00C50520"/>
    <w:rsid w:val="00C63085"/>
    <w:rsid w:val="00C64EC0"/>
    <w:rsid w:val="00C70269"/>
    <w:rsid w:val="00C73CFA"/>
    <w:rsid w:val="00C77359"/>
    <w:rsid w:val="00C8411D"/>
    <w:rsid w:val="00C84F06"/>
    <w:rsid w:val="00C96C5A"/>
    <w:rsid w:val="00CA1B19"/>
    <w:rsid w:val="00CA68E2"/>
    <w:rsid w:val="00CB0036"/>
    <w:rsid w:val="00CB119F"/>
    <w:rsid w:val="00CC066C"/>
    <w:rsid w:val="00CE05B1"/>
    <w:rsid w:val="00CE5A0A"/>
    <w:rsid w:val="00CE6EAE"/>
    <w:rsid w:val="00CE7964"/>
    <w:rsid w:val="00CE7AC9"/>
    <w:rsid w:val="00CE7B3E"/>
    <w:rsid w:val="00CF3C5E"/>
    <w:rsid w:val="00D055B0"/>
    <w:rsid w:val="00D07F2D"/>
    <w:rsid w:val="00D13688"/>
    <w:rsid w:val="00D14C1F"/>
    <w:rsid w:val="00D15FA8"/>
    <w:rsid w:val="00D23D4D"/>
    <w:rsid w:val="00D27938"/>
    <w:rsid w:val="00D27B83"/>
    <w:rsid w:val="00D51CC5"/>
    <w:rsid w:val="00D55851"/>
    <w:rsid w:val="00D574FF"/>
    <w:rsid w:val="00D608C7"/>
    <w:rsid w:val="00D8056F"/>
    <w:rsid w:val="00D877BB"/>
    <w:rsid w:val="00D91D08"/>
    <w:rsid w:val="00D92B61"/>
    <w:rsid w:val="00DB28E7"/>
    <w:rsid w:val="00DB3194"/>
    <w:rsid w:val="00DC08C9"/>
    <w:rsid w:val="00DD6E45"/>
    <w:rsid w:val="00DE477D"/>
    <w:rsid w:val="00DE5D74"/>
    <w:rsid w:val="00DE7CDF"/>
    <w:rsid w:val="00DF0B81"/>
    <w:rsid w:val="00DF2103"/>
    <w:rsid w:val="00DF4EF1"/>
    <w:rsid w:val="00DF6570"/>
    <w:rsid w:val="00E01833"/>
    <w:rsid w:val="00E27103"/>
    <w:rsid w:val="00E37F65"/>
    <w:rsid w:val="00E51564"/>
    <w:rsid w:val="00E62551"/>
    <w:rsid w:val="00E65451"/>
    <w:rsid w:val="00E65BBC"/>
    <w:rsid w:val="00E74166"/>
    <w:rsid w:val="00E75826"/>
    <w:rsid w:val="00E804B9"/>
    <w:rsid w:val="00E8177A"/>
    <w:rsid w:val="00E839D5"/>
    <w:rsid w:val="00E872DD"/>
    <w:rsid w:val="00E90B38"/>
    <w:rsid w:val="00E90C89"/>
    <w:rsid w:val="00E95C79"/>
    <w:rsid w:val="00EA4975"/>
    <w:rsid w:val="00EA6A5C"/>
    <w:rsid w:val="00EB06BE"/>
    <w:rsid w:val="00EB6AAF"/>
    <w:rsid w:val="00EE59CA"/>
    <w:rsid w:val="00F11449"/>
    <w:rsid w:val="00F211C0"/>
    <w:rsid w:val="00F224AE"/>
    <w:rsid w:val="00F5220F"/>
    <w:rsid w:val="00F54E60"/>
    <w:rsid w:val="00F5688C"/>
    <w:rsid w:val="00F619E7"/>
    <w:rsid w:val="00F67141"/>
    <w:rsid w:val="00F720C0"/>
    <w:rsid w:val="00F729CE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00FF1C3D"/>
    <w:rsid w:val="1D681DEC"/>
    <w:rsid w:val="268758BC"/>
    <w:rsid w:val="29276DC7"/>
    <w:rsid w:val="3557428F"/>
    <w:rsid w:val="3D407E3C"/>
    <w:rsid w:val="3FCB28EB"/>
    <w:rsid w:val="40956B0D"/>
    <w:rsid w:val="4E1E02D7"/>
    <w:rsid w:val="4F204931"/>
    <w:rsid w:val="693A5856"/>
    <w:rsid w:val="6A2D5246"/>
    <w:rsid w:val="6D6F0FAB"/>
    <w:rsid w:val="6DFD7E16"/>
    <w:rsid w:val="73A82400"/>
    <w:rsid w:val="748F20DD"/>
    <w:rsid w:val="77B87C4A"/>
    <w:rsid w:val="77EFDD89"/>
    <w:rsid w:val="7ECE503D"/>
    <w:rsid w:val="DEFFAB64"/>
    <w:rsid w:val="F51C3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S Serif" w:hAnsi="MS Serif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60" w:lineRule="atLeast"/>
      <w:textAlignment w:val="baseline"/>
    </w:pPr>
    <w:rPr>
      <w:rFonts w:ascii="MS Serif" w:hAnsi="MS Serif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tLeas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autoRedefine/>
    <w:qFormat/>
    <w:uiPriority w:val="9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link w:val="14"/>
    <w:autoRedefine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autoRedefine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adjustRightInd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character" w:styleId="11">
    <w:name w:val="page number"/>
    <w:autoRedefine/>
    <w:qFormat/>
    <w:uiPriority w:val="0"/>
  </w:style>
  <w:style w:type="character" w:customStyle="1" w:styleId="12">
    <w:name w:val="标题 1 Char"/>
    <w:link w:val="2"/>
    <w:autoRedefine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13">
    <w:name w:val="标题 2 Char"/>
    <w:link w:val="3"/>
    <w:autoRedefine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4">
    <w:name w:val="批注框文本 Char"/>
    <w:link w:val="5"/>
    <w:autoRedefine/>
    <w:qFormat/>
    <w:uiPriority w:val="0"/>
    <w:rPr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paragraph" w:customStyle="1" w:styleId="16">
    <w:name w:val="Char Char"/>
    <w:basedOn w:val="4"/>
    <w:autoRedefine/>
    <w:qFormat/>
    <w:uiPriority w:val="0"/>
    <w:pPr>
      <w:adjustRightInd/>
      <w:spacing w:line="240" w:lineRule="auto"/>
      <w:jc w:val="both"/>
      <w:textAlignment w:val="auto"/>
    </w:pPr>
  </w:style>
  <w:style w:type="paragraph" w:styleId="17">
    <w:name w:val="List Paragraph"/>
    <w:basedOn w:val="1"/>
    <w:autoRedefine/>
    <w:qFormat/>
    <w:uiPriority w:val="34"/>
    <w:pPr>
      <w:adjustRightInd/>
      <w:spacing w:line="240" w:lineRule="auto"/>
      <w:ind w:firstLine="420" w:firstLineChars="200"/>
      <w:jc w:val="both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3656</Words>
  <Characters>3851</Characters>
  <Lines>34</Lines>
  <Paragraphs>9</Paragraphs>
  <TotalTime>19</TotalTime>
  <ScaleCrop>false</ScaleCrop>
  <LinksUpToDate>false</LinksUpToDate>
  <CharactersWithSpaces>4619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2024-02-23T09:39:00Z</dcterms:created>
  <dc:creator>朱春礼</dc:creator>
  <cp:lastModifiedBy>王文华</cp:lastModifiedBy>
  <cp:lastPrinted>2022-01-18T17:13:00Z</cp:lastPrinted>
  <dcterms:modified xsi:type="dcterms:W3CDTF">2025-02-14T10:31:07Z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KSOTemplateDocerSaveRecord">
    <vt:lpwstr>eyJoZGlkIjoiMWVlODQxYWNkMDQxMjRlOGJmY2U1YmM0NWMxZmZlMWMiLCJ1c2VySWQiOiI0ODEyNTM3ODUifQ==</vt:lpwstr>
  </property>
  <property fmtid="{D5CDD505-2E9C-101B-9397-08002B2CF9AE}" pid="4" name="ICV">
    <vt:lpwstr>439CF0EE1C684212ADEB0A9F974D363F_13</vt:lpwstr>
  </property>
</Properties>
</file>