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A1" w:rsidRDefault="009340B5">
      <w:pPr>
        <w:jc w:val="center"/>
        <w:rPr>
          <w:rFonts w:ascii="黑体" w:eastAsia="黑体" w:hAnsi="黑体" w:cs="宋体"/>
          <w:color w:val="3D3D3D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3D3D3D"/>
          <w:kern w:val="0"/>
          <w:sz w:val="44"/>
          <w:szCs w:val="44"/>
        </w:rPr>
        <w:t>天津市津南区人力资源和社会保障局</w:t>
      </w:r>
      <w:r w:rsidR="00533327">
        <w:rPr>
          <w:rFonts w:ascii="黑体" w:eastAsia="黑体" w:hAnsi="黑体" w:cs="宋体" w:hint="eastAsia"/>
          <w:color w:val="3D3D3D"/>
          <w:kern w:val="0"/>
          <w:sz w:val="44"/>
          <w:szCs w:val="44"/>
        </w:rPr>
        <w:t>预算</w:t>
      </w:r>
      <w:r w:rsidR="005B2AF7">
        <w:rPr>
          <w:rFonts w:ascii="黑体" w:eastAsia="黑体" w:hAnsi="黑体" w:cs="宋体" w:hint="eastAsia"/>
          <w:color w:val="3D3D3D"/>
          <w:kern w:val="0"/>
          <w:sz w:val="44"/>
          <w:szCs w:val="44"/>
        </w:rPr>
        <w:t>公开管理办法</w:t>
      </w:r>
    </w:p>
    <w:p w:rsidR="000474A1" w:rsidRDefault="000474A1">
      <w:pPr>
        <w:jc w:val="center"/>
        <w:rPr>
          <w:rFonts w:ascii="黑体" w:eastAsia="黑体" w:hAnsi="黑体" w:cs="宋体"/>
          <w:color w:val="3D3D3D"/>
          <w:kern w:val="0"/>
          <w:sz w:val="44"/>
          <w:szCs w:val="44"/>
        </w:rPr>
      </w:pPr>
    </w:p>
    <w:p w:rsidR="000474A1" w:rsidRDefault="005B2AF7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为进一步规范区级部门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公开工作，根据财政部、市区两级政府、市财政局对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信息公开的有关要求，结合我单位实际，制定本办法。</w:t>
      </w:r>
    </w:p>
    <w:p w:rsidR="000474A1" w:rsidRDefault="005B2AF7">
      <w:pPr>
        <w:ind w:firstLineChars="200" w:firstLine="643"/>
        <w:jc w:val="left"/>
        <w:rPr>
          <w:rFonts w:ascii="仿宋" w:eastAsia="仿宋" w:hAnsi="仿宋" w:cs="宋体"/>
          <w:b/>
          <w:bCs/>
          <w:color w:val="3D3D3D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D3D3D"/>
          <w:kern w:val="0"/>
          <w:sz w:val="32"/>
          <w:szCs w:val="32"/>
        </w:rPr>
        <w:t>一、公开主体</w:t>
      </w:r>
    </w:p>
    <w:p w:rsidR="000474A1" w:rsidRDefault="005B2AF7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公开的主体为天津市津南区</w:t>
      </w:r>
      <w:r w:rsidR="009340B5">
        <w:rPr>
          <w:rFonts w:ascii="仿宋_GB2312" w:eastAsia="仿宋_GB2312" w:hint="eastAsia"/>
          <w:sz w:val="30"/>
          <w:szCs w:val="30"/>
        </w:rPr>
        <w:t>人力资源和社会保障局</w:t>
      </w:r>
      <w:r w:rsidR="00290890">
        <w:rPr>
          <w:rFonts w:ascii="仿宋_GB2312" w:eastAsia="仿宋_GB2312" w:hint="eastAsia"/>
          <w:sz w:val="30"/>
          <w:szCs w:val="30"/>
        </w:rPr>
        <w:t>及下属事业单位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0474A1" w:rsidRDefault="005B2AF7">
      <w:pPr>
        <w:ind w:firstLineChars="200" w:firstLine="643"/>
        <w:jc w:val="left"/>
        <w:rPr>
          <w:rFonts w:ascii="仿宋" w:eastAsia="仿宋" w:hAnsi="仿宋" w:cs="宋体"/>
          <w:b/>
          <w:bCs/>
          <w:color w:val="3D3D3D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D3D3D"/>
          <w:kern w:val="0"/>
          <w:sz w:val="32"/>
          <w:szCs w:val="32"/>
        </w:rPr>
        <w:t>二、公开时间及形式</w:t>
      </w:r>
    </w:p>
    <w:p w:rsidR="000474A1" w:rsidRDefault="005B2AF7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（一）公开时间：</w:t>
      </w:r>
    </w:p>
    <w:p w:rsidR="000474A1" w:rsidRDefault="005B2AF7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财政部门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批复20</w:t>
      </w:r>
      <w:r w:rsidR="009340B5">
        <w:rPr>
          <w:rFonts w:ascii="仿宋_GB2312" w:eastAsia="仿宋_GB2312" w:hint="eastAsia"/>
          <w:sz w:val="30"/>
          <w:szCs w:val="30"/>
        </w:rPr>
        <w:t>日内以及津南区人社局</w:t>
      </w:r>
      <w:r>
        <w:rPr>
          <w:rFonts w:ascii="仿宋_GB2312" w:eastAsia="仿宋_GB2312" w:hint="eastAsia"/>
          <w:sz w:val="30"/>
          <w:szCs w:val="30"/>
        </w:rPr>
        <w:t>批复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至二级单位20日内。</w:t>
      </w:r>
    </w:p>
    <w:p w:rsidR="000474A1" w:rsidRDefault="005B2AF7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（二）公开形式：</w:t>
      </w:r>
    </w:p>
    <w:p w:rsidR="000474A1" w:rsidRDefault="005B2AF7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1.政务信息公开网。</w:t>
      </w:r>
    </w:p>
    <w:p w:rsidR="000474A1" w:rsidRDefault="005B2AF7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533327">
        <w:rPr>
          <w:rFonts w:ascii="仿宋_GB2312" w:eastAsia="仿宋_GB2312" w:hint="eastAsia"/>
          <w:sz w:val="30"/>
          <w:szCs w:val="30"/>
        </w:rPr>
        <w:t>财政预算</w:t>
      </w:r>
      <w:r>
        <w:rPr>
          <w:rFonts w:ascii="仿宋_GB2312" w:eastAsia="仿宋_GB2312" w:hint="eastAsia"/>
          <w:sz w:val="30"/>
          <w:szCs w:val="30"/>
        </w:rPr>
        <w:t>公开统一平台</w:t>
      </w:r>
    </w:p>
    <w:p w:rsidR="000474A1" w:rsidRDefault="005B2AF7">
      <w:pPr>
        <w:ind w:firstLineChars="200" w:firstLine="643"/>
        <w:jc w:val="left"/>
        <w:rPr>
          <w:rFonts w:ascii="仿宋" w:eastAsia="仿宋" w:hAnsi="仿宋" w:cs="宋体"/>
          <w:b/>
          <w:bCs/>
          <w:color w:val="3D3D3D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D3D3D"/>
          <w:kern w:val="0"/>
          <w:sz w:val="32"/>
          <w:szCs w:val="32"/>
        </w:rPr>
        <w:t>三、公开内容</w:t>
      </w:r>
    </w:p>
    <w:p w:rsidR="000474A1" w:rsidRDefault="005B2AF7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（一）部门</w:t>
      </w:r>
      <w:r w:rsidR="00533327">
        <w:rPr>
          <w:rFonts w:ascii="仿宋_GB2312" w:eastAsia="仿宋_GB2312" w:hint="eastAsia"/>
          <w:sz w:val="30"/>
          <w:szCs w:val="30"/>
        </w:rPr>
        <w:t>预算</w:t>
      </w:r>
    </w:p>
    <w:p w:rsidR="000474A1" w:rsidRDefault="00533327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 w:rsidRPr="00533327">
        <w:rPr>
          <w:rFonts w:ascii="仿宋_GB2312" w:eastAsia="仿宋_GB2312" w:hint="eastAsia"/>
          <w:sz w:val="30"/>
          <w:szCs w:val="30"/>
        </w:rPr>
        <w:t>除涉密信息外，区财政批复的2020年部门预算内容全部公开，包括本级及所属单位预算在内的汇总预算，并按部门预算支出经济分类单独公开基本支出预算安排情况。同时，为便于公众理解，还应公开本部门职责、机构设置、预算收支增减变化、机关运行经费安排、政府采购，以及国有资产占用、重点项目预算的绩效目标等情况的说明，并对专业性较强的名词进行详细解释。具体内容为：部门收支总体情况表，部门收入总体情况表，部门</w:t>
      </w:r>
      <w:r w:rsidRPr="00533327">
        <w:rPr>
          <w:rFonts w:ascii="仿宋_GB2312" w:eastAsia="仿宋_GB2312" w:hint="eastAsia"/>
          <w:sz w:val="30"/>
          <w:szCs w:val="30"/>
        </w:rPr>
        <w:lastRenderedPageBreak/>
        <w:t>支出总体情况表，财政拨款收支总体情况表，一般公共预算支出总体情况表，一般公共预算基本支出情况表，政府性基金预算支出情况表和部门预算编制说明</w:t>
      </w:r>
      <w:r w:rsidR="005B2AF7">
        <w:rPr>
          <w:rFonts w:ascii="仿宋_GB2312" w:eastAsia="仿宋_GB2312" w:hint="eastAsia"/>
          <w:sz w:val="30"/>
          <w:szCs w:val="30"/>
        </w:rPr>
        <w:t>。</w:t>
      </w:r>
    </w:p>
    <w:p w:rsidR="000474A1" w:rsidRDefault="005B2AF7">
      <w:pPr>
        <w:numPr>
          <w:ilvl w:val="0"/>
          <w:numId w:val="1"/>
        </w:num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“三公”经费</w:t>
      </w:r>
      <w:r w:rsidR="00533327">
        <w:rPr>
          <w:rFonts w:ascii="仿宋_GB2312" w:eastAsia="仿宋_GB2312" w:hint="eastAsia"/>
          <w:sz w:val="30"/>
          <w:szCs w:val="30"/>
        </w:rPr>
        <w:t>预算</w:t>
      </w:r>
    </w:p>
    <w:p w:rsidR="00533327" w:rsidRPr="00533327" w:rsidRDefault="005B2AF7" w:rsidP="00533327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根据区财政安排，除涉密信息外，</w:t>
      </w:r>
      <w:r w:rsidR="00533327" w:rsidRPr="00533327">
        <w:rPr>
          <w:rFonts w:ascii="仿宋_GB2312" w:eastAsia="仿宋_GB2312" w:hint="eastAsia"/>
          <w:sz w:val="30"/>
          <w:szCs w:val="30"/>
        </w:rPr>
        <w:t>除涉密信息外，区级主管预算部门要公开本部门“三公”经费预算总额和分项数额，并对增减变化的原因进行说明。具体内容为：一般公共预算“三公”经费支出情况表和一般公共预算“三公”经费支出情况说明。</w:t>
      </w:r>
    </w:p>
    <w:p w:rsidR="000474A1" w:rsidRDefault="00533327" w:rsidP="00533327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33327">
        <w:rPr>
          <w:rFonts w:ascii="仿宋_GB2312" w:eastAsia="仿宋_GB2312" w:hint="eastAsia"/>
          <w:sz w:val="30"/>
          <w:szCs w:val="30"/>
        </w:rPr>
        <w:t>区级主管预算部门公开部门预算和“三公”经费预算时，相关说明和表格若无内容，也应当列出空表并附文字加以说明</w:t>
      </w:r>
      <w:r w:rsidR="005B2AF7">
        <w:rPr>
          <w:rFonts w:ascii="仿宋_GB2312" w:eastAsia="仿宋_GB2312" w:hint="eastAsia"/>
          <w:sz w:val="30"/>
          <w:szCs w:val="30"/>
        </w:rPr>
        <w:t>。</w:t>
      </w:r>
    </w:p>
    <w:p w:rsidR="000474A1" w:rsidRDefault="005B2AF7">
      <w:pPr>
        <w:ind w:firstLineChars="200" w:firstLine="60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部门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和“三公”经费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必须单独分别公开。</w:t>
      </w:r>
    </w:p>
    <w:p w:rsidR="000474A1" w:rsidRDefault="005B2AF7">
      <w:pPr>
        <w:ind w:firstLineChars="200" w:firstLine="643"/>
        <w:jc w:val="left"/>
        <w:rPr>
          <w:rFonts w:ascii="仿宋" w:eastAsia="仿宋" w:hAnsi="仿宋" w:cs="宋体"/>
          <w:b/>
          <w:bCs/>
          <w:color w:val="3D3D3D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D3D3D"/>
          <w:kern w:val="0"/>
          <w:sz w:val="32"/>
          <w:szCs w:val="32"/>
        </w:rPr>
        <w:t>四、工作要求</w:t>
      </w:r>
    </w:p>
    <w:p w:rsidR="000474A1" w:rsidRDefault="005B2AF7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（一）高度重视，加强领导</w:t>
      </w:r>
    </w:p>
    <w:p w:rsidR="000474A1" w:rsidRDefault="005B2AF7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充分认识做好部门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和“三公”经费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公开工作的重要意义，强化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公开主体责任，指定专人具体负责，在法定时间内完成此项工作。为方便社会公众查阅，主动接受社会监督，所有公开的部门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和“三公”经费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内容，一经公开要永久保留，不得修改或删除。</w:t>
      </w:r>
    </w:p>
    <w:p w:rsidR="000474A1" w:rsidRDefault="005B2AF7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（二）加强审查，确保准确</w:t>
      </w:r>
    </w:p>
    <w:p w:rsidR="000474A1" w:rsidRDefault="005B2AF7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局机关及下属单位在接收数据后在报表查询中导出本年度部门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公开数据报表，认真核对数据，核对无误后，填报本年度部门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公开信息表。对部门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中涉及国家秘密、商业秘密、个人隐私的信息，依法不予公开。</w:t>
      </w:r>
    </w:p>
    <w:p w:rsidR="000474A1" w:rsidRDefault="005B2AF7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（二）按时公开 </w:t>
      </w:r>
    </w:p>
    <w:p w:rsidR="000474A1" w:rsidRDefault="005B2AF7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各预算部门（二级预算单位）应在财政部门（主管部门）批复预算20日内通过相关渠道对社会公开本部门（本单位）的本年部门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 w:rsidR="009340B5">
        <w:rPr>
          <w:rFonts w:ascii="仿宋_GB2312" w:eastAsia="仿宋_GB2312" w:hint="eastAsia"/>
          <w:sz w:val="30"/>
          <w:szCs w:val="30"/>
        </w:rPr>
        <w:t>情况。因此，此项工作作为每年的常态工作，津南区人力资源和社会保障局</w:t>
      </w:r>
      <w:r>
        <w:rPr>
          <w:rFonts w:ascii="仿宋_GB2312" w:eastAsia="仿宋_GB2312" w:hint="eastAsia"/>
          <w:sz w:val="30"/>
          <w:szCs w:val="30"/>
        </w:rPr>
        <w:t>机关及下属二级预算单位根据相关法律规定及时将本部门（本单位）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向社会公开。</w:t>
      </w:r>
    </w:p>
    <w:p w:rsidR="000474A1" w:rsidRDefault="005B2AF7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（三）公开备案</w:t>
      </w:r>
    </w:p>
    <w:p w:rsidR="000474A1" w:rsidRDefault="005B2AF7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津南区</w:t>
      </w:r>
      <w:r w:rsidR="009340B5">
        <w:rPr>
          <w:rFonts w:ascii="仿宋_GB2312" w:eastAsia="仿宋_GB2312" w:hint="eastAsia"/>
          <w:sz w:val="30"/>
          <w:szCs w:val="30"/>
        </w:rPr>
        <w:t>人力资源和社会保障局</w:t>
      </w:r>
      <w:r>
        <w:rPr>
          <w:rFonts w:ascii="仿宋_GB2312" w:eastAsia="仿宋_GB2312" w:hint="eastAsia"/>
          <w:sz w:val="30"/>
          <w:szCs w:val="30"/>
        </w:rPr>
        <w:t>机关及下属二级预算单位在完成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公开工作10日内，将本年度部门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及“三公”经费</w:t>
      </w:r>
      <w:r w:rsidR="00533327">
        <w:rPr>
          <w:rFonts w:ascii="仿宋_GB2312" w:eastAsia="仿宋_GB2312" w:hint="eastAsia"/>
          <w:sz w:val="30"/>
          <w:szCs w:val="30"/>
        </w:rPr>
        <w:t>预算</w:t>
      </w:r>
      <w:r>
        <w:rPr>
          <w:rFonts w:ascii="仿宋_GB2312" w:eastAsia="仿宋_GB2312" w:hint="eastAsia"/>
          <w:sz w:val="30"/>
          <w:szCs w:val="30"/>
        </w:rPr>
        <w:t>公开相关材料加盖公章及主要领导签字后（电子版和纸质版），报送至财政部门备案。</w:t>
      </w:r>
    </w:p>
    <w:p w:rsidR="000474A1" w:rsidRDefault="000474A1">
      <w:pPr>
        <w:ind w:firstLineChars="200" w:firstLine="640"/>
        <w:jc w:val="left"/>
        <w:rPr>
          <w:rFonts w:ascii="仿宋" w:eastAsia="仿宋" w:hAnsi="仿宋" w:cs="宋体"/>
          <w:color w:val="3D3D3D"/>
          <w:kern w:val="0"/>
          <w:sz w:val="32"/>
          <w:szCs w:val="32"/>
        </w:rPr>
      </w:pPr>
    </w:p>
    <w:sectPr w:rsidR="000474A1" w:rsidSect="00047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8FA" w:rsidRDefault="005278FA" w:rsidP="009340B5">
      <w:r>
        <w:separator/>
      </w:r>
    </w:p>
  </w:endnote>
  <w:endnote w:type="continuationSeparator" w:id="1">
    <w:p w:rsidR="005278FA" w:rsidRDefault="005278FA" w:rsidP="0093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8FA" w:rsidRDefault="005278FA" w:rsidP="009340B5">
      <w:r>
        <w:separator/>
      </w:r>
    </w:p>
  </w:footnote>
  <w:footnote w:type="continuationSeparator" w:id="1">
    <w:p w:rsidR="005278FA" w:rsidRDefault="005278FA" w:rsidP="00934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3075C6"/>
    <w:multiLevelType w:val="singleLevel"/>
    <w:tmpl w:val="BF3075C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CB565A"/>
    <w:rsid w:val="000474A1"/>
    <w:rsid w:val="00267A8B"/>
    <w:rsid w:val="00290890"/>
    <w:rsid w:val="005278FA"/>
    <w:rsid w:val="00533327"/>
    <w:rsid w:val="005B2AF7"/>
    <w:rsid w:val="009340B5"/>
    <w:rsid w:val="48CB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4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40B5"/>
    <w:rPr>
      <w:kern w:val="2"/>
      <w:sz w:val="18"/>
      <w:szCs w:val="18"/>
    </w:rPr>
  </w:style>
  <w:style w:type="paragraph" w:styleId="a4">
    <w:name w:val="footer"/>
    <w:basedOn w:val="a"/>
    <w:link w:val="Char0"/>
    <w:rsid w:val="00934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40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天津市津南区劳动保障服务中心</cp:lastModifiedBy>
  <cp:revision>4</cp:revision>
  <dcterms:created xsi:type="dcterms:W3CDTF">2019-09-09T01:11:00Z</dcterms:created>
  <dcterms:modified xsi:type="dcterms:W3CDTF">2020-02-03T02:15:00Z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