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1A5F97">
      <w:pPr>
        <w:pageBreakBefore w:val="0"/>
        <w:kinsoku/>
        <w:wordWrap/>
        <w:overflowPunct/>
        <w:topLinePunct w:val="0"/>
        <w:autoSpaceDE/>
        <w:autoSpaceDN/>
        <w:bidi w:val="0"/>
        <w:snapToGrid/>
        <w:spacing w:line="240" w:lineRule="auto"/>
        <w:rPr>
          <w:rFonts w:hint="default" w:ascii="黑体" w:hAnsi="黑体" w:eastAsia="黑体" w:cs="黑体"/>
          <w:w w:val="95"/>
          <w:sz w:val="32"/>
          <w:szCs w:val="32"/>
          <w:highlight w:val="none"/>
          <w:lang w:val="en"/>
        </w:rPr>
      </w:pPr>
      <w:bookmarkStart w:id="31" w:name="_GoBack"/>
      <w:bookmarkEnd w:id="31"/>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hint="eastAsia" w:ascii="方正小标宋简体" w:hAnsi="方正小标宋简体" w:eastAsia="方正小标宋简体" w:cs="方正小标宋简体"/>
          <w:sz w:val="48"/>
          <w:szCs w:val="48"/>
          <w:highlight w:val="none"/>
          <w:lang w:val="en-US" w:eastAsia="zh-CN"/>
        </w:rPr>
      </w:pPr>
      <w:r>
        <w:rPr>
          <w:rFonts w:hint="eastAsia" w:ascii="方正小标宋简体" w:hAnsi="方正小标宋简体" w:eastAsia="方正小标宋简体" w:cs="方正小标宋简体"/>
          <w:sz w:val="48"/>
          <w:szCs w:val="48"/>
          <w:highlight w:val="none"/>
          <w:lang w:val="en-US" w:eastAsia="zh-CN"/>
        </w:rPr>
        <w:t>天津市津南区疾病预防控制中心</w:t>
      </w:r>
    </w:p>
    <w:p w14:paraId="6C77533C">
      <w:pPr>
        <w:pageBreakBefore w:val="0"/>
        <w:kinsoku/>
        <w:wordWrap/>
        <w:overflowPunct/>
        <w:topLinePunct w:val="0"/>
        <w:autoSpaceDE/>
        <w:autoSpaceDN/>
        <w:bidi w:val="0"/>
        <w:snapToGrid/>
        <w:spacing w:line="240" w:lineRule="auto"/>
        <w:jc w:val="center"/>
        <w:rPr>
          <w:rFonts w:hint="eastAsia" w:ascii="黑体" w:eastAsia="黑体"/>
          <w:sz w:val="30"/>
          <w:szCs w:val="30"/>
          <w:highlight w:val="none"/>
        </w:rPr>
      </w:pPr>
      <w:r>
        <w:rPr>
          <w:rFonts w:hint="eastAsia" w:ascii="方正小标宋简体" w:hAnsi="方正小标宋简体" w:eastAsia="方正小标宋简体" w:cs="方正小标宋简体"/>
          <w:sz w:val="48"/>
          <w:szCs w:val="48"/>
          <w:highlight w:val="none"/>
          <w:lang w:eastAsia="zh-CN"/>
        </w:rPr>
        <w:t>202</w:t>
      </w:r>
      <w:r>
        <w:rPr>
          <w:rFonts w:hint="eastAsia" w:ascii="方正小标宋简体" w:hAnsi="方正小标宋简体" w:eastAsia="方正小标宋简体" w:cs="方正小标宋简体"/>
          <w:sz w:val="48"/>
          <w:szCs w:val="48"/>
          <w:highlight w:val="none"/>
          <w:lang w:val="en-US" w:eastAsia="zh-CN"/>
        </w:rPr>
        <w:t>3</w:t>
      </w:r>
      <w:r>
        <w:rPr>
          <w:rFonts w:hint="eastAsia" w:ascii="方正小标宋简体" w:hAnsi="方正小标宋简体" w:eastAsia="方正小标宋简体" w:cs="方正小标宋简体"/>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hint="eastAsia" w:ascii="黑体" w:eastAsia="黑体"/>
          <w:sz w:val="44"/>
          <w:szCs w:val="44"/>
          <w:highlight w:val="none"/>
        </w:rPr>
      </w:pPr>
    </w:p>
    <w:p w14:paraId="377BDC7A">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sectPr>
          <w:pgSz w:w="11906" w:h="16838"/>
          <w:pgMar w:top="1440" w:right="1800" w:bottom="1440" w:left="1800" w:header="851" w:footer="992" w:gutter="0"/>
          <w:pgNumType w:start="1"/>
          <w:cols w:space="720" w:num="1"/>
          <w:docGrid w:type="lines" w:linePitch="312" w:charSpace="0"/>
        </w:sectPr>
      </w:pPr>
    </w:p>
    <w:p w14:paraId="5FE03D61">
      <w:pPr>
        <w:pageBreakBefore w:val="0"/>
        <w:kinsoku/>
        <w:wordWrap/>
        <w:overflowPunct/>
        <w:topLinePunct w:val="0"/>
        <w:autoSpaceDE/>
        <w:autoSpaceDN/>
        <w:bidi w:val="0"/>
        <w:snapToGrid/>
        <w:spacing w:line="600" w:lineRule="exact"/>
        <w:jc w:val="center"/>
        <w:rPr>
          <w:rFonts w:hint="eastAsia" w:ascii="黑体" w:eastAsia="黑体"/>
          <w:sz w:val="44"/>
          <w:szCs w:val="44"/>
          <w:highlight w:val="none"/>
        </w:rPr>
      </w:pPr>
    </w:p>
    <w:p w14:paraId="340F20B9">
      <w:pPr>
        <w:pageBreakBefore w:val="0"/>
        <w:kinsoku/>
        <w:wordWrap/>
        <w:overflowPunct/>
        <w:topLinePunct w:val="0"/>
        <w:autoSpaceDE/>
        <w:autoSpaceDN/>
        <w:bidi w:val="0"/>
        <w:snapToGrid/>
        <w:spacing w:line="600" w:lineRule="exact"/>
        <w:jc w:val="center"/>
        <w:rPr>
          <w:rFonts w:hint="eastAsia" w:ascii="黑体" w:eastAsia="黑体"/>
          <w:sz w:val="44"/>
          <w:szCs w:val="44"/>
        </w:rPr>
      </w:pPr>
      <w:r>
        <w:rPr>
          <w:rFonts w:hint="eastAsia" w:ascii="黑体" w:eastAsia="黑体"/>
          <w:sz w:val="44"/>
          <w:szCs w:val="44"/>
        </w:rPr>
        <w:t>目   录</w:t>
      </w:r>
    </w:p>
    <w:p w14:paraId="37D8886D">
      <w:pPr>
        <w:pageBreakBefore w:val="0"/>
        <w:kinsoku/>
        <w:wordWrap/>
        <w:overflowPunct/>
        <w:topLinePunct w:val="0"/>
        <w:autoSpaceDE/>
        <w:autoSpaceDN/>
        <w:bidi w:val="0"/>
        <w:snapToGrid/>
        <w:spacing w:line="600" w:lineRule="exact"/>
        <w:rPr>
          <w:rFonts w:hint="eastAsia" w:ascii="黑体" w:eastAsia="黑体"/>
          <w:sz w:val="30"/>
          <w:szCs w:val="30"/>
          <w:highlight w:val="none"/>
        </w:rPr>
      </w:pPr>
    </w:p>
    <w:p w14:paraId="7A1C0097">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rPr>
          <w:rFonts w:ascii="Times New Roman" w:hAnsi="Times New Roman" w:eastAsia="仿宋_GB2312" w:cs="Times New Roman"/>
          <w:sz w:val="30"/>
          <w:szCs w:val="30"/>
          <w:highlight w:val="none"/>
        </w:rPr>
        <w:fldChar w:fldCharType="begin"/>
      </w:r>
      <w:r>
        <w:rPr>
          <w:rFonts w:ascii="Times New Roman" w:hAnsi="Times New Roman" w:eastAsia="仿宋_GB2312" w:cs="Times New Roman"/>
          <w:sz w:val="30"/>
          <w:szCs w:val="30"/>
          <w:highlight w:val="none"/>
        </w:rPr>
        <w:instrText xml:space="preserve"> TOC \o "1-3" \h \z \u </w:instrText>
      </w:r>
      <w:r>
        <w:rPr>
          <w:rFonts w:ascii="Times New Roman" w:hAnsi="Times New Roman" w:eastAsia="仿宋_GB2312" w:cs="Times New Roman"/>
          <w:sz w:val="30"/>
          <w:szCs w:val="30"/>
          <w:highlight w:val="none"/>
        </w:rPr>
        <w:fldChar w:fldCharType="separate"/>
      </w:r>
      <w:r>
        <w:fldChar w:fldCharType="begin"/>
      </w:r>
      <w:r>
        <w:instrText xml:space="preserve"> HYPERLINK \l "_Toc7076" </w:instrText>
      </w:r>
      <w:r>
        <w:fldChar w:fldCharType="separate"/>
      </w:r>
      <w:r>
        <w:rPr>
          <w:rFonts w:hint="eastAsia" w:ascii="方正小标宋简体" w:hAnsi="方正小标宋简体" w:eastAsia="方正小标宋简体" w:cs="方正小标宋简体"/>
          <w:b w:val="0"/>
          <w:bCs w:val="0"/>
          <w:sz w:val="30"/>
          <w:szCs w:val="30"/>
          <w:highlight w:val="none"/>
        </w:rPr>
        <w:t>第一部分  概 况</w:t>
      </w:r>
      <w:r>
        <w:rPr>
          <w:rFonts w:hint="eastAsia" w:ascii="方正小标宋简体" w:hAnsi="方正小标宋简体" w:eastAsia="方正小标宋简体" w:cs="方正小标宋简体"/>
          <w:b w:val="0"/>
          <w:bCs w:val="0"/>
          <w:sz w:val="30"/>
          <w:szCs w:val="30"/>
        </w:rPr>
        <w:tab/>
      </w:r>
      <w:r>
        <w:rPr>
          <w:rFonts w:hint="eastAsia" w:ascii="方正小标宋简体" w:hAnsi="方正小标宋简体" w:eastAsia="方正小标宋简体" w:cs="方正小标宋简体"/>
          <w:b w:val="0"/>
          <w:bCs w:val="0"/>
          <w:sz w:val="30"/>
          <w:szCs w:val="30"/>
        </w:rPr>
        <w:fldChar w:fldCharType="begin"/>
      </w:r>
      <w:r>
        <w:rPr>
          <w:rFonts w:hint="eastAsia" w:ascii="方正小标宋简体" w:hAnsi="方正小标宋简体" w:eastAsia="方正小标宋简体" w:cs="方正小标宋简体"/>
          <w:b w:val="0"/>
          <w:bCs w:val="0"/>
          <w:sz w:val="30"/>
          <w:szCs w:val="30"/>
        </w:rPr>
        <w:instrText xml:space="preserve"> PAGEREF _Toc7076 </w:instrText>
      </w:r>
      <w:r>
        <w:rPr>
          <w:rFonts w:hint="eastAsia" w:ascii="方正小标宋简体" w:hAnsi="方正小标宋简体" w:eastAsia="方正小标宋简体" w:cs="方正小标宋简体"/>
          <w:b w:val="0"/>
          <w:bCs w:val="0"/>
          <w:sz w:val="30"/>
          <w:szCs w:val="30"/>
        </w:rPr>
        <w:fldChar w:fldCharType="separate"/>
      </w:r>
      <w:r>
        <w:rPr>
          <w:rFonts w:hint="eastAsia" w:ascii="方正小标宋简体" w:hAnsi="方正小标宋简体" w:eastAsia="方正小标宋简体" w:cs="方正小标宋简体"/>
          <w:b w:val="0"/>
          <w:bCs w:val="0"/>
          <w:sz w:val="30"/>
          <w:szCs w:val="30"/>
        </w:rPr>
        <w:t>1</w:t>
      </w:r>
      <w:r>
        <w:rPr>
          <w:rFonts w:hint="eastAsia" w:ascii="方正小标宋简体" w:hAnsi="方正小标宋简体" w:eastAsia="方正小标宋简体" w:cs="方正小标宋简体"/>
          <w:b w:val="0"/>
          <w:bCs w:val="0"/>
          <w:sz w:val="30"/>
          <w:szCs w:val="30"/>
        </w:rPr>
        <w:fldChar w:fldCharType="end"/>
      </w:r>
      <w:r>
        <w:rPr>
          <w:rFonts w:hint="eastAsia" w:ascii="方正小标宋简体" w:hAnsi="方正小标宋简体" w:eastAsia="方正小标宋简体" w:cs="方正小标宋简体"/>
          <w:b w:val="0"/>
          <w:bCs w:val="0"/>
          <w:sz w:val="30"/>
          <w:szCs w:val="30"/>
        </w:rPr>
        <w:fldChar w:fldCharType="end"/>
      </w:r>
    </w:p>
    <w:p w14:paraId="255B2CE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"_Toc13809" </w:instrText>
      </w:r>
      <w:r>
        <w:fldChar w:fldCharType="separate"/>
      </w:r>
      <w:r>
        <w:rPr>
          <w:rFonts w:hint="eastAsia" w:ascii="仿宋_GB2312" w:hAnsi="仿宋_GB2312" w:eastAsia="仿宋_GB2312" w:cs="仿宋_GB2312"/>
          <w:bCs w:val="0"/>
          <w:sz w:val="30"/>
          <w:szCs w:val="30"/>
          <w:highlight w:val="none"/>
        </w:rPr>
        <w:t>一、主要职责</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_Toc13809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A7295">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"_Toc20426" </w:instrText>
      </w:r>
      <w:r>
        <w:fldChar w:fldCharType="separate"/>
      </w:r>
      <w:r>
        <w:rPr>
          <w:rFonts w:hint="eastAsia" w:ascii="仿宋_GB2312" w:hAnsi="仿宋_GB2312" w:eastAsia="仿宋_GB2312" w:cs="仿宋_GB2312"/>
          <w:bCs w:val="0"/>
          <w:sz w:val="30"/>
          <w:szCs w:val="30"/>
          <w:highlight w:val="none"/>
        </w:rPr>
        <w:t>二、机构设置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_Toc20426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63E6C9E8">
      <w:pPr>
        <w:pStyle w:val="9"/>
        <w:pageBreakBefore w:val="0"/>
        <w:tabs>
          <w:tab w:val="right" w:leader="dot" w:pos="8306"/>
          <w:tab w:val="clear" w:pos="829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"_Toc15731"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第二部分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年度部门决算表</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_Toc15731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5745C42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"_Toc8843" </w:instrText>
      </w:r>
      <w:r>
        <w:fldChar w:fldCharType="separate"/>
      </w:r>
      <w:r>
        <w:rPr>
          <w:rFonts w:hint="eastAsia" w:ascii="仿宋_GB2312" w:hAnsi="仿宋_GB2312" w:eastAsia="仿宋_GB2312" w:cs="仿宋_GB2312"/>
          <w:sz w:val="30"/>
          <w:szCs w:val="30"/>
          <w:highlight w:val="none"/>
        </w:rPr>
        <w:t>一、《收入支出决算总表》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_Toc8843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E3AED2">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"_Toc2552" </w:instrText>
      </w:r>
      <w:r>
        <w:fldChar w:fldCharType="separate"/>
      </w:r>
      <w:r>
        <w:rPr>
          <w:rFonts w:hint="eastAsia" w:ascii="仿宋_GB2312" w:hAnsi="仿宋_GB2312" w:eastAsia="仿宋_GB2312" w:cs="仿宋_GB2312"/>
          <w:sz w:val="30"/>
          <w:szCs w:val="30"/>
          <w:highlight w:val="none"/>
        </w:rPr>
        <w:t>二、《收入决算表（按功能分类列示）》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_Toc2552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C7371C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"_Toc27841" </w:instrText>
      </w:r>
      <w:r>
        <w:fldChar w:fldCharType="separate"/>
      </w:r>
      <w:r>
        <w:rPr>
          <w:rFonts w:hint="eastAsia" w:ascii="仿宋_GB2312" w:hAnsi="仿宋_GB2312" w:eastAsia="仿宋_GB2312" w:cs="仿宋_GB2312"/>
          <w:sz w:val="30"/>
          <w:szCs w:val="30"/>
          <w:highlight w:val="none"/>
        </w:rPr>
        <w:t>三、《收入决算表（按单位列示）》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_Toc27841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257E23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"_Toc8617" </w:instrText>
      </w:r>
      <w:r>
        <w:fldChar w:fldCharType="separate"/>
      </w:r>
      <w:r>
        <w:rPr>
          <w:rFonts w:hint="eastAsia" w:ascii="仿宋_GB2312" w:hAnsi="仿宋_GB2312" w:eastAsia="仿宋_GB2312" w:cs="仿宋_GB2312"/>
          <w:sz w:val="30"/>
          <w:szCs w:val="30"/>
          <w:highlight w:val="none"/>
        </w:rPr>
        <w:t>四、《支出决算表》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_Toc8617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5B1ED0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"_Toc12763" </w:instrText>
      </w:r>
      <w:r>
        <w:fldChar w:fldCharType="separate"/>
      </w:r>
      <w:r>
        <w:rPr>
          <w:rFonts w:hint="eastAsia" w:ascii="仿宋_GB2312" w:hAnsi="仿宋_GB2312" w:eastAsia="仿宋_GB2312" w:cs="仿宋_GB2312"/>
          <w:sz w:val="30"/>
          <w:szCs w:val="30"/>
          <w:highlight w:val="none"/>
        </w:rPr>
        <w:t>五、《财政拨款收入支出决算总表》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_Toc12763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C6C4D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"_Toc24693" </w:instrText>
      </w:r>
      <w:r>
        <w:fldChar w:fldCharType="separate"/>
      </w:r>
      <w:r>
        <w:rPr>
          <w:rFonts w:hint="eastAsia" w:ascii="仿宋_GB2312" w:hAnsi="仿宋_GB2312" w:eastAsia="仿宋_GB2312" w:cs="仿宋_GB2312"/>
          <w:sz w:val="30"/>
          <w:szCs w:val="30"/>
          <w:highlight w:val="none"/>
        </w:rPr>
        <w:t>六、《一般公共预算财政拨款支出决算表》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_Toc24693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C8D7AA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"_Toc13125" </w:instrText>
      </w:r>
      <w:r>
        <w:fldChar w:fldCharType="separate"/>
      </w:r>
      <w:r>
        <w:rPr>
          <w:rFonts w:hint="eastAsia" w:ascii="仿宋_GB2312" w:hAnsi="仿宋_GB2312" w:eastAsia="仿宋_GB2312" w:cs="仿宋_GB2312"/>
          <w:sz w:val="30"/>
          <w:szCs w:val="30"/>
          <w:highlight w:val="none"/>
        </w:rPr>
        <w:t>七、《一般公共预算财政拨款基本支出决算表》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_Toc13125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22271CE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"_Toc27248"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、《政府性基金预算财政拨款收入支出决算表》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_Toc27248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ECC3FF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"_Toc5066"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、《国有资本经营预算财政拨款收入支出决算表》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_Toc5066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C5F80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"_Toc21014" </w:instrText>
      </w:r>
      <w:r>
        <w:fldChar w:fldCharType="separate"/>
      </w:r>
      <w:r>
        <w:rPr>
          <w:rFonts w:hint="eastAsia" w:ascii="仿宋_GB2312" w:hAnsi="仿宋_GB2312" w:eastAsia="仿宋_GB2312" w:cs="仿宋_GB2312"/>
          <w:sz w:val="30"/>
          <w:szCs w:val="30"/>
          <w:highlight w:val="none"/>
          <w:lang w:eastAsia="zh-CN"/>
        </w:rPr>
        <w:t>十</w:t>
      </w:r>
      <w:r>
        <w:rPr>
          <w:rFonts w:hint="eastAsia" w:ascii="仿宋_GB2312" w:hAnsi="仿宋_GB2312" w:eastAsia="仿宋_GB2312" w:cs="仿宋_GB2312"/>
          <w:sz w:val="30"/>
          <w:szCs w:val="30"/>
          <w:highlight w:val="none"/>
        </w:rPr>
        <w:t>、《财政拨款“三公”经费支出决算表》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_Toc21014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17DD5B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"_Toc13144"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、《项目支出决算表》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_Toc13144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A43F59">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"_Toc6548" </w:instrText>
      </w:r>
      <w:r>
        <w:fldChar w:fldCharType="separate"/>
      </w:r>
      <w:r>
        <w:rPr>
          <w:rFonts w:hint="eastAsia" w:ascii="方正小标宋简体" w:hAnsi="方正小标宋简体" w:eastAsia="方正小标宋简体" w:cs="方正小标宋简体"/>
          <w:b w:val="0"/>
          <w:bCs w:val="0"/>
          <w:sz w:val="30"/>
          <w:szCs w:val="30"/>
          <w:highlight w:val="none"/>
        </w:rPr>
        <w:t xml:space="preserve">第三部分  </w:t>
      </w:r>
      <w:r>
        <w:rPr>
          <w:rFonts w:hint="eastAsia" w:ascii="方正小标宋简体" w:hAnsi="方正小标宋简体" w:eastAsia="方正小标宋简体" w:cs="方正小标宋简体"/>
          <w:b w:val="0"/>
          <w:bCs w:val="0"/>
          <w:sz w:val="30"/>
          <w:szCs w:val="30"/>
          <w:highlight w:val="none"/>
          <w:lang w:eastAsia="zh-CN"/>
        </w:rPr>
        <w:t>202</w:t>
      </w:r>
      <w:r>
        <w:rPr>
          <w:rFonts w:hint="eastAsia" w:ascii="方正小标宋简体" w:hAnsi="方正小标宋简体" w:eastAsia="方正小标宋简体" w:cs="方正小标宋简体"/>
          <w:b w:val="0"/>
          <w:bCs w:val="0"/>
          <w:sz w:val="30"/>
          <w:szCs w:val="30"/>
          <w:highlight w:val="none"/>
          <w:lang w:val="en-US" w:eastAsia="zh-CN"/>
        </w:rPr>
        <w:t>3</w:t>
      </w:r>
      <w:r>
        <w:rPr>
          <w:rFonts w:hint="eastAsia" w:ascii="方正小标宋简体" w:hAnsi="方正小标宋简体" w:eastAsia="方正小标宋简体" w:cs="方正小标宋简体"/>
          <w:b w:val="0"/>
          <w:bCs w:val="0"/>
          <w:sz w:val="30"/>
          <w:szCs w:val="30"/>
          <w:highlight w:val="none"/>
        </w:rPr>
        <w:t>年度部门决算情况说明</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_Toc6548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4</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665115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"_Toc28044" </w:instrText>
      </w:r>
      <w:r>
        <w:fldChar w:fldCharType="separate"/>
      </w:r>
      <w:r>
        <w:rPr>
          <w:rFonts w:hint="eastAsia" w:ascii="仿宋_GB2312" w:hAnsi="仿宋_GB2312" w:eastAsia="仿宋_GB2312" w:cs="仿宋_GB2312"/>
          <w:sz w:val="30"/>
          <w:szCs w:val="30"/>
          <w:highlight w:val="none"/>
        </w:rPr>
        <w:t>一、收入支出决算总体情况说明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_Toc28044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3EF27B3">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"_Toc12176" </w:instrText>
      </w:r>
      <w:r>
        <w:fldChar w:fldCharType="separate"/>
      </w:r>
      <w:r>
        <w:rPr>
          <w:rFonts w:hint="eastAsia" w:ascii="仿宋_GB2312" w:hAnsi="仿宋_GB2312" w:eastAsia="仿宋_GB2312" w:cs="仿宋_GB2312"/>
          <w:sz w:val="30"/>
          <w:szCs w:val="30"/>
          <w:highlight w:val="none"/>
        </w:rPr>
        <w:t>二、收入决算情况说明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_Toc12176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7B1F54F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"_Toc31212" </w:instrText>
      </w:r>
      <w:r>
        <w:fldChar w:fldCharType="separate"/>
      </w:r>
      <w:r>
        <w:rPr>
          <w:rFonts w:hint="eastAsia" w:ascii="仿宋_GB2312" w:hAnsi="仿宋_GB2312" w:eastAsia="仿宋_GB2312" w:cs="仿宋_GB2312"/>
          <w:sz w:val="30"/>
          <w:szCs w:val="30"/>
          <w:highlight w:val="none"/>
        </w:rPr>
        <w:t>三、支出决算情况说明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_Toc31212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8C2ECD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"_Toc19211" </w:instrText>
      </w:r>
      <w:r>
        <w:fldChar w:fldCharType="separate"/>
      </w:r>
      <w:r>
        <w:rPr>
          <w:rFonts w:hint="eastAsia" w:ascii="仿宋_GB2312" w:hAnsi="仿宋_GB2312" w:eastAsia="仿宋_GB2312" w:cs="仿宋_GB2312"/>
          <w:sz w:val="30"/>
          <w:szCs w:val="30"/>
          <w:highlight w:val="none"/>
        </w:rPr>
        <w:t>四、财政拨款收支决算总体情况说明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_Toc19211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5005F8A0">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"_Toc25286" </w:instrText>
      </w:r>
      <w:r>
        <w:fldChar w:fldCharType="separate"/>
      </w:r>
      <w:r>
        <w:rPr>
          <w:rFonts w:hint="eastAsia" w:ascii="仿宋_GB2312" w:hAnsi="仿宋_GB2312" w:eastAsia="仿宋_GB2312" w:cs="仿宋_GB2312"/>
          <w:sz w:val="30"/>
          <w:szCs w:val="30"/>
          <w:highlight w:val="none"/>
        </w:rPr>
        <w:t>五、一般公共预算财政拨款支出决算情况说明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_Toc25286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02A0E14">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"_Toc26433" </w:instrText>
      </w:r>
      <w:r>
        <w:fldChar w:fldCharType="separate"/>
      </w:r>
      <w:r>
        <w:rPr>
          <w:rFonts w:hint="eastAsia" w:ascii="仿宋_GB2312" w:hAnsi="仿宋_GB2312" w:eastAsia="仿宋_GB2312" w:cs="仿宋_GB2312"/>
          <w:sz w:val="30"/>
          <w:szCs w:val="30"/>
          <w:highlight w:val="none"/>
        </w:rPr>
        <w:t>六、一般公共预算财政拨款基本支出决算情况</w:t>
      </w:r>
      <w:r>
        <w:rPr>
          <w:rFonts w:hint="eastAsia" w:ascii="仿宋_GB2312" w:hAnsi="仿宋_GB2312" w:eastAsia="仿宋_GB2312" w:cs="仿宋_GB2312"/>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_Toc26433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B2BEC7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"_Toc28665" </w:instrText>
      </w:r>
      <w:r>
        <w:fldChar w:fldCharType="separate"/>
      </w:r>
      <w:r>
        <w:rPr>
          <w:rFonts w:hint="eastAsia" w:ascii="仿宋_GB2312" w:hAnsi="仿宋_GB2312" w:eastAsia="仿宋_GB2312" w:cs="仿宋_GB2312"/>
          <w:sz w:val="30"/>
          <w:szCs w:val="30"/>
          <w:highlight w:val="none"/>
          <w:lang w:eastAsia="zh-CN"/>
        </w:rPr>
        <w:t>七</w:t>
      </w:r>
      <w:r>
        <w:rPr>
          <w:rFonts w:hint="eastAsia" w:ascii="仿宋_GB2312" w:hAnsi="仿宋_GB2312" w:eastAsia="仿宋_GB2312" w:cs="仿宋_GB2312"/>
          <w:sz w:val="30"/>
          <w:szCs w:val="30"/>
          <w:highlight w:val="none"/>
        </w:rPr>
        <w:t>、政府性基金预算财政拨款收支决算情况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_Toc28665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9D078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"_Toc26562" </w:instrText>
      </w:r>
      <w:r>
        <w:fldChar w:fldCharType="separate"/>
      </w:r>
      <w:r>
        <w:rPr>
          <w:rFonts w:hint="eastAsia" w:ascii="仿宋_GB2312" w:hAnsi="仿宋_GB2312" w:eastAsia="仿宋_GB2312" w:cs="仿宋_GB2312"/>
          <w:sz w:val="30"/>
          <w:szCs w:val="30"/>
          <w:highlight w:val="none"/>
          <w:lang w:eastAsia="zh-CN"/>
        </w:rPr>
        <w:t>八</w:t>
      </w:r>
      <w:r>
        <w:rPr>
          <w:rFonts w:hint="eastAsia" w:ascii="仿宋_GB2312" w:hAnsi="仿宋_GB2312" w:eastAsia="仿宋_GB2312" w:cs="仿宋_GB2312"/>
          <w:sz w:val="30"/>
          <w:szCs w:val="30"/>
          <w:highlight w:val="none"/>
        </w:rPr>
        <w:t>、国有资本经营预算财政拨款收支决算情况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_Toc26562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5B010B8">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"_Toc3397" </w:instrText>
      </w:r>
      <w:r>
        <w:fldChar w:fldCharType="separate"/>
      </w:r>
      <w:r>
        <w:rPr>
          <w:rFonts w:hint="eastAsia" w:ascii="仿宋_GB2312" w:hAnsi="仿宋_GB2312" w:eastAsia="仿宋_GB2312" w:cs="仿宋_GB2312"/>
          <w:sz w:val="30"/>
          <w:szCs w:val="30"/>
          <w:highlight w:val="none"/>
          <w:lang w:eastAsia="zh-CN"/>
        </w:rPr>
        <w:t>九</w:t>
      </w:r>
      <w:r>
        <w:rPr>
          <w:rFonts w:hint="eastAsia" w:ascii="仿宋_GB2312" w:hAnsi="仿宋_GB2312" w:eastAsia="仿宋_GB2312" w:cs="仿宋_GB2312"/>
          <w:sz w:val="30"/>
          <w:szCs w:val="30"/>
          <w:highlight w:val="none"/>
        </w:rPr>
        <w:t>、财政拨款“三公”经费支出决算情况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_Toc3397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07A03F7B">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"_Toc28180" </w:instrText>
      </w:r>
      <w:r>
        <w:fldChar w:fldCharType="separate"/>
      </w:r>
      <w:r>
        <w:rPr>
          <w:rFonts w:hint="eastAsia" w:ascii="仿宋_GB2312" w:hAnsi="仿宋_GB2312" w:eastAsia="仿宋_GB2312" w:cs="仿宋_GB2312"/>
          <w:sz w:val="30"/>
          <w:szCs w:val="30"/>
          <w:highlight w:val="none"/>
        </w:rPr>
        <w:t>十、机关运行经费支出情况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_Toc28180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3A140E9D">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"_Toc12238"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一</w:t>
      </w:r>
      <w:r>
        <w:rPr>
          <w:rFonts w:hint="eastAsia" w:ascii="仿宋_GB2312" w:hAnsi="仿宋_GB2312" w:eastAsia="仿宋_GB2312" w:cs="仿宋_GB2312"/>
          <w:sz w:val="30"/>
          <w:szCs w:val="30"/>
          <w:highlight w:val="none"/>
        </w:rPr>
        <w:t>、政府采购支出情况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_Toc12238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196E11C">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"_Toc30109" </w:instrText>
      </w:r>
      <w:r>
        <w:fldChar w:fldCharType="separate"/>
      </w:r>
      <w:r>
        <w:rPr>
          <w:rFonts w:hint="eastAsia" w:ascii="仿宋_GB2312" w:hAnsi="仿宋_GB2312" w:eastAsia="仿宋_GB2312" w:cs="仿宋_GB2312"/>
          <w:sz w:val="30"/>
          <w:szCs w:val="30"/>
          <w:highlight w:val="none"/>
        </w:rPr>
        <w:t>十</w:t>
      </w:r>
      <w:r>
        <w:rPr>
          <w:rFonts w:hint="eastAsia" w:ascii="仿宋_GB2312" w:hAnsi="仿宋_GB2312" w:eastAsia="仿宋_GB2312" w:cs="仿宋_GB2312"/>
          <w:sz w:val="30"/>
          <w:szCs w:val="30"/>
          <w:highlight w:val="none"/>
          <w:lang w:eastAsia="zh-CN"/>
        </w:rPr>
        <w:t>二</w:t>
      </w:r>
      <w:r>
        <w:rPr>
          <w:rFonts w:hint="eastAsia" w:ascii="仿宋_GB2312" w:hAnsi="仿宋_GB2312" w:eastAsia="仿宋_GB2312" w:cs="仿宋_GB2312"/>
          <w:sz w:val="30"/>
          <w:szCs w:val="30"/>
          <w:highlight w:val="none"/>
        </w:rPr>
        <w:t>、国有资产占有使用情况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_Toc30109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6681121">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"_Toc7408" </w:instrText>
      </w:r>
      <w:r>
        <w:fldChar w:fldCharType="separate"/>
      </w:r>
      <w:r>
        <w:rPr>
          <w:rFonts w:hint="eastAsia" w:ascii="仿宋_GB2312" w:hAnsi="仿宋_GB2312" w:eastAsia="仿宋_GB2312" w:cs="仿宋_GB2312"/>
          <w:bCs w:val="0"/>
          <w:sz w:val="30"/>
          <w:szCs w:val="30"/>
        </w:rPr>
        <w:t xml:space="preserve">十三、 </w:t>
      </w:r>
      <w:r>
        <w:rPr>
          <w:rFonts w:hint="eastAsia" w:ascii="仿宋_GB2312" w:hAnsi="仿宋_GB2312" w:eastAsia="仿宋_GB2312" w:cs="仿宋_GB2312"/>
          <w:bCs w:val="0"/>
          <w:sz w:val="30"/>
          <w:szCs w:val="30"/>
          <w:highlight w:val="none"/>
        </w:rPr>
        <w:t>预算绩效情况说明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_Toc7408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163A91FA">
      <w:pPr>
        <w:pStyle w:val="10"/>
        <w:pageBreakBefore w:val="0"/>
        <w:tabs>
          <w:tab w:val="right" w:leader="dot" w:pos="8306"/>
        </w:tabs>
        <w:kinsoku/>
        <w:wordWrap/>
        <w:overflowPunct/>
        <w:topLinePunct w:val="0"/>
        <w:autoSpaceDE/>
        <w:autoSpaceDN/>
        <w:bidi w:val="0"/>
        <w:snapToGrid/>
        <w:spacing w:after="0"/>
        <w:rPr>
          <w:rFonts w:hint="eastAsia" w:ascii="仿宋_GB2312" w:hAnsi="仿宋_GB2312" w:eastAsia="仿宋_GB2312" w:cs="仿宋_GB2312"/>
          <w:sz w:val="30"/>
          <w:szCs w:val="30"/>
        </w:rPr>
      </w:pPr>
      <w:r>
        <w:fldChar w:fldCharType="begin"/>
      </w:r>
      <w:r>
        <w:instrText xml:space="preserve"> HYPERLINK \l "_Toc12198" </w:instrText>
      </w:r>
      <w:r>
        <w:fldChar w:fldCharType="separate"/>
      </w:r>
      <w:r>
        <w:rPr>
          <w:rFonts w:hint="eastAsia" w:ascii="仿宋_GB2312" w:hAnsi="仿宋_GB2312" w:eastAsia="仿宋_GB2312" w:cs="仿宋_GB2312"/>
          <w:bCs w:val="0"/>
          <w:sz w:val="30"/>
          <w:szCs w:val="30"/>
        </w:rPr>
        <w:t xml:space="preserve">十四、 </w:t>
      </w:r>
      <w:r>
        <w:rPr>
          <w:rFonts w:hint="eastAsia" w:ascii="仿宋_GB2312" w:hAnsi="仿宋_GB2312" w:eastAsia="仿宋_GB2312" w:cs="仿宋_GB2312"/>
          <w:bCs w:val="0"/>
          <w:sz w:val="30"/>
          <w:szCs w:val="30"/>
          <w:highlight w:val="none"/>
        </w:rPr>
        <w:t>教育、医疗卫生、社会保障和就业、住房保障、涉农补贴等民生支出情况</w:t>
      </w:r>
      <w:r>
        <w:rPr>
          <w:rFonts w:hint="eastAsia" w:ascii="仿宋_GB2312" w:hAnsi="仿宋_GB2312" w:eastAsia="仿宋_GB2312" w:cs="仿宋_GB2312"/>
          <w:bCs w:val="0"/>
          <w:sz w:val="30"/>
          <w:szCs w:val="30"/>
          <w:highlight w:val="none"/>
          <w:lang w:eastAsia="zh-CN"/>
        </w:rPr>
        <w:t>说明</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_Toc12198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14:paraId="4A8E55AA">
      <w:pPr>
        <w:pStyle w:val="9"/>
        <w:pageBreakBefore w:val="0"/>
        <w:tabs>
          <w:tab w:val="right" w:leader="dot" w:pos="8306"/>
          <w:tab w:val="clear" w:pos="8296"/>
        </w:tabs>
        <w:kinsoku/>
        <w:wordWrap/>
        <w:overflowPunct/>
        <w:topLinePunct w:val="0"/>
        <w:autoSpaceDE/>
        <w:autoSpaceDN/>
        <w:bidi w:val="0"/>
        <w:snapToGrid/>
        <w:spacing w:after="0"/>
        <w:rPr>
          <w:rFonts w:hint="eastAsia" w:ascii="方正小标宋简体" w:hAnsi="方正小标宋简体" w:eastAsia="方正小标宋简体" w:cs="方正小标宋简体"/>
          <w:b w:val="0"/>
          <w:bCs w:val="0"/>
          <w:sz w:val="30"/>
          <w:szCs w:val="30"/>
          <w:highlight w:val="none"/>
        </w:rPr>
      </w:pPr>
      <w:r>
        <w:fldChar w:fldCharType="begin"/>
      </w:r>
      <w:r>
        <w:instrText xml:space="preserve"> HYPERLINK \l "_Toc17573" </w:instrText>
      </w:r>
      <w:r>
        <w:fldChar w:fldCharType="separate"/>
      </w:r>
      <w:r>
        <w:rPr>
          <w:rFonts w:hint="eastAsia" w:ascii="方正小标宋简体" w:hAnsi="方正小标宋简体" w:eastAsia="方正小标宋简体" w:cs="方正小标宋简体"/>
          <w:b w:val="0"/>
          <w:bCs w:val="0"/>
          <w:sz w:val="30"/>
          <w:szCs w:val="30"/>
          <w:highlight w:val="none"/>
        </w:rPr>
        <w:t>第四部分  名词解释</w:t>
      </w:r>
      <w:r>
        <w:rPr>
          <w:rFonts w:hint="eastAsia" w:ascii="方正小标宋简体" w:hAnsi="方正小标宋简体" w:eastAsia="方正小标宋简体" w:cs="方正小标宋简体"/>
          <w:b w:val="0"/>
          <w:bCs w:val="0"/>
          <w:sz w:val="30"/>
          <w:szCs w:val="30"/>
          <w:highlight w:val="none"/>
        </w:rPr>
        <w:tab/>
      </w:r>
      <w:r>
        <w:rPr>
          <w:rFonts w:hint="eastAsia" w:ascii="方正小标宋简体" w:hAnsi="方正小标宋简体" w:eastAsia="方正小标宋简体" w:cs="方正小标宋简体"/>
          <w:b w:val="0"/>
          <w:bCs w:val="0"/>
          <w:sz w:val="30"/>
          <w:szCs w:val="30"/>
          <w:highlight w:val="none"/>
        </w:rPr>
        <w:fldChar w:fldCharType="begin"/>
      </w:r>
      <w:r>
        <w:rPr>
          <w:rFonts w:hint="eastAsia" w:ascii="方正小标宋简体" w:hAnsi="方正小标宋简体" w:eastAsia="方正小标宋简体" w:cs="方正小标宋简体"/>
          <w:b w:val="0"/>
          <w:bCs w:val="0"/>
          <w:sz w:val="30"/>
          <w:szCs w:val="30"/>
          <w:highlight w:val="none"/>
        </w:rPr>
        <w:instrText xml:space="preserve"> PAGEREF _Toc17573 </w:instrText>
      </w:r>
      <w:r>
        <w:rPr>
          <w:rFonts w:hint="eastAsia" w:ascii="方正小标宋简体" w:hAnsi="方正小标宋简体" w:eastAsia="方正小标宋简体" w:cs="方正小标宋简体"/>
          <w:b w:val="0"/>
          <w:bCs w:val="0"/>
          <w:sz w:val="30"/>
          <w:szCs w:val="30"/>
          <w:highlight w:val="none"/>
        </w:rPr>
        <w:fldChar w:fldCharType="separate"/>
      </w:r>
      <w:r>
        <w:rPr>
          <w:rFonts w:hint="eastAsia" w:ascii="方正小标宋简体" w:hAnsi="方正小标宋简体" w:eastAsia="方正小标宋简体" w:cs="方正小标宋简体"/>
          <w:b w:val="0"/>
          <w:bCs w:val="0"/>
          <w:sz w:val="30"/>
          <w:szCs w:val="30"/>
          <w:highlight w:val="none"/>
        </w:rPr>
        <w:t>12</w:t>
      </w:r>
      <w:r>
        <w:rPr>
          <w:rFonts w:hint="eastAsia" w:ascii="方正小标宋简体" w:hAnsi="方正小标宋简体" w:eastAsia="方正小标宋简体" w:cs="方正小标宋简体"/>
          <w:b w:val="0"/>
          <w:bCs w:val="0"/>
          <w:sz w:val="30"/>
          <w:szCs w:val="30"/>
          <w:highlight w:val="none"/>
        </w:rPr>
        <w:fldChar w:fldCharType="end"/>
      </w:r>
      <w:r>
        <w:rPr>
          <w:rFonts w:hint="eastAsia" w:ascii="方正小标宋简体" w:hAnsi="方正小标宋简体" w:eastAsia="方正小标宋简体" w:cs="方正小标宋简体"/>
          <w:b w:val="0"/>
          <w:bCs w:val="0"/>
          <w:sz w:val="30"/>
          <w:szCs w:val="30"/>
          <w:highlight w:val="none"/>
        </w:rPr>
        <w:fldChar w:fldCharType="end"/>
      </w:r>
    </w:p>
    <w:p w14:paraId="675F5644">
      <w:pPr>
        <w:pStyle w:val="10"/>
        <w:pageBreakBefore w:val="0"/>
        <w:tabs>
          <w:tab w:val="right" w:leader="dot" w:pos="8296"/>
        </w:tabs>
        <w:kinsoku/>
        <w:wordWrap/>
        <w:overflowPunct/>
        <w:topLinePunct w:val="0"/>
        <w:autoSpaceDE/>
        <w:autoSpaceDN/>
        <w:bidi w:val="0"/>
        <w:snapToGrid/>
        <w:spacing w:after="0" w:line="600" w:lineRule="exact"/>
        <w:rPr>
          <w:rFonts w:ascii="Times New Roman" w:hAnsi="Times New Roman" w:eastAsia="仿宋_GB2312"/>
          <w:sz w:val="32"/>
          <w:szCs w:val="32"/>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0" w:name="_Toc7076"/>
      <w:r>
        <w:rPr>
          <w:rFonts w:hint="eastAsia" w:ascii="方正小标宋简体" w:hAnsi="方正小标宋简体" w:eastAsia="方正小标宋简体" w:cs="方正小标宋简体"/>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1" w:name="_Toc13809"/>
      <w:r>
        <w:rPr>
          <w:rFonts w:hint="eastAsia" w:ascii="黑体" w:hAnsi="黑体" w:eastAsia="黑体"/>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hint="default"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本单位预防干预各种疾病控制。其主要职责：疾病预防控制、免疫规划、突发公共卫生事件、职业卫生、水质监测等。</w:t>
      </w:r>
    </w:p>
    <w:p w14:paraId="643966F6">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bCs w:val="0"/>
          <w:sz w:val="30"/>
          <w:szCs w:val="30"/>
          <w:highlight w:val="none"/>
        </w:rPr>
      </w:pPr>
      <w:bookmarkStart w:id="2" w:name="_Toc20426"/>
      <w:r>
        <w:rPr>
          <w:rFonts w:hint="eastAsia" w:ascii="黑体" w:hAnsi="黑体" w:eastAsia="黑体"/>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Times New Roman" w:eastAsia="仿宋_GB2312" w:cs="Times New Roman"/>
          <w:sz w:val="30"/>
          <w:szCs w:val="30"/>
          <w:highlight w:val="none"/>
          <w:lang w:val="en-US" w:eastAsia="zh-CN"/>
        </w:rPr>
        <w:t>天津市津南区疾病预防控制中心内设15个职能</w:t>
      </w:r>
      <w:r>
        <w:rPr>
          <w:rFonts w:hint="eastAsia" w:ascii="仿宋_GB2312" w:eastAsia="仿宋_GB2312" w:cs="Times New Roman"/>
          <w:sz w:val="30"/>
          <w:szCs w:val="30"/>
          <w:highlight w:val="none"/>
          <w:lang w:val="en-US" w:eastAsia="zh-CN"/>
        </w:rPr>
        <w:t>科</w:t>
      </w:r>
      <w:r>
        <w:rPr>
          <w:rFonts w:hint="eastAsia" w:ascii="仿宋_GB2312" w:hAnsi="Times New Roman" w:eastAsia="仿宋_GB2312" w:cs="Times New Roman"/>
          <w:sz w:val="30"/>
          <w:szCs w:val="30"/>
          <w:highlight w:val="none"/>
          <w:lang w:val="en-US" w:eastAsia="zh-CN"/>
        </w:rPr>
        <w:t xml:space="preserve">室。 </w:t>
      </w:r>
      <w:r>
        <w:rPr>
          <w:rFonts w:eastAsia="楷体_GB2312"/>
          <w:b/>
          <w:sz w:val="30"/>
          <w:szCs w:val="30"/>
          <w:highlight w:val="none"/>
        </w:rPr>
        <w:br w:type="page"/>
      </w:r>
    </w:p>
    <w:p w14:paraId="671C2795">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 w:name="_Toc15731"/>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二</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4" w:name="_Toc8843"/>
      <w:r>
        <w:rPr>
          <w:rFonts w:ascii="黑体" w:hAnsi="黑体" w:eastAsia="黑体"/>
          <w:b w:val="0"/>
          <w:sz w:val="30"/>
          <w:szCs w:val="30"/>
          <w:highlight w:val="none"/>
        </w:rPr>
        <w:t>一</w:t>
      </w:r>
      <w:r>
        <w:rPr>
          <w:rFonts w:hint="eastAsia" w:ascii="黑体" w:hAnsi="黑体" w:eastAsia="黑体"/>
          <w:b w:val="0"/>
          <w:sz w:val="30"/>
          <w:szCs w:val="30"/>
          <w:highlight w:val="none"/>
        </w:rPr>
        <w:t>、</w:t>
      </w:r>
      <w:r>
        <w:rPr>
          <w:rFonts w:ascii="黑体" w:hAnsi="黑体" w:eastAsia="黑体"/>
          <w:b w:val="0"/>
          <w:sz w:val="30"/>
          <w:szCs w:val="30"/>
          <w:highlight w:val="none"/>
        </w:rPr>
        <w:t>《</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4"/>
    </w:p>
    <w:p w14:paraId="464FD5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5" w:name="_Toc2552"/>
      <w:r>
        <w:rPr>
          <w:rFonts w:ascii="黑体" w:hAnsi="黑体" w:eastAsia="黑体"/>
          <w:b w:val="0"/>
          <w:sz w:val="30"/>
          <w:szCs w:val="30"/>
          <w:highlight w:val="none"/>
        </w:rPr>
        <w:t>二、《收入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（按功能分类列示）</w:t>
      </w:r>
      <w:r>
        <w:rPr>
          <w:rFonts w:ascii="黑体" w:hAnsi="黑体" w:eastAsia="黑体"/>
          <w:b w:val="0"/>
          <w:sz w:val="30"/>
          <w:szCs w:val="30"/>
          <w:highlight w:val="none"/>
        </w:rPr>
        <w:t>》</w:t>
      </w:r>
      <w:bookmarkEnd w:id="5"/>
    </w:p>
    <w:p w14:paraId="426CA08B">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6" w:name="_Toc27841"/>
      <w:r>
        <w:rPr>
          <w:rFonts w:hint="eastAsia" w:ascii="黑体" w:hAnsi="黑体" w:eastAsia="黑体"/>
          <w:b w:val="0"/>
          <w:sz w:val="30"/>
          <w:szCs w:val="30"/>
          <w:highlight w:val="none"/>
        </w:rPr>
        <w:t>三</w:t>
      </w:r>
      <w:r>
        <w:rPr>
          <w:rFonts w:ascii="黑体" w:hAnsi="黑体" w:eastAsia="黑体"/>
          <w:b w:val="0"/>
          <w:sz w:val="30"/>
          <w:szCs w:val="30"/>
          <w:highlight w:val="none"/>
        </w:rPr>
        <w:t>、《收入</w:t>
      </w:r>
      <w:r>
        <w:rPr>
          <w:rFonts w:hint="eastAsia" w:ascii="黑体" w:hAnsi="黑体" w:eastAsia="黑体"/>
          <w:b w:val="0"/>
          <w:sz w:val="30"/>
          <w:szCs w:val="30"/>
          <w:highlight w:val="none"/>
        </w:rPr>
        <w:t>决算</w:t>
      </w:r>
      <w:r>
        <w:rPr>
          <w:rFonts w:ascii="黑体" w:hAnsi="黑体" w:eastAsia="黑体"/>
          <w:b w:val="0"/>
          <w:sz w:val="30"/>
          <w:szCs w:val="30"/>
          <w:highlight w:val="none"/>
        </w:rPr>
        <w:t>表</w:t>
      </w:r>
      <w:r>
        <w:rPr>
          <w:rFonts w:hint="eastAsia" w:ascii="黑体" w:hAnsi="黑体" w:eastAsia="黑体"/>
          <w:b w:val="0"/>
          <w:sz w:val="30"/>
          <w:szCs w:val="30"/>
          <w:highlight w:val="none"/>
        </w:rPr>
        <w:t>（按单位列示）</w:t>
      </w:r>
      <w:r>
        <w:rPr>
          <w:rFonts w:ascii="黑体" w:hAnsi="黑体" w:eastAsia="黑体"/>
          <w:b w:val="0"/>
          <w:sz w:val="30"/>
          <w:szCs w:val="30"/>
          <w:highlight w:val="none"/>
        </w:rPr>
        <w:t>》</w:t>
      </w:r>
      <w:bookmarkEnd w:id="6"/>
    </w:p>
    <w:p w14:paraId="475FBA8F">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7" w:name="_Toc8617"/>
      <w:r>
        <w:rPr>
          <w:rFonts w:hint="eastAsia" w:ascii="黑体" w:hAnsi="黑体" w:eastAsia="黑体"/>
          <w:b w:val="0"/>
          <w:sz w:val="30"/>
          <w:szCs w:val="30"/>
          <w:highlight w:val="none"/>
        </w:rPr>
        <w:t>四、</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7"/>
    </w:p>
    <w:p w14:paraId="270015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8" w:name="_Toc12763"/>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决算总</w:t>
      </w:r>
      <w:r>
        <w:rPr>
          <w:rFonts w:ascii="黑体" w:hAnsi="黑体" w:eastAsia="黑体"/>
          <w:b w:val="0"/>
          <w:sz w:val="30"/>
          <w:szCs w:val="30"/>
          <w:highlight w:val="none"/>
        </w:rPr>
        <w:t>表》</w:t>
      </w:r>
      <w:bookmarkEnd w:id="8"/>
    </w:p>
    <w:p w14:paraId="0EC24594">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9" w:name="_Toc24693"/>
      <w:r>
        <w:rPr>
          <w:rFonts w:ascii="黑体" w:hAnsi="黑体" w:eastAsia="黑体"/>
          <w:b w:val="0"/>
          <w:sz w:val="30"/>
          <w:szCs w:val="30"/>
          <w:highlight w:val="none"/>
        </w:rPr>
        <w:t>六</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9"/>
    </w:p>
    <w:p w14:paraId="4AD9931C">
      <w:pPr>
        <w:pStyle w:val="3"/>
        <w:pageBreakBefore w:val="0"/>
        <w:kinsoku/>
        <w:wordWrap/>
        <w:overflowPunct/>
        <w:topLinePunct w:val="0"/>
        <w:autoSpaceDE/>
        <w:autoSpaceDN/>
        <w:bidi w:val="0"/>
        <w:snapToGrid/>
        <w:spacing w:before="0" w:after="0" w:line="800" w:lineRule="exact"/>
        <w:ind w:firstLine="600" w:firstLineChars="200"/>
        <w:rPr>
          <w:rFonts w:ascii="黑体" w:hAnsi="黑体" w:eastAsia="黑体"/>
          <w:b w:val="0"/>
          <w:sz w:val="30"/>
          <w:szCs w:val="30"/>
          <w:highlight w:val="none"/>
        </w:rPr>
      </w:pPr>
      <w:bookmarkStart w:id="10" w:name="_Toc13125"/>
      <w:r>
        <w:rPr>
          <w:rFonts w:ascii="黑体" w:hAnsi="黑体" w:eastAsia="黑体"/>
          <w:b w:val="0"/>
          <w:sz w:val="30"/>
          <w:szCs w:val="30"/>
          <w:highlight w:val="none"/>
        </w:rPr>
        <w:t>七</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《一般公共预算财政拨款基本支出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0"/>
    </w:p>
    <w:p w14:paraId="7B7351B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1" w:name="_Toc27248"/>
      <w:r>
        <w:rPr>
          <w:rFonts w:hint="eastAsia" w:ascii="黑体" w:hAnsi="黑体" w:eastAsia="黑体"/>
          <w:b w:val="0"/>
          <w:sz w:val="30"/>
          <w:szCs w:val="30"/>
          <w:highlight w:val="none"/>
          <w:lang w:eastAsia="zh-CN"/>
        </w:rPr>
        <w:t>八</w:t>
      </w:r>
      <w:r>
        <w:rPr>
          <w:rFonts w:hint="eastAsia" w:ascii="黑体" w:hAnsi="黑体" w:eastAsia="黑体"/>
          <w:b w:val="0"/>
          <w:sz w:val="30"/>
          <w:szCs w:val="30"/>
          <w:highlight w:val="none"/>
        </w:rPr>
        <w:t>、</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收入</w:t>
      </w:r>
      <w:r>
        <w:rPr>
          <w:rFonts w:ascii="黑体" w:hAnsi="黑体" w:eastAsia="黑体"/>
          <w:b w:val="0"/>
          <w:sz w:val="30"/>
          <w:szCs w:val="30"/>
          <w:highlight w:val="none"/>
        </w:rPr>
        <w:t>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1"/>
    </w:p>
    <w:p w14:paraId="583F435C">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2" w:name="_Toc5066"/>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《国有资本经营预算财政拨款</w:t>
      </w:r>
      <w:r>
        <w:rPr>
          <w:rFonts w:hint="eastAsia" w:ascii="黑体" w:hAnsi="黑体" w:eastAsia="黑体"/>
          <w:b w:val="0"/>
          <w:sz w:val="30"/>
          <w:szCs w:val="30"/>
          <w:highlight w:val="none"/>
        </w:rPr>
        <w:t>收入支出决算</w:t>
      </w:r>
      <w:r>
        <w:rPr>
          <w:rFonts w:ascii="黑体" w:hAnsi="黑体" w:eastAsia="黑体"/>
          <w:b w:val="0"/>
          <w:sz w:val="30"/>
          <w:szCs w:val="30"/>
          <w:highlight w:val="none"/>
        </w:rPr>
        <w:t>表》</w:t>
      </w:r>
      <w:bookmarkEnd w:id="12"/>
    </w:p>
    <w:p w14:paraId="3B9CB3D2">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3" w:name="_Toc21014"/>
      <w:r>
        <w:rPr>
          <w:rFonts w:hint="eastAsia" w:ascii="黑体" w:hAnsi="黑体" w:eastAsia="黑体"/>
          <w:b w:val="0"/>
          <w:sz w:val="30"/>
          <w:szCs w:val="30"/>
          <w:highlight w:val="none"/>
          <w:lang w:eastAsia="zh-CN"/>
        </w:rPr>
        <w:t>十</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《财政拨款“三公”经费支出</w:t>
      </w:r>
      <w:r>
        <w:rPr>
          <w:rFonts w:hint="eastAsia" w:ascii="黑体" w:hAnsi="黑体" w:eastAsia="黑体"/>
          <w:b w:val="0"/>
          <w:sz w:val="30"/>
          <w:szCs w:val="30"/>
          <w:highlight w:val="none"/>
        </w:rPr>
        <w:t>决算</w:t>
      </w:r>
      <w:r>
        <w:rPr>
          <w:rFonts w:ascii="黑体" w:hAnsi="黑体" w:eastAsia="黑体"/>
          <w:b w:val="0"/>
          <w:sz w:val="30"/>
          <w:szCs w:val="30"/>
          <w:highlight w:val="none"/>
        </w:rPr>
        <w:t>表》</w:t>
      </w:r>
      <w:bookmarkEnd w:id="13"/>
    </w:p>
    <w:p w14:paraId="5E3E5525">
      <w:pPr>
        <w:pStyle w:val="3"/>
        <w:pageBreakBefore w:val="0"/>
        <w:kinsoku/>
        <w:wordWrap/>
        <w:overflowPunct/>
        <w:topLinePunct w:val="0"/>
        <w:autoSpaceDE/>
        <w:autoSpaceDN/>
        <w:bidi w:val="0"/>
        <w:snapToGrid/>
        <w:spacing w:before="0" w:after="0" w:line="800" w:lineRule="exact"/>
        <w:ind w:firstLine="600" w:firstLineChars="200"/>
        <w:rPr>
          <w:rFonts w:hint="eastAsia" w:ascii="黑体" w:hAnsi="黑体" w:eastAsia="黑体"/>
          <w:b w:val="0"/>
          <w:sz w:val="30"/>
          <w:szCs w:val="30"/>
          <w:highlight w:val="none"/>
        </w:rPr>
      </w:pPr>
      <w:bookmarkStart w:id="14" w:name="_Toc13144"/>
      <w:r>
        <w:rPr>
          <w:rFonts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hint="eastAsia" w:ascii="黑体" w:hAnsi="黑体" w:eastAsia="黑体"/>
          <w:b w:val="0"/>
          <w:bCs w:val="0"/>
          <w:sz w:val="30"/>
          <w:szCs w:val="30"/>
          <w:highlight w:val="none"/>
        </w:rPr>
      </w:pPr>
      <w:r>
        <w:rPr>
          <w:rFonts w:hint="eastAsia" w:eastAsia="楷体"/>
          <w:sz w:val="30"/>
          <w:szCs w:val="30"/>
          <w:highlight w:val="none"/>
        </w:rPr>
        <w:t>注：以上决算公开表均作为附表，附于决算公开说明文档后。</w:t>
      </w:r>
      <w:r>
        <w:rPr>
          <w:rFonts w:hint="eastAsia"/>
          <w:b w:val="0"/>
          <w:bCs w:val="0"/>
          <w:highlight w:val="none"/>
          <w:lang w:val="en-US" w:eastAsia="zh-CN"/>
        </w:rPr>
        <w:t xml:space="preserve">    </w:t>
      </w:r>
      <w:r>
        <w:rPr>
          <w:rFonts w:hint="eastAsia" w:ascii="黑体" w:hAnsi="黑体" w:eastAsia="黑体" w:cs="Times New Roman"/>
          <w:b w:val="0"/>
          <w:bCs/>
          <w:sz w:val="30"/>
          <w:szCs w:val="30"/>
          <w:highlight w:val="none"/>
          <w:lang w:val="en-US" w:eastAsia="zh-CN" w:bidi="ar-SA"/>
        </w:rPr>
        <w:t>十二、关于空表的说明</w:t>
      </w:r>
    </w:p>
    <w:p w14:paraId="4B76F308">
      <w:pPr>
        <w:pageBreakBefore w:val="0"/>
        <w:numPr>
          <w:ilvl w:val="0"/>
          <w:numId w:val="0"/>
        </w:numPr>
        <w:kinsoku/>
        <w:wordWrap/>
        <w:overflowPunct/>
        <w:topLinePunct w:val="0"/>
        <w:autoSpaceDE/>
        <w:autoSpaceDN/>
        <w:bidi w:val="0"/>
        <w:snapToGrid/>
        <w:spacing w:line="600" w:lineRule="exact"/>
        <w:ind w:firstLine="600" w:firstLineChars="200"/>
        <w:jc w:val="both"/>
        <w:rPr>
          <w:rFonts w:hint="default" w:ascii="仿宋_GB2312" w:hAnsi="Times New Roman" w:eastAsia="仿宋_GB2312" w:cs="Times New Roman"/>
          <w:sz w:val="30"/>
          <w:szCs w:val="30"/>
          <w:highlight w:val="none"/>
          <w:lang w:val="en-US" w:eastAsia="zh-CN"/>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Times New Roman" w:eastAsia="仿宋_GB2312" w:cs="Times New Roman"/>
          <w:sz w:val="30"/>
          <w:szCs w:val="30"/>
          <w:highlight w:val="none"/>
          <w:lang w:val="en-US" w:eastAsia="zh-CN"/>
        </w:rPr>
        <w:t>1.天津市津南区疾病预防控制中心2023年度政府性基金预算财政拨款收入支出决算表为空表。</w:t>
      </w:r>
      <w:r>
        <w:rPr>
          <w:rFonts w:hint="eastAsia" w:ascii="仿宋_GB2312" w:hAnsi="Times New Roman" w:eastAsia="仿宋_GB2312" w:cs="Times New Roman"/>
          <w:sz w:val="30"/>
          <w:szCs w:val="30"/>
          <w:highlight w:val="none"/>
          <w:lang w:val="en-US" w:eastAsia="zh-CN"/>
        </w:rPr>
        <w:br w:type="textWrapping"/>
      </w:r>
      <w:r>
        <w:rPr>
          <w:rFonts w:hint="eastAsia" w:ascii="仿宋_GB2312" w:hAnsi="Times New Roman" w:eastAsia="仿宋_GB2312" w:cs="Times New Roman"/>
          <w:sz w:val="30"/>
          <w:szCs w:val="30"/>
          <w:highlight w:val="none"/>
          <w:lang w:val="en-US" w:eastAsia="zh-CN"/>
        </w:rPr>
        <w:t>　　2.天津市津南区疾病预防控制中心2023年度国有资本经营预算财政拨款收入支出决算表为空表。</w:t>
      </w:r>
    </w:p>
    <w:p w14:paraId="2224BE62">
      <w:pPr>
        <w:pageBreakBefore w:val="0"/>
        <w:kinsoku/>
        <w:wordWrap/>
        <w:overflowPunct/>
        <w:topLinePunct w:val="0"/>
        <w:autoSpaceDE/>
        <w:autoSpaceDN/>
        <w:bidi w:val="0"/>
        <w:snapToGrid/>
        <w:spacing w:line="640" w:lineRule="exact"/>
        <w:jc w:val="center"/>
        <w:rPr>
          <w:rFonts w:hint="eastAsia" w:eastAsia="黑体"/>
          <w:sz w:val="30"/>
          <w:szCs w:val="30"/>
          <w:highlight w:val="none"/>
        </w:rPr>
      </w:pPr>
    </w:p>
    <w:p w14:paraId="79BC762B">
      <w:pPr>
        <w:pStyle w:val="2"/>
        <w:pageBreakBefore w:val="0"/>
        <w:kinsoku/>
        <w:wordWrap/>
        <w:overflowPunct/>
        <w:topLinePunct w:val="0"/>
        <w:autoSpaceDE/>
        <w:autoSpaceDN/>
        <w:bidi w:val="0"/>
        <w:snapToGrid/>
        <w:spacing w:before="0" w:after="0" w:line="600" w:lineRule="exact"/>
        <w:jc w:val="center"/>
        <w:rPr>
          <w:rFonts w:ascii="方正小标宋简体" w:hAnsi="方正小标宋简体" w:eastAsia="方正小标宋简体" w:cs="方正小标宋简体"/>
          <w:b w:val="0"/>
          <w:sz w:val="44"/>
          <w:szCs w:val="44"/>
          <w:highlight w:val="none"/>
        </w:rPr>
      </w:pPr>
      <w:bookmarkStart w:id="15" w:name="_Toc6548"/>
      <w:r>
        <w:rPr>
          <w:rFonts w:ascii="方正小标宋简体" w:hAnsi="方正小标宋简体" w:eastAsia="方正小标宋简体" w:cs="方正小标宋简体"/>
          <w:b w:val="0"/>
          <w:sz w:val="44"/>
          <w:szCs w:val="44"/>
          <w:highlight w:val="none"/>
        </w:rPr>
        <w:t>第</w:t>
      </w:r>
      <w:r>
        <w:rPr>
          <w:rFonts w:hint="eastAsia" w:ascii="方正小标宋简体" w:hAnsi="方正小标宋简体" w:eastAsia="方正小标宋简体" w:cs="方正小标宋简体"/>
          <w:b w:val="0"/>
          <w:sz w:val="44"/>
          <w:szCs w:val="44"/>
          <w:highlight w:val="none"/>
        </w:rPr>
        <w:t>三</w:t>
      </w:r>
      <w:r>
        <w:rPr>
          <w:rFonts w:ascii="方正小标宋简体" w:hAnsi="方正小标宋简体" w:eastAsia="方正小标宋简体" w:cs="方正小标宋简体"/>
          <w:b w:val="0"/>
          <w:sz w:val="44"/>
          <w:szCs w:val="44"/>
          <w:highlight w:val="none"/>
        </w:rPr>
        <w:t xml:space="preserve">部分  </w:t>
      </w:r>
      <w:r>
        <w:rPr>
          <w:rFonts w:hint="eastAsia" w:ascii="方正小标宋简体" w:hAnsi="方正小标宋简体" w:eastAsia="方正小标宋简体" w:cs="方正小标宋简体"/>
          <w:b w:val="0"/>
          <w:sz w:val="44"/>
          <w:szCs w:val="44"/>
          <w:highlight w:val="none"/>
          <w:lang w:eastAsia="zh-CN"/>
        </w:rPr>
        <w:t>202</w:t>
      </w:r>
      <w:r>
        <w:rPr>
          <w:rFonts w:hint="eastAsia" w:ascii="方正小标宋简体" w:hAnsi="方正小标宋简体" w:eastAsia="方正小标宋简体" w:cs="方正小标宋简体"/>
          <w:b w:val="0"/>
          <w:sz w:val="44"/>
          <w:szCs w:val="44"/>
          <w:highlight w:val="none"/>
          <w:lang w:val="en-US" w:eastAsia="zh-CN"/>
        </w:rPr>
        <w:t>3</w:t>
      </w:r>
      <w:r>
        <w:rPr>
          <w:rFonts w:ascii="方正小标宋简体" w:hAnsi="方正小标宋简体" w:eastAsia="方正小标宋简体" w:cs="方正小标宋简体"/>
          <w:b w:val="0"/>
          <w:sz w:val="44"/>
          <w:szCs w:val="44"/>
          <w:highlight w:val="none"/>
        </w:rPr>
        <w:t>年度部门决算</w:t>
      </w:r>
      <w:r>
        <w:rPr>
          <w:rFonts w:hint="eastAsia" w:ascii="方正小标宋简体" w:hAnsi="方正小标宋简体" w:eastAsia="方正小标宋简体" w:cs="方正小标宋简体"/>
          <w:b w:val="0"/>
          <w:sz w:val="44"/>
          <w:szCs w:val="44"/>
          <w:highlight w:val="none"/>
        </w:rPr>
        <w:t>情况</w:t>
      </w:r>
      <w:r>
        <w:rPr>
          <w:rFonts w:ascii="方正小标宋简体" w:hAnsi="方正小标宋简体" w:eastAsia="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hint="eastAsia" w:ascii="黑体" w:eastAsia="黑体"/>
          <w:sz w:val="30"/>
          <w:szCs w:val="30"/>
          <w:highlight w:val="none"/>
        </w:rPr>
      </w:pPr>
    </w:p>
    <w:p w14:paraId="033FFF87">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6" w:name="_Toc28044"/>
      <w:r>
        <w:rPr>
          <w:rFonts w:hint="eastAsia" w:ascii="黑体" w:hAnsi="黑体" w:eastAsia="黑体"/>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hint="eastAsia" w:eastAsia="楷体_GB2312"/>
          <w:b/>
          <w:sz w:val="30"/>
          <w:szCs w:val="30"/>
          <w:highlight w:val="none"/>
        </w:rPr>
      </w:pPr>
      <w:r>
        <w:rPr>
          <w:rFonts w:hint="eastAsia" w:eastAsia="仿宋_GB2312"/>
          <w:sz w:val="30"/>
          <w:szCs w:val="30"/>
          <w:highlight w:val="none"/>
        </w:rPr>
        <w:t xml:space="preserve">   </w:t>
      </w:r>
      <w:r>
        <w:rPr>
          <w:rFonts w:hint="eastAsia" w:ascii="Times New Roman" w:hAnsi="Times New Roman" w:eastAsia="仿宋_GB2312" w:cs="Times New Roman"/>
          <w:sz w:val="30"/>
          <w:szCs w:val="30"/>
          <w:highlight w:val="none"/>
        </w:rPr>
        <w:t xml:space="preserve"> </w:t>
      </w:r>
      <w:r>
        <w:rPr>
          <w:rFonts w:hint="eastAsia" w:ascii="仿宋_GB2312" w:hAnsi="仿宋_GB2312" w:eastAsia="仿宋_GB2312" w:cs="仿宋_GB2312"/>
          <w:sz w:val="30"/>
          <w:szCs w:val="30"/>
          <w:highlight w:val="none"/>
          <w:lang w:val="en-US" w:eastAsia="zh-CN"/>
        </w:rPr>
        <w:t>天津市津南区疾病预防控制中心2023年度收入、支出决算总计50,393,843.47元。与2022年度相比，收、支总计各减少22,305,888.35元，下降30.68%，主要原因是本单位2023年度拨付疫情防控经费较2022年度有所减少。</w:t>
      </w:r>
    </w:p>
    <w:p w14:paraId="115E107A">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7" w:name="_Toc12176"/>
      <w:r>
        <w:rPr>
          <w:rFonts w:hint="eastAsia" w:ascii="黑体" w:hAnsi="黑体" w:eastAsia="黑体" w:cs="仿宋_GB2312"/>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疾病预防控制中心2023年度本年收入合计46,885,752.57元。与2022年度相比减少22,014,388.27元，主要原因是本单位2023年度拨付疫情防控经费较2022年度有所减少。其中：一般公共预算财政拨款收入46,077,209.42元，占98.28%；其他收入808,543.15元，占1.72%。</w:t>
      </w:r>
    </w:p>
    <w:p w14:paraId="72BD76E2">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cs="仿宋_GB2312"/>
          <w:b w:val="0"/>
          <w:sz w:val="30"/>
          <w:szCs w:val="30"/>
          <w:highlight w:val="none"/>
        </w:rPr>
      </w:pPr>
      <w:bookmarkStart w:id="18" w:name="_Toc31212"/>
      <w:r>
        <w:rPr>
          <w:rFonts w:hint="eastAsia" w:ascii="黑体" w:hAnsi="黑体" w:eastAsia="黑体" w:cs="仿宋_GB2312"/>
          <w:b w:val="0"/>
          <w:sz w:val="30"/>
          <w:szCs w:val="30"/>
          <w:highlight w:val="none"/>
        </w:rPr>
        <w:t>三、</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决算</w:t>
      </w:r>
      <w:r>
        <w:rPr>
          <w:rFonts w:ascii="黑体" w:hAnsi="黑体" w:eastAsia="黑体" w:cs="仿宋_GB2312"/>
          <w:b w:val="0"/>
          <w:sz w:val="30"/>
          <w:szCs w:val="30"/>
          <w:highlight w:val="none"/>
        </w:rPr>
        <w:t>情况</w:t>
      </w:r>
      <w:r>
        <w:rPr>
          <w:rFonts w:hint="eastAsia" w:ascii="黑体" w:hAnsi="黑体" w:eastAsia="黑体" w:cs="仿宋_GB2312"/>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疾病预防控制中心2023年度本年支出合计47,247,482.97元。与2022年度相比减少21,915,796.20元，主要原因是本单位2023年度拨付疫情防控经费较2022年度有所减少。其中：基本支出25,118,059.80元，占53.16%；项目支出22,129,423.17元，占46.84%。</w:t>
      </w:r>
    </w:p>
    <w:p w14:paraId="27F86E7C">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19" w:name="_Toc19211"/>
      <w:r>
        <w:rPr>
          <w:rFonts w:hint="eastAsia" w:ascii="黑体" w:hAnsi="黑体" w:eastAsia="黑体"/>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度财政拨款收入、支出决算总计46,077,209.42元。与2022年度相比，财政拨款收、支总计各减少22,326,003.45元，下降32.64%，主要原因是本单位2023年度拨付疫情防控经费较2022年度有所减少。</w:t>
      </w:r>
    </w:p>
    <w:p w14:paraId="64D9186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0" w:name="_Toc25286"/>
      <w:r>
        <w:rPr>
          <w:rFonts w:ascii="黑体" w:hAnsi="黑体" w:eastAsia="黑体"/>
          <w:b w:val="0"/>
          <w:sz w:val="30"/>
          <w:szCs w:val="30"/>
          <w:highlight w:val="none"/>
        </w:rPr>
        <w:t>五</w:t>
      </w:r>
      <w:r>
        <w:rPr>
          <w:rFonts w:hint="eastAsia" w:ascii="黑体" w:hAnsi="黑体" w:eastAsia="黑体"/>
          <w:b w:val="0"/>
          <w:sz w:val="30"/>
          <w:szCs w:val="30"/>
          <w:highlight w:val="none"/>
        </w:rPr>
        <w:t>、</w:t>
      </w:r>
      <w:r>
        <w:rPr>
          <w:rFonts w:ascii="黑体" w:hAnsi="黑体" w:eastAsia="黑体"/>
          <w:b w:val="0"/>
          <w:sz w:val="30"/>
          <w:szCs w:val="30"/>
          <w:highlight w:val="none"/>
        </w:rPr>
        <w:t>一般公共预算财政拨款支出决算情况</w:t>
      </w:r>
      <w:r>
        <w:rPr>
          <w:rFonts w:hint="eastAsia" w:ascii="黑体" w:hAnsi="黑体" w:eastAsia="黑体"/>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hint="eastAsia" w:eastAsia="楷体_GB2312"/>
          <w:b/>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度部门决算一般公共预算财政拨款支出合计46,077,209.42元，占本年支出合计的100.00%。与2022年度相比，一般公共预算财政拨款支出减少22,326,003.45元，下降32.64%，主要原因是本单位2023年度拨付疫情防控经费较2022年度有所减少。</w:t>
      </w:r>
    </w:p>
    <w:p w14:paraId="6DC3EBD7">
      <w:pPr>
        <w:pageBreakBefore w:val="0"/>
        <w:kinsoku/>
        <w:wordWrap/>
        <w:overflowPunct/>
        <w:topLinePunct w:val="0"/>
        <w:autoSpaceDE/>
        <w:autoSpaceDN/>
        <w:bidi w:val="0"/>
        <w:snapToGrid/>
        <w:spacing w:line="600" w:lineRule="exact"/>
        <w:ind w:firstLine="602" w:firstLineChars="200"/>
        <w:rPr>
          <w:rFonts w:hint="eastAsia" w:ascii="楷体" w:hAnsi="楷体" w:eastAsia="楷体" w:cs="仿宋_GB2312"/>
          <w:b/>
          <w:sz w:val="30"/>
          <w:szCs w:val="30"/>
          <w:highlight w:val="none"/>
        </w:rPr>
      </w:pPr>
      <w:r>
        <w:rPr>
          <w:rFonts w:hint="eastAsia" w:ascii="楷体" w:hAnsi="楷体" w:eastAsia="楷体" w:cs="仿宋_GB2312"/>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hint="eastAsia"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2023年度一般公共预算财政拨款支出46,077,209.42元，主要用于以下方面：</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社会保障和就业支出（类）支出2,316,965.79元，占5.03%；</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卫生健康支出（类）支出42,064,235.63元，占91.29%；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住房保障支出（类）支出1,426,008.00元，占3.09%；</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债务付息支出（类）支出270,000.00元，占0.59%。</w:t>
      </w:r>
    </w:p>
    <w:p w14:paraId="25EC0BDB">
      <w:pPr>
        <w:pageBreakBefore w:val="0"/>
        <w:numPr>
          <w:ilvl w:val="0"/>
          <w:numId w:val="1"/>
        </w:numPr>
        <w:kinsoku/>
        <w:wordWrap/>
        <w:overflowPunct/>
        <w:topLinePunct w:val="0"/>
        <w:autoSpaceDE/>
        <w:autoSpaceDN/>
        <w:bidi w:val="0"/>
        <w:snapToGrid/>
        <w:spacing w:line="600" w:lineRule="exact"/>
        <w:ind w:firstLine="602" w:firstLineChars="200"/>
        <w:rPr>
          <w:rFonts w:ascii="楷体" w:hAnsi="楷体" w:eastAsia="楷体" w:cs="仿宋_GB2312"/>
          <w:b/>
          <w:sz w:val="30"/>
          <w:szCs w:val="30"/>
          <w:highlight w:val="none"/>
        </w:rPr>
      </w:pPr>
      <w:r>
        <w:rPr>
          <w:rFonts w:ascii="楷体" w:hAnsi="楷体" w:eastAsia="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2023年度一般公共预算财政拨款支出年初预算为35,722,331.69元，支出决算为46,077,209.42元，完成年初预算的128.99%。其中：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社会保障和就业支出（类）行政事业单位养老支出（款）机关事业单位基本养老保险缴费支出（项）年初预算为1503121.92元，支出决算为1,544,959.87元，完成年初预算的102.78%，决算数大于年初预算数的主要原因是本单位2023年新入职人员14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社会保障和就业支出（类）行政事业单位养老支出（款）机关事业单位职业年金缴费支出（项）年初预算为751560.96元，支出决算为772,005.92元，完成年初预算的102.72%，决算数大于年初预算数的主要原因是本单位2023年新入职人员14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3.卫生健康支出（类）公共卫生（款）疾病预防控制机构（项）年初预算为20660568.24元，支出决算为31,487,559.28元，完成年初预算的152.4%，决算数大于年初预算数的主要原因是本单位2023年执行按规定追加疾控中心综合实验楼建设项目经费。</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4.卫生健康支出（类）公共卫生（款）基本公共卫生服务（项）年初预算为4385890.57元，支出决算为4,340,656.27元，完成年初预算的98.97%。</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5.卫生健康支出（类）公共卫生（款）重大公共卫生服务（项）年初预算为5614439.00元，支出决算为4,367,620.10元，完成年初预算的77.79%，决算数小于年初预算数的主要原因是部分项目启动较晚，资金结转至下年使用。</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6.卫生健康支出（类）公共卫生（款）突发公共卫生事件应急处理（项）年初预算为0元，支出决算为654,260.00元，完成年初预算的100%，决算数大于年初预算数的主要原因是本单位2023年执行按规定追加医务人员临时性工作补助等项目资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7.卫生健康支出（类）中医药（款）中医（民族医）药专项（项）年初预算为50000.00元，支出决算为50,000.00元，完成年初预算的100%。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8.卫生健康支出（类）行政事业单位医疗（款）事业单位医疗（项）年初预算为986427.00元，支出决算为1,005,439.98元，完成年初预算的101.92%，决算数大于年初预算数的主要原因是本单位2023年新入职人员14人。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9.卫生健康支出（类）行政事业单位医疗（款）其他行政事业单位医疗支出（项）年初预算为166800.00元，支出决算为158,700.00元，完成年初预算的95.14%。</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xml:space="preserve">　　10.住房保障支出（类）住房改革支出（款）住房公积金（项）年初预算为1333524.00 </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元，支出决算为1,426,008.00元，完成年初预算的106.93%，决算数大于年初预算数的主要原因是本单位2023年新入职人员14人。</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11.债务付息支出（类）地方政府一般债务付息支出（款）地方政府一般债券付息支出（项）年初预算为270,000.00元，支出决算为270,000.00元，完成年初预算的100%。</w:t>
      </w:r>
    </w:p>
    <w:p w14:paraId="36C75B1F">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1" w:name="_Toc26433"/>
      <w:r>
        <w:rPr>
          <w:rFonts w:ascii="黑体" w:hAnsi="黑体" w:eastAsia="黑体"/>
          <w:b w:val="0"/>
          <w:sz w:val="30"/>
          <w:szCs w:val="30"/>
          <w:highlight w:val="none"/>
        </w:rPr>
        <w:t>六、一般公共预算财政拨款基本支出决算情况</w:t>
      </w:r>
      <w:r>
        <w:rPr>
          <w:rFonts w:hint="eastAsia" w:ascii="黑体" w:hAnsi="黑体" w:eastAsia="黑体"/>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天津市津南区疾病预防控制中心2023年度部门决算一般公共预算财政拨款基本支出合计25,113,379.80元，与2022年度相比增加2,065,793.85元，主要原因是2023年比2022年增加新入职人员14人。其中：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人员经费22,461,600.46元，主要包括基本工资、津贴补贴、奖金、绩效工资、机关事业单位养老保险缴费、职业年金缴费、职工基本医疗保险缴费、其他社会保障缴费、住房公积金、医疗费、其他工资福利支出、退休费、抚恤金；</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公用经费2,651,779.34元，主要包括办公费、水费、电费、邮电费、取暖费、物业管理费、差旅费、维修（护）费、培训费、劳务费、工会经费、福利费、公务用车运行维护费、其他商品和服务支出、办公设备购置。</w:t>
      </w:r>
    </w:p>
    <w:p w14:paraId="32521B65">
      <w:pPr>
        <w:pStyle w:val="3"/>
        <w:pageBreakBefore w:val="0"/>
        <w:kinsoku/>
        <w:wordWrap/>
        <w:overflowPunct/>
        <w:topLinePunct w:val="0"/>
        <w:autoSpaceDE/>
        <w:autoSpaceDN/>
        <w:bidi w:val="0"/>
        <w:snapToGrid/>
        <w:spacing w:before="0" w:after="0" w:line="600" w:lineRule="exact"/>
        <w:ind w:firstLine="600" w:firstLineChars="200"/>
        <w:rPr>
          <w:rFonts w:hint="eastAsia" w:ascii="楷体" w:hAnsi="楷体" w:eastAsia="楷体" w:cs="仿宋_GB2312"/>
          <w:b w:val="0"/>
          <w:sz w:val="30"/>
          <w:szCs w:val="30"/>
          <w:highlight w:val="none"/>
        </w:rPr>
      </w:pPr>
      <w:bookmarkStart w:id="22" w:name="_Toc28665"/>
      <w:r>
        <w:rPr>
          <w:rFonts w:hint="eastAsia" w:ascii="黑体" w:hAnsi="黑体" w:eastAsia="黑体"/>
          <w:b w:val="0"/>
          <w:sz w:val="30"/>
          <w:szCs w:val="30"/>
          <w:highlight w:val="none"/>
          <w:lang w:eastAsia="zh-CN"/>
        </w:rPr>
        <w:t>七</w:t>
      </w:r>
      <w:r>
        <w:rPr>
          <w:rFonts w:ascii="黑体" w:hAnsi="黑体" w:eastAsia="黑体"/>
          <w:b w:val="0"/>
          <w:sz w:val="30"/>
          <w:szCs w:val="30"/>
          <w:highlight w:val="none"/>
        </w:rPr>
        <w:t>、政府性基金预算财政拨款</w:t>
      </w:r>
      <w:r>
        <w:rPr>
          <w:rFonts w:hint="eastAsia" w:ascii="黑体" w:hAnsi="黑体" w:eastAsia="黑体"/>
          <w:b w:val="0"/>
          <w:sz w:val="30"/>
          <w:szCs w:val="30"/>
          <w:highlight w:val="none"/>
        </w:rPr>
        <w:t>收支决算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天津市津南区疾病预防控制中心2023年度无政府性基金预算财政拨款收入、支出和结转结余。</w:t>
      </w:r>
    </w:p>
    <w:p w14:paraId="1925F1C1">
      <w:pPr>
        <w:pStyle w:val="3"/>
        <w:pageBreakBefore w:val="0"/>
        <w:kinsoku/>
        <w:wordWrap/>
        <w:overflowPunct/>
        <w:topLinePunct w:val="0"/>
        <w:autoSpaceDE/>
        <w:autoSpaceDN/>
        <w:bidi w:val="0"/>
        <w:snapToGrid/>
        <w:spacing w:before="0" w:after="0" w:line="600" w:lineRule="exact"/>
        <w:ind w:firstLine="600" w:firstLineChars="200"/>
        <w:rPr>
          <w:rFonts w:hint="eastAsia" w:eastAsia="黑体"/>
          <w:b w:val="0"/>
          <w:sz w:val="30"/>
          <w:szCs w:val="30"/>
          <w:highlight w:val="none"/>
        </w:rPr>
      </w:pPr>
      <w:bookmarkStart w:id="23" w:name="_Toc26562"/>
      <w:r>
        <w:rPr>
          <w:rFonts w:hint="eastAsia" w:eastAsia="黑体"/>
          <w:b w:val="0"/>
          <w:sz w:val="30"/>
          <w:szCs w:val="30"/>
          <w:highlight w:val="none"/>
          <w:lang w:eastAsia="zh-CN"/>
        </w:rPr>
        <w:t>八</w:t>
      </w:r>
      <w:r>
        <w:rPr>
          <w:rFonts w:hint="eastAsia" w:eastAsia="黑体"/>
          <w:b w:val="0"/>
          <w:sz w:val="30"/>
          <w:szCs w:val="30"/>
          <w:highlight w:val="none"/>
        </w:rPr>
        <w:t>、国有资本经营预算财政拨款收支决算情况</w:t>
      </w:r>
      <w:r>
        <w:rPr>
          <w:rFonts w:hint="eastAsia" w:ascii="黑体" w:hAnsi="黑体" w:eastAsia="黑体"/>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hint="eastAsia" w:ascii="楷体" w:hAnsi="楷体" w:eastAsia="楷体" w:cs="楷体"/>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天津市津南区疾病预防控制中心2023年度无国有资本经营预算财政拨款收入、支出和结转结余。</w:t>
      </w:r>
    </w:p>
    <w:p w14:paraId="4AA74E2A">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4" w:name="_Toc3397"/>
      <w:r>
        <w:rPr>
          <w:rFonts w:hint="eastAsia" w:ascii="黑体" w:hAnsi="黑体" w:eastAsia="黑体"/>
          <w:b w:val="0"/>
          <w:sz w:val="30"/>
          <w:szCs w:val="30"/>
          <w:highlight w:val="none"/>
          <w:lang w:eastAsia="zh-CN"/>
        </w:rPr>
        <w:t>九</w:t>
      </w:r>
      <w:r>
        <w:rPr>
          <w:rFonts w:hint="eastAsia" w:ascii="黑体" w:hAnsi="黑体" w:eastAsia="黑体"/>
          <w:b w:val="0"/>
          <w:sz w:val="30"/>
          <w:szCs w:val="30"/>
          <w:highlight w:val="none"/>
        </w:rPr>
        <w:t>、</w:t>
      </w:r>
      <w:r>
        <w:rPr>
          <w:rFonts w:ascii="黑体" w:hAnsi="黑体" w:eastAsia="黑体"/>
          <w:b w:val="0"/>
          <w:sz w:val="30"/>
          <w:szCs w:val="30"/>
          <w:highlight w:val="none"/>
        </w:rPr>
        <w:t>财政拨款“三公”经费</w:t>
      </w:r>
      <w:r>
        <w:rPr>
          <w:rFonts w:hint="eastAsia" w:ascii="黑体" w:hAnsi="黑体" w:eastAsia="黑体"/>
          <w:b w:val="0"/>
          <w:sz w:val="30"/>
          <w:szCs w:val="30"/>
          <w:highlight w:val="none"/>
        </w:rPr>
        <w:t>支出决算</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2" w:firstLineChars="200"/>
        <w:jc w:val="both"/>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财政拨款“三公”经费预算79,942.07元，支出决算79,942.07元（去年同期122,011.02元），支出决算与2023年预算相比持平，完成预算的100.00%；支出决算较上年减少42,068.95元，下降34.48%。决算数与预算数相比持平的主要原因是年内未执行完的“三公”经费预算在年末核减。决算数较上年减少的主要原因是落实过紧日子要求，从严控制各项支出，“三公”经费支出减少。</w:t>
      </w:r>
    </w:p>
    <w:p w14:paraId="7A19286E">
      <w:pPr>
        <w:pageBreakBefore w:val="0"/>
        <w:kinsoku/>
        <w:wordWrap/>
        <w:overflowPunct/>
        <w:topLinePunct w:val="0"/>
        <w:autoSpaceDE/>
        <w:autoSpaceDN/>
        <w:bidi w:val="0"/>
        <w:snapToGrid/>
        <w:spacing w:line="600" w:lineRule="exact"/>
        <w:ind w:firstLine="602" w:firstLineChars="200"/>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公务用车购置及运行维护费预算79,942.07元，支出决算79,942.07元（去年同期122,011.02元），支出决算与2023年预算相比持平，完成预算的100.00%；支出决算较上年减少42,068.95元，下降34.48%。决算数与预算数相比持平的主要原因是年内未执行完的公务用车购置及运行维护费预算在年末核减。决算数较上年减少的主要原因是落实过紧日子要求，从严控制各项支出，公务用车购置及运行维护费支出减少。其中：</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运行维护费预算79,942.07元，支出决算79,942.07元（去年同期122,011.02元），支出决算与2023年预算相比持平，完成预算的100.00%；支出决算较上年减少42,068.95元，下降34.48%。决算数与预算数相比持平的主要原因是年内未执行完的公务用车运行维护费预算在年末核减。决算数较上年减少的主要原因是落实过紧日子要求，从严控制各项支出，公务用车运行维护费支出减少。截至2023年12月31日，使用财政拨款开支运行维护费的公务用车保有量为5辆。</w:t>
      </w:r>
      <w:r>
        <w:rPr>
          <w:rFonts w:hint="eastAsia" w:ascii="仿宋_GB2312" w:hAnsi="仿宋_GB2312" w:eastAsia="仿宋_GB2312" w:cs="仿宋_GB2312"/>
          <w:sz w:val="30"/>
          <w:szCs w:val="30"/>
          <w:highlight w:val="none"/>
          <w:lang w:val="en-US" w:eastAsia="zh-CN"/>
        </w:rPr>
        <w:br w:type="textWrapping"/>
      </w:r>
      <w:r>
        <w:rPr>
          <w:rFonts w:hint="eastAsia" w:ascii="仿宋_GB2312" w:hAnsi="仿宋_GB2312" w:eastAsia="仿宋_GB2312" w:cs="仿宋_GB2312"/>
          <w:sz w:val="30"/>
          <w:szCs w:val="30"/>
          <w:highlight w:val="none"/>
          <w:lang w:val="en-US" w:eastAsia="zh-CN"/>
        </w:rP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5" w:name="_Toc28180"/>
      <w:r>
        <w:rPr>
          <w:rFonts w:hint="eastAsia" w:ascii="黑体" w:hAnsi="黑体" w:eastAsia="黑体"/>
          <w:b w:val="0"/>
          <w:sz w:val="30"/>
          <w:szCs w:val="30"/>
          <w:highlight w:val="none"/>
        </w:rPr>
        <w:t>十、</w:t>
      </w:r>
      <w:r>
        <w:rPr>
          <w:rFonts w:ascii="黑体" w:hAnsi="黑体" w:eastAsia="黑体"/>
          <w:b w:val="0"/>
          <w:sz w:val="30"/>
          <w:szCs w:val="30"/>
          <w:highlight w:val="none"/>
        </w:rPr>
        <w:t>机关运行经费</w:t>
      </w:r>
      <w:r>
        <w:rPr>
          <w:rFonts w:hint="eastAsia" w:ascii="黑体" w:hAnsi="黑体" w:eastAsia="黑体"/>
          <w:b w:val="0"/>
          <w:sz w:val="30"/>
          <w:szCs w:val="30"/>
          <w:highlight w:val="none"/>
        </w:rPr>
        <w:t>支出情况</w:t>
      </w:r>
      <w:r>
        <w:rPr>
          <w:rFonts w:hint="eastAsia" w:ascii="黑体" w:hAnsi="黑体" w:eastAsia="黑体"/>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天津市津南区疾病预防控制中心2023年度无机关运行经费。</w:t>
      </w:r>
    </w:p>
    <w:p w14:paraId="6BA0F1F2">
      <w:pPr>
        <w:pStyle w:val="3"/>
        <w:pageBreakBefore w:val="0"/>
        <w:kinsoku/>
        <w:wordWrap/>
        <w:overflowPunct/>
        <w:topLinePunct w:val="0"/>
        <w:autoSpaceDE/>
        <w:autoSpaceDN/>
        <w:bidi w:val="0"/>
        <w:snapToGrid/>
        <w:spacing w:before="0" w:after="0" w:line="600" w:lineRule="exact"/>
        <w:ind w:firstLine="600" w:firstLineChars="200"/>
        <w:rPr>
          <w:rFonts w:ascii="黑体" w:hAnsi="黑体" w:eastAsia="黑体"/>
          <w:b w:val="0"/>
          <w:sz w:val="30"/>
          <w:szCs w:val="30"/>
          <w:highlight w:val="none"/>
        </w:rPr>
      </w:pPr>
      <w:bookmarkStart w:id="26" w:name="_Toc12238"/>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一</w:t>
      </w:r>
      <w:r>
        <w:rPr>
          <w:rFonts w:hint="eastAsia" w:ascii="黑体" w:hAnsi="黑体" w:eastAsia="黑体"/>
          <w:b w:val="0"/>
          <w:sz w:val="30"/>
          <w:szCs w:val="30"/>
          <w:highlight w:val="none"/>
        </w:rPr>
        <w:t>、</w:t>
      </w:r>
      <w:r>
        <w:rPr>
          <w:rFonts w:ascii="黑体" w:hAnsi="黑体" w:eastAsia="黑体"/>
          <w:b w:val="0"/>
          <w:sz w:val="30"/>
          <w:szCs w:val="30"/>
          <w:highlight w:val="none"/>
        </w:rPr>
        <w:t>政府采购</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r>
        <w:rPr>
          <w:rFonts w:hint="eastAsia" w:ascii="黑体" w:hAnsi="黑体" w:eastAsia="黑体"/>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天津市津南区疾病预防控制中心2023年政府采购支出总额1,118,782.00元，其中：政府采购货物支出1,118,782.00元、政府采购工程支出0.00元、政府采购服务支出0.00元。授予中小企业合同金额1,118,782.00元，占政府采购支出总额的100.00%，其中：授予小微企业合同金额1,118,782.00元，占政府采购支出总额的100.00%；货物采购授予中小企业合同金额占货物支出金额的100.00%，工程采购授予中小企业合同金额占工程支出金额的0.00%，服务采购授予中小企业合同金额占服务支出金额的0.00%。</w:t>
      </w:r>
    </w:p>
    <w:p w14:paraId="37455A81">
      <w:pPr>
        <w:pStyle w:val="3"/>
        <w:pageBreakBefore w:val="0"/>
        <w:kinsoku/>
        <w:wordWrap/>
        <w:overflowPunct/>
        <w:topLinePunct w:val="0"/>
        <w:autoSpaceDE/>
        <w:autoSpaceDN/>
        <w:bidi w:val="0"/>
        <w:snapToGrid/>
        <w:spacing w:before="0" w:after="0" w:line="600" w:lineRule="exact"/>
        <w:ind w:firstLine="600" w:firstLineChars="200"/>
        <w:rPr>
          <w:rFonts w:hint="eastAsia" w:ascii="黑体" w:hAnsi="黑体" w:eastAsia="黑体"/>
          <w:b w:val="0"/>
          <w:sz w:val="30"/>
          <w:szCs w:val="30"/>
          <w:highlight w:val="none"/>
        </w:rPr>
      </w:pPr>
      <w:bookmarkStart w:id="27" w:name="_Toc30109"/>
      <w:r>
        <w:rPr>
          <w:rFonts w:hint="eastAsia" w:ascii="黑体" w:hAnsi="黑体" w:eastAsia="黑体"/>
          <w:b w:val="0"/>
          <w:sz w:val="30"/>
          <w:szCs w:val="30"/>
          <w:highlight w:val="none"/>
        </w:rPr>
        <w:t>十</w:t>
      </w:r>
      <w:r>
        <w:rPr>
          <w:rFonts w:hint="eastAsia" w:ascii="黑体" w:hAnsi="黑体" w:eastAsia="黑体"/>
          <w:b w:val="0"/>
          <w:sz w:val="30"/>
          <w:szCs w:val="30"/>
          <w:highlight w:val="none"/>
          <w:lang w:eastAsia="zh-CN"/>
        </w:rPr>
        <w:t>二</w:t>
      </w:r>
      <w:r>
        <w:rPr>
          <w:rFonts w:hint="eastAsia" w:ascii="黑体" w:hAnsi="黑体" w:eastAsia="黑体"/>
          <w:b w:val="0"/>
          <w:sz w:val="30"/>
          <w:szCs w:val="30"/>
          <w:highlight w:val="none"/>
        </w:rPr>
        <w:t>、国有资产占有使用情况</w:t>
      </w:r>
      <w:r>
        <w:rPr>
          <w:rFonts w:hint="eastAsia" w:ascii="黑体" w:hAnsi="黑体" w:eastAsia="黑体"/>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hint="eastAsia" w:ascii="仿宋_GB2312" w:hAnsi="仿宋_GB2312" w:eastAsia="仿宋_GB2312" w:cs="仿宋_GB2312"/>
          <w:sz w:val="30"/>
          <w:szCs w:val="30"/>
          <w:highlight w:val="none"/>
          <w:lang w:val="en-US" w:eastAsia="zh-CN"/>
        </w:rPr>
        <w:t>截至2023年12月31日，天津市津南区疾病预防控制中心共有车辆5辆，其中：副部（省）级及以上领导用车0辆、主要负责人用车0辆、机要通信用车0辆、应急保障用车0辆、执法执勤用车0辆、特种专业技术用车0辆、离退休干部用车0辆、其他用车5辆，其他用车主要包括本单位其他用车5辆均为业务用车。单价100万元以上的设备3台（套）。</w:t>
      </w:r>
    </w:p>
    <w:p w14:paraId="196FFC43">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8" w:name="_Toc7408"/>
      <w:r>
        <w:rPr>
          <w:rFonts w:hint="eastAsia" w:ascii="黑体" w:hAnsi="黑体" w:eastAsia="黑体"/>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根据预算绩效管理要求，天津市津南区疾病预防控制中心2023年度已对6个区级项目开展绩效自评，涉及金额11576353.25元，自评结果已随部门决算一并公开。</w:t>
      </w:r>
    </w:p>
    <w:p w14:paraId="48A05015">
      <w:pPr>
        <w:pStyle w:val="3"/>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hint="eastAsia" w:ascii="黑体" w:hAnsi="黑体" w:eastAsia="黑体"/>
          <w:b w:val="0"/>
          <w:bCs w:val="0"/>
          <w:sz w:val="30"/>
          <w:szCs w:val="30"/>
          <w:highlight w:val="none"/>
        </w:rPr>
      </w:pPr>
      <w:bookmarkStart w:id="29" w:name="_Toc12198"/>
      <w:r>
        <w:rPr>
          <w:rFonts w:hint="eastAsia" w:ascii="黑体" w:hAnsi="黑体" w:eastAsia="黑体"/>
          <w:b w:val="0"/>
          <w:bCs w:val="0"/>
          <w:sz w:val="30"/>
          <w:szCs w:val="30"/>
          <w:highlight w:val="none"/>
        </w:rPr>
        <w:t>教育、医疗卫生、社会保障和就业、住房保障、涉农补贴等民生支出情况</w:t>
      </w:r>
      <w:r>
        <w:rPr>
          <w:rFonts w:hint="eastAsia" w:ascii="黑体" w:hAnsi="黑体" w:eastAsia="黑体"/>
          <w:b w:val="0"/>
          <w:bCs w:val="0"/>
          <w:sz w:val="30"/>
          <w:szCs w:val="30"/>
          <w:highlight w:val="none"/>
          <w:lang w:eastAsia="zh-CN"/>
        </w:rPr>
        <w:t>说明</w:t>
      </w:r>
      <w:bookmarkEnd w:id="29"/>
    </w:p>
    <w:p w14:paraId="0EAD62FC">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0"/>
          <w:szCs w:val="30"/>
          <w:highlight w:val="none"/>
          <w:lang w:val="en-US" w:eastAsia="zh-CN"/>
        </w:rPr>
        <w:t>天津市津南区疾病预防控制中心不属于乡、镇、街级单位，不涉及公开2023年度教育、医疗卫生、社会保障和就业、住房保障、涉农补贴等民生支出情况。</w:t>
      </w:r>
    </w:p>
    <w:p w14:paraId="2BFEB69B">
      <w:pPr>
        <w:pStyle w:val="2"/>
        <w:pageBreakBefore w:val="0"/>
        <w:kinsoku/>
        <w:wordWrap/>
        <w:overflowPunct/>
        <w:topLinePunct w:val="0"/>
        <w:autoSpaceDE/>
        <w:autoSpaceDN/>
        <w:bidi w:val="0"/>
        <w:snapToGrid/>
        <w:spacing w:before="0" w:after="0" w:line="600" w:lineRule="exact"/>
        <w:jc w:val="center"/>
        <w:rPr>
          <w:rFonts w:hint="eastAsia" w:ascii="方正小标宋简体" w:hAnsi="方正小标宋简体" w:eastAsia="方正小标宋简体" w:cs="方正小标宋简体"/>
          <w:b w:val="0"/>
          <w:sz w:val="44"/>
          <w:szCs w:val="44"/>
          <w:highlight w:val="none"/>
        </w:rPr>
      </w:pPr>
      <w:bookmarkStart w:id="30" w:name="_Toc17573"/>
      <w:r>
        <w:rPr>
          <w:rFonts w:hint="eastAsia" w:ascii="方正小标宋简体" w:hAnsi="方正小标宋简体" w:eastAsia="方正小标宋简体" w:cs="方正小标宋简体"/>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hint="eastAsia" w:ascii="仿宋_GB2312" w:eastAsia="仿宋_GB2312"/>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rPr>
      </w:pPr>
      <w:r>
        <w:rPr>
          <w:rFonts w:hint="eastAsia" w:eastAsia="仿宋_GB2312"/>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hint="eastAsia" w:eastAsia="仿宋_GB2312"/>
          <w:sz w:val="30"/>
          <w:szCs w:val="30"/>
          <w:highlight w:val="none"/>
          <w:lang w:val="en-US" w:eastAsia="zh-CN"/>
        </w:rPr>
      </w:pPr>
      <w:r>
        <w:rPr>
          <w:rFonts w:hint="eastAsia" w:eastAsia="仿宋_GB2312"/>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880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C58C">
    <w:pPr>
      <w:pStyle w:val="7"/>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A0E684">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left:207.25pt;margin-top:0pt;height:144pt;width:144pt;mso-position-horizontal-relative:margin;mso-wrap-style:none;z-index:251659264;mso-width-relative:page;mso-height-relative:page;" filled="f" stroked="f" coordsize="21600,21600" o:gfxdata="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pe1/XAAAACAEAAA8AAAAAAAAAAQAgAAAAIgAAAGRycy9k&#10;b3ducmV2LnhtbFBLAQIUABQAAAAIAIdO4kDBnLjFygEAAJcDAAAOAAAAAAAAAAEAIAAAACYBAABk&#10;cnMvZTJvRG9jLnhtbFBLBQYAAAAABgAGAFkBAABiBQAAAAA=&#10;">
              <v:fill on="f" focussize="0,0"/>
              <v:stroke on="f" weight="1.25pt"/>
              <v:imagedata o:title=""/>
              <o:lock v:ext="edit" aspectratio="f"/>
              <v:textbox inset="0mm,0mm,0mm,0mm" style="mso-fit-shape-to-text:t;">
                <w:txbxContent>
                  <w:p w14:paraId="0BA0E684">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12</w:t>
                    </w:r>
                    <w:r>
                      <w:rPr>
                        <w:rFonts w:hint="eastAsia"/>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256EE"/>
    <w:multiLevelType w:val="singleLevel"/>
    <w:tmpl w:val="EBE256EE"/>
    <w:lvl w:ilvl="0" w:tentative="0">
      <w:start w:val="13"/>
      <w:numFmt w:val="chineseCounting"/>
      <w:suff w:val="nothing"/>
      <w:lvlText w:val="%1、"/>
      <w:lvlJc w:val="left"/>
      <w:rPr>
        <w:rFonts w:hint="eastAsia"/>
      </w:rPr>
    </w:lvl>
  </w:abstractNum>
  <w:abstractNum w:abstractNumId="1">
    <w:nsid w:val="62CB79B7"/>
    <w:multiLevelType w:val="singleLevel"/>
    <w:tmpl w:val="62CB79B7"/>
    <w:lvl w:ilvl="0" w:tentative="0">
      <w:start w:val="3"/>
      <w:numFmt w:val="chineseCounting"/>
      <w:suff w:val="nothing"/>
      <w:lvlText w:val="（%1）"/>
      <w:lvlJc w:val="left"/>
    </w:lvl>
  </w:abstractNum>
  <w:abstractNum w:abstractNumId="2">
    <w:nsid w:val="62CB88B4"/>
    <w:multiLevelType w:val="singleLevel"/>
    <w:tmpl w:val="62CB88B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11D802DB"/>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A11AFE"/>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 w:val="BBFEB28B"/>
    <w:rsid w:val="D74FDF30"/>
    <w:rsid w:val="DEAEE68D"/>
    <w:rsid w:val="F7F97754"/>
    <w:rsid w:val="FB7FC3E7"/>
    <w:rsid w:val="FF3F61B6"/>
    <w:rsid w:val="FFC7E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4"/>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16"/>
    <w:unhideWhenUsed/>
    <w:qFormat/>
    <w:uiPriority w:val="9"/>
    <w:pPr>
      <w:keepNext/>
      <w:keepLines/>
      <w:spacing w:before="260" w:after="260" w:line="416" w:lineRule="atLeast"/>
      <w:outlineLvl w:val="2"/>
    </w:pPr>
    <w:rPr>
      <w:b/>
      <w:bCs/>
      <w:sz w:val="32"/>
      <w:szCs w:val="32"/>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eastAsia="宋体" w:cs="Times New Roman"/>
      <w:sz w:val="22"/>
      <w:szCs w:val="22"/>
    </w:rPr>
  </w:style>
  <w:style w:type="paragraph" w:styleId="6">
    <w:name w:val="Balloon Text"/>
    <w:basedOn w:val="1"/>
    <w:link w:val="17"/>
    <w:unhideWhenUsed/>
    <w:qFormat/>
    <w:uiPriority w:val="99"/>
    <w:pPr>
      <w:spacing w:line="240" w:lineRule="auto"/>
    </w:pPr>
    <w:rPr>
      <w:sz w:val="18"/>
      <w:szCs w:val="18"/>
    </w:rPr>
  </w:style>
  <w:style w:type="paragraph" w:styleId="7">
    <w:name w:val="footer"/>
    <w:basedOn w:val="1"/>
    <w:link w:val="18"/>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eastAsia="宋体" w:cs="Times New Roman"/>
      <w:sz w:val="22"/>
      <w:szCs w:val="22"/>
    </w:rPr>
  </w:style>
  <w:style w:type="character" w:styleId="13">
    <w:name w:val="Hyperlink"/>
    <w:unhideWhenUsed/>
    <w:qFormat/>
    <w:uiPriority w:val="99"/>
    <w:rPr>
      <w:color w:val="0000FF"/>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标题 3 Char"/>
    <w:link w:val="4"/>
    <w:semiHidden/>
    <w:qFormat/>
    <w:uiPriority w:val="9"/>
    <w:rPr>
      <w:b/>
      <w:bCs/>
      <w:sz w:val="32"/>
      <w:szCs w:val="32"/>
    </w:rPr>
  </w:style>
  <w:style w:type="character" w:customStyle="1" w:styleId="17">
    <w:name w:val="批注框文本 Char"/>
    <w:link w:val="6"/>
    <w:semiHidden/>
    <w:qFormat/>
    <w:uiPriority w:val="99"/>
    <w:rPr>
      <w:sz w:val="18"/>
      <w:szCs w:val="18"/>
    </w:rPr>
  </w:style>
  <w:style w:type="character" w:customStyle="1" w:styleId="18">
    <w:name w:val="页脚 Char"/>
    <w:link w:val="7"/>
    <w:semiHidden/>
    <w:qFormat/>
    <w:uiPriority w:val="0"/>
    <w:rPr>
      <w:sz w:val="18"/>
      <w:szCs w:val="18"/>
    </w:rPr>
  </w:style>
  <w:style w:type="character" w:customStyle="1" w:styleId="19">
    <w:name w:val="页眉 Char"/>
    <w:link w:val="8"/>
    <w:semiHidden/>
    <w:qFormat/>
    <w:uiPriority w:val="0"/>
    <w:rPr>
      <w:sz w:val="18"/>
      <w:szCs w:val="18"/>
    </w:rPr>
  </w:style>
  <w:style w:type="paragraph" w:customStyle="1" w:styleId="20">
    <w:name w:val="TOC 标题"/>
    <w:basedOn w:val="2"/>
    <w:next w:val="1"/>
    <w:unhideWhenUsed/>
    <w:qFormat/>
    <w:uiPriority w:val="39"/>
    <w:pPr>
      <w:widowControl/>
      <w:adjustRightInd/>
      <w:spacing w:before="480" w:after="0" w:line="276" w:lineRule="auto"/>
      <w:textAlignment w:val="auto"/>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15</Pages>
  <Words>4853</Words>
  <Characters>5910</Characters>
  <Lines>60</Lines>
  <Paragraphs>16</Paragraphs>
  <TotalTime>2</TotalTime>
  <ScaleCrop>false</ScaleCrop>
  <LinksUpToDate>false</LinksUpToDate>
  <CharactersWithSpaces>6016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2019-07-28T02:37:00Z</dcterms:created>
  <dc:creator>Administrator</dc:creator>
  <cp:lastModifiedBy>猫不叹气</cp:lastModifiedBy>
  <cp:lastPrinted>2012-09-19T14:00:00Z</cp:lastPrinted>
  <dcterms:modified xsi:type="dcterms:W3CDTF">2024-08-23T07:47:38Z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6E246129D2C04739AA125BF8BC5D57D8_13</vt:lpwstr>
  </property>
  <property fmtid="{D5CDD505-2E9C-101B-9397-08002B2CF9AE}" pid="3" name="KSOProductBuildVer">
    <vt:lpwstr>2052-12.1.0.17857</vt:lpwstr>
  </property>
</Properties>
</file>