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0 -->
  <w:background w:color="ffffff">
    <v:background id="_x0000_s1025" filled="t"/>
  </w:background>
  <w:body>
    <w:p w14:paraId="771A5F97">
      <w:pPr>
        <w:pageBreakBefore w:val="0"/>
        <w:kinsoku/>
        <w:wordWrap/>
        <w:overflowPunct/>
        <w:topLinePunct w:val="0"/>
        <w:autoSpaceDE/>
        <w:autoSpaceDN/>
        <w:bidi w:val="0"/>
        <w:snapToGrid/>
        <w:spacing w:line="240" w:lineRule="auto"/>
        <w:rPr>
          <w:rFonts w:ascii="黑体" w:eastAsia="黑体" w:hAnsi="黑体" w:cs="黑体" w:hint="default"/>
          <w:w w:val="95"/>
          <w:sz w:val="32"/>
          <w:szCs w:val="32"/>
          <w:highlight w:val="none"/>
          <w:lang w:val="en"/>
        </w:rPr>
      </w:pPr>
    </w:p>
    <w:p w14:paraId="47B8FD34">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2D3CB1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51C4B0F">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7A7ADD0">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4E2FD57">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05DFB5D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6EC8359E">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B497553">
      <w:pPr>
        <w:pageBreakBefore w:val="0"/>
        <w:kinsoku/>
        <w:wordWrap/>
        <w:overflowPunct/>
        <w:topLinePunct w:val="0"/>
        <w:autoSpaceDE/>
        <w:autoSpaceDN/>
        <w:bidi w:val="0"/>
        <w:snapToGrid/>
        <w:spacing w:line="580" w:lineRule="exact"/>
        <w:jc w:val="center"/>
        <w:rPr>
          <w:rFonts w:eastAsia="黑体"/>
          <w:w w:val="95"/>
          <w:sz w:val="44"/>
          <w:szCs w:val="44"/>
          <w:highlight w:val="none"/>
        </w:rPr>
      </w:pPr>
    </w:p>
    <w:p w14:paraId="27F5E6F1">
      <w:pPr>
        <w:pageBreakBefore w:val="0"/>
        <w:kinsoku/>
        <w:wordWrap/>
        <w:overflowPunct/>
        <w:topLinePunct w:val="0"/>
        <w:autoSpaceDE/>
        <w:autoSpaceDN/>
        <w:bidi w:val="0"/>
        <w:snapToGrid/>
        <w:spacing w:line="240" w:lineRule="auto"/>
        <w:jc w:val="center"/>
        <w:rPr>
          <w:rFonts w:ascii="方正小标宋简体" w:eastAsia="方正小标宋简体" w:hAnsi="方正小标宋简体" w:cs="方正小标宋简体" w:hint="eastAsia"/>
          <w:sz w:val="48"/>
          <w:szCs w:val="48"/>
          <w:highlight w:val="none"/>
          <w:lang w:val="en-US" w:eastAsia="zh-CN"/>
        </w:rPr>
      </w:pPr>
      <w:r>
        <w:rPr>
          <w:rFonts w:ascii="方正小标宋简体" w:eastAsia="方正小标宋简体" w:hAnsi="方正小标宋简体" w:cs="方正小标宋简体" w:hint="eastAsia"/>
          <w:sz w:val="48"/>
          <w:szCs w:val="48"/>
          <w:highlight w:val="none"/>
          <w:lang w:val="en-US" w:eastAsia="zh-CN"/>
        </w:rPr>
        <w:t>天津市津南区辛庄镇卫生院</w:t>
      </w:r>
    </w:p>
    <w:p w14:paraId="6C77533C">
      <w:pPr>
        <w:pageBreakBefore w:val="0"/>
        <w:kinsoku/>
        <w:wordWrap/>
        <w:overflowPunct/>
        <w:topLinePunct w:val="0"/>
        <w:autoSpaceDE/>
        <w:autoSpaceDN/>
        <w:bidi w:val="0"/>
        <w:snapToGrid/>
        <w:spacing w:line="240" w:lineRule="auto"/>
        <w:jc w:val="center"/>
        <w:rPr>
          <w:rFonts w:ascii="黑体" w:eastAsia="黑体" w:hint="eastAsia"/>
          <w:sz w:val="30"/>
          <w:szCs w:val="30"/>
          <w:highlight w:val="none"/>
        </w:rPr>
      </w:pPr>
      <w:r>
        <w:rPr>
          <w:rFonts w:ascii="方正小标宋简体" w:eastAsia="方正小标宋简体" w:hAnsi="方正小标宋简体" w:cs="方正小标宋简体" w:hint="eastAsia"/>
          <w:sz w:val="48"/>
          <w:szCs w:val="48"/>
          <w:highlight w:val="none"/>
          <w:lang w:eastAsia="zh-CN"/>
        </w:rPr>
        <w:t>202</w:t>
      </w:r>
      <w:r>
        <w:rPr>
          <w:rFonts w:ascii="方正小标宋简体" w:eastAsia="方正小标宋简体" w:hAnsi="方正小标宋简体" w:cs="方正小标宋简体" w:hint="eastAsia"/>
          <w:sz w:val="48"/>
          <w:szCs w:val="48"/>
          <w:highlight w:val="none"/>
          <w:lang w:val="en-US" w:eastAsia="zh-CN"/>
        </w:rPr>
        <w:t>3</w:t>
      </w:r>
      <w:r>
        <w:rPr>
          <w:rFonts w:ascii="方正小标宋简体" w:eastAsia="方正小标宋简体" w:hAnsi="方正小标宋简体" w:cs="方正小标宋简体" w:hint="eastAsia"/>
          <w:sz w:val="48"/>
          <w:szCs w:val="48"/>
          <w:highlight w:val="none"/>
        </w:rPr>
        <w:t>年度部门决算</w:t>
      </w:r>
    </w:p>
    <w:p w14:paraId="527484CF">
      <w:pPr>
        <w:pageBreakBefore w:val="0"/>
        <w:kinsoku/>
        <w:wordWrap/>
        <w:overflowPunct/>
        <w:topLinePunct w:val="0"/>
        <w:autoSpaceDE/>
        <w:autoSpaceDN/>
        <w:bidi w:val="0"/>
        <w:snapToGrid/>
        <w:spacing w:line="580" w:lineRule="exact"/>
        <w:jc w:val="center"/>
        <w:rPr>
          <w:rFonts w:ascii="黑体" w:eastAsia="黑体" w:hint="eastAsia"/>
          <w:sz w:val="44"/>
          <w:szCs w:val="44"/>
          <w:highlight w:val="none"/>
        </w:rPr>
      </w:pPr>
    </w:p>
    <w:p w14:paraId="5EF768AF">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sectPr>
          <w:pgSz w:w="11906" w:h="16838"/>
          <w:pgMar w:top="1440" w:right="1800" w:bottom="1440" w:left="1800" w:header="851" w:footer="992" w:gutter="0"/>
          <w:pgNumType w:start="1"/>
          <w:cols w:num="1" w:space="720"/>
          <w:docGrid w:type="lines" w:linePitch="312" w:charSpace="0"/>
        </w:sectPr>
      </w:pPr>
    </w:p>
    <w:p w14:paraId="5FE03D61">
      <w:pPr>
        <w:pageBreakBefore w:val="0"/>
        <w:kinsoku/>
        <w:wordWrap/>
        <w:overflowPunct/>
        <w:topLinePunct w:val="0"/>
        <w:autoSpaceDE/>
        <w:autoSpaceDN/>
        <w:bidi w:val="0"/>
        <w:snapToGrid/>
        <w:spacing w:line="600" w:lineRule="exact"/>
        <w:jc w:val="center"/>
        <w:rPr>
          <w:rFonts w:ascii="黑体" w:eastAsia="黑体" w:hint="eastAsia"/>
          <w:sz w:val="44"/>
          <w:szCs w:val="44"/>
          <w:highlight w:val="none"/>
        </w:rPr>
      </w:pPr>
    </w:p>
    <w:p w14:paraId="340F20B9">
      <w:pPr>
        <w:pageBreakBefore w:val="0"/>
        <w:kinsoku/>
        <w:wordWrap/>
        <w:overflowPunct/>
        <w:topLinePunct w:val="0"/>
        <w:autoSpaceDE/>
        <w:autoSpaceDN/>
        <w:bidi w:val="0"/>
        <w:snapToGrid/>
        <w:spacing w:line="600" w:lineRule="exact"/>
        <w:jc w:val="center"/>
        <w:rPr>
          <w:rFonts w:ascii="黑体" w:eastAsia="黑体" w:hint="eastAsia"/>
          <w:sz w:val="44"/>
          <w:szCs w:val="44"/>
        </w:rPr>
      </w:pPr>
      <w:r>
        <w:rPr>
          <w:rFonts w:ascii="黑体" w:eastAsia="黑体" w:hint="eastAsia"/>
          <w:sz w:val="44"/>
          <w:szCs w:val="44"/>
        </w:rPr>
        <w:t>目   录</w:t>
      </w:r>
    </w:p>
    <w:p w14:paraId="37D8886D">
      <w:pPr>
        <w:pageBreakBefore w:val="0"/>
        <w:kinsoku/>
        <w:wordWrap/>
        <w:overflowPunct/>
        <w:topLinePunct w:val="0"/>
        <w:autoSpaceDE/>
        <w:autoSpaceDN/>
        <w:bidi w:val="0"/>
        <w:snapToGrid/>
        <w:spacing w:line="600" w:lineRule="exact"/>
        <w:rPr>
          <w:rFonts w:ascii="黑体" w:eastAsia="黑体" w:hint="eastAsia"/>
          <w:sz w:val="30"/>
          <w:szCs w:val="30"/>
          <w:highlight w:val="none"/>
        </w:rPr>
      </w:pPr>
    </w:p>
    <w:p w14:paraId="7A1C0097">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r>
        <w:rPr>
          <w:rFonts w:ascii="Times New Roman" w:eastAsia="仿宋_GB2312" w:hAnsi="Times New Roman" w:cs="Times New Roman"/>
          <w:sz w:val="30"/>
          <w:szCs w:val="30"/>
          <w:highlight w:val="none"/>
        </w:rPr>
        <w:fldChar w:fldCharType="begin"/>
      </w:r>
      <w:r>
        <w:rPr>
          <w:rFonts w:ascii="Times New Roman" w:eastAsia="仿宋_GB2312" w:hAnsi="Times New Roman" w:cs="Times New Roman"/>
          <w:sz w:val="30"/>
          <w:szCs w:val="30"/>
          <w:highlight w:val="none"/>
        </w:rPr>
        <w:instrText xml:space="preserve"> TOC \o "1-3" \h \z \u </w:instrText>
      </w:r>
      <w:r>
        <w:rPr>
          <w:rFonts w:ascii="Times New Roman" w:eastAsia="仿宋_GB2312" w:hAnsi="Times New Roman" w:cs="Times New Roman"/>
          <w:sz w:val="30"/>
          <w:szCs w:val="30"/>
          <w:highlight w:val="none"/>
        </w:rPr>
        <w:fldChar w:fldCharType="separate"/>
      </w:r>
      <w:hyperlink w:anchor="_Toc7076" w:history="1">
        <w:r>
          <w:rPr>
            <w:rFonts w:ascii="方正小标宋简体" w:eastAsia="方正小标宋简体" w:hAnsi="方正小标宋简体" w:cs="方正小标宋简体" w:hint="eastAsia"/>
            <w:b w:val="0"/>
            <w:bCs w:val="0"/>
            <w:sz w:val="30"/>
            <w:szCs w:val="30"/>
            <w:highlight w:val="none"/>
          </w:rPr>
          <w:t>第一部分  概 况</w:t>
        </w:r>
        <w:r>
          <w:rPr>
            <w:rFonts w:ascii="方正小标宋简体" w:eastAsia="方正小标宋简体" w:hAnsi="方正小标宋简体" w:cs="方正小标宋简体" w:hint="eastAsia"/>
            <w:b w:val="0"/>
            <w:bCs w:val="0"/>
            <w:sz w:val="30"/>
            <w:szCs w:val="30"/>
          </w:rPr>
          <w:tab/>
        </w:r>
        <w:r>
          <w:rPr>
            <w:rFonts w:ascii="方正小标宋简体" w:eastAsia="方正小标宋简体" w:hAnsi="方正小标宋简体" w:cs="方正小标宋简体" w:hint="eastAsia"/>
            <w:b w:val="0"/>
            <w:bCs w:val="0"/>
            <w:sz w:val="30"/>
            <w:szCs w:val="30"/>
          </w:rPr>
          <w:fldChar w:fldCharType="begin"/>
        </w:r>
        <w:r>
          <w:rPr>
            <w:rFonts w:ascii="方正小标宋简体" w:eastAsia="方正小标宋简体" w:hAnsi="方正小标宋简体" w:cs="方正小标宋简体" w:hint="eastAsia"/>
            <w:b w:val="0"/>
            <w:bCs w:val="0"/>
            <w:sz w:val="30"/>
            <w:szCs w:val="30"/>
          </w:rPr>
          <w:instrText xml:space="preserve"> PAGEREF _Toc7076 </w:instrText>
        </w:r>
        <w:r>
          <w:rPr>
            <w:rFonts w:ascii="方正小标宋简体" w:eastAsia="方正小标宋简体" w:hAnsi="方正小标宋简体" w:cs="方正小标宋简体" w:hint="eastAsia"/>
            <w:b w:val="0"/>
            <w:bCs w:val="0"/>
            <w:sz w:val="30"/>
            <w:szCs w:val="30"/>
          </w:rPr>
          <w:fldChar w:fldCharType="separate"/>
        </w:r>
        <w:r>
          <w:rPr>
            <w:rFonts w:ascii="方正小标宋简体" w:eastAsia="方正小标宋简体" w:hAnsi="方正小标宋简体" w:cs="方正小标宋简体" w:hint="eastAsia"/>
            <w:b w:val="0"/>
            <w:bCs w:val="0"/>
            <w:sz w:val="30"/>
            <w:szCs w:val="30"/>
          </w:rPr>
          <w:t>1</w:t>
        </w:r>
        <w:r>
          <w:rPr>
            <w:rFonts w:ascii="方正小标宋简体" w:eastAsia="方正小标宋简体" w:hAnsi="方正小标宋简体" w:cs="方正小标宋简体" w:hint="eastAsia"/>
            <w:b w:val="0"/>
            <w:bCs w:val="0"/>
            <w:sz w:val="30"/>
            <w:szCs w:val="30"/>
          </w:rPr>
          <w:fldChar w:fldCharType="end"/>
        </w:r>
      </w:hyperlink>
    </w:p>
    <w:p w14:paraId="255B2CE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809" w:history="1">
        <w:r>
          <w:rPr>
            <w:rFonts w:ascii="仿宋_GB2312" w:eastAsia="仿宋_GB2312" w:hAnsi="仿宋_GB2312" w:cs="仿宋_GB2312" w:hint="eastAsia"/>
            <w:bCs w:val="0"/>
            <w:sz w:val="30"/>
            <w:szCs w:val="30"/>
            <w:highlight w:val="none"/>
          </w:rPr>
          <w:t>一、主要职责</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_Toc13809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3CEA7295">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0426" w:history="1">
        <w:r>
          <w:rPr>
            <w:rFonts w:ascii="仿宋_GB2312" w:eastAsia="仿宋_GB2312" w:hAnsi="仿宋_GB2312" w:cs="仿宋_GB2312" w:hint="eastAsia"/>
            <w:bCs w:val="0"/>
            <w:sz w:val="30"/>
            <w:szCs w:val="30"/>
            <w:highlight w:val="none"/>
          </w:rPr>
          <w:t>二、机构设置</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_Toc20426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fldChar w:fldCharType="end"/>
        </w:r>
      </w:hyperlink>
    </w:p>
    <w:p w14:paraId="63E6C9E8">
      <w:pPr>
        <w:pStyle w:val="TOC1"/>
        <w:pageBreakBefore w:val="0"/>
        <w:tabs>
          <w:tab w:val="clear" w:pos="8296"/>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5731" w:history="1">
        <w:r>
          <w:rPr>
            <w:rFonts w:ascii="方正小标宋简体" w:eastAsia="方正小标宋简体" w:hAnsi="方正小标宋简体" w:cs="方正小标宋简体" w:hint="eastAsia"/>
            <w:b w:val="0"/>
            <w:bCs w:val="0"/>
            <w:sz w:val="30"/>
            <w:szCs w:val="30"/>
            <w:highlight w:val="none"/>
          </w:rPr>
          <w:t xml:space="preserve">第二部分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年度部门决算表</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_Toc15731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2</w:t>
        </w:r>
        <w:r>
          <w:rPr>
            <w:rFonts w:ascii="方正小标宋简体" w:eastAsia="方正小标宋简体" w:hAnsi="方正小标宋简体" w:cs="方正小标宋简体" w:hint="eastAsia"/>
            <w:b w:val="0"/>
            <w:bCs w:val="0"/>
            <w:sz w:val="30"/>
            <w:szCs w:val="30"/>
            <w:highlight w:val="none"/>
          </w:rPr>
          <w:fldChar w:fldCharType="end"/>
        </w:r>
      </w:hyperlink>
    </w:p>
    <w:p w14:paraId="5745C42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843" w:history="1">
        <w:r>
          <w:rPr>
            <w:rFonts w:ascii="仿宋_GB2312" w:eastAsia="仿宋_GB2312" w:hAnsi="仿宋_GB2312" w:cs="仿宋_GB2312" w:hint="eastAsia"/>
            <w:sz w:val="30"/>
            <w:szCs w:val="30"/>
            <w:highlight w:val="none"/>
          </w:rPr>
          <w:t>一、《收入支出决算总表》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_Toc8843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E3AED2">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52" w:history="1">
        <w:r>
          <w:rPr>
            <w:rFonts w:ascii="仿宋_GB2312" w:eastAsia="仿宋_GB2312" w:hAnsi="仿宋_GB2312" w:cs="仿宋_GB2312" w:hint="eastAsia"/>
            <w:sz w:val="30"/>
            <w:szCs w:val="30"/>
            <w:highlight w:val="none"/>
          </w:rPr>
          <w:t>二、《收入决算表（按功能分类列示）》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_Toc2552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C7371C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841" w:history="1">
        <w:r>
          <w:rPr>
            <w:rFonts w:ascii="仿宋_GB2312" w:eastAsia="仿宋_GB2312" w:hAnsi="仿宋_GB2312" w:cs="仿宋_GB2312" w:hint="eastAsia"/>
            <w:sz w:val="30"/>
            <w:szCs w:val="30"/>
            <w:highlight w:val="none"/>
          </w:rPr>
          <w:t>三、《收入决算表（按单位列示）》</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_Toc27841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257E23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8617" w:history="1">
        <w:r>
          <w:rPr>
            <w:rFonts w:ascii="仿宋_GB2312" w:eastAsia="仿宋_GB2312" w:hAnsi="仿宋_GB2312" w:cs="仿宋_GB2312" w:hint="eastAsia"/>
            <w:sz w:val="30"/>
            <w:szCs w:val="30"/>
            <w:highlight w:val="none"/>
          </w:rPr>
          <w:t>四、《支出决算表》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_Toc8617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5B1ED0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763" w:history="1">
        <w:r>
          <w:rPr>
            <w:rFonts w:ascii="仿宋_GB2312" w:eastAsia="仿宋_GB2312" w:hAnsi="仿宋_GB2312" w:cs="仿宋_GB2312" w:hint="eastAsia"/>
            <w:sz w:val="30"/>
            <w:szCs w:val="30"/>
            <w:highlight w:val="none"/>
          </w:rPr>
          <w:t>五、《财政拨款收入支出决算总表》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_Toc12763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C6C4D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4693" w:history="1">
        <w:r>
          <w:rPr>
            <w:rFonts w:ascii="仿宋_GB2312" w:eastAsia="仿宋_GB2312" w:hAnsi="仿宋_GB2312" w:cs="仿宋_GB2312" w:hint="eastAsia"/>
            <w:sz w:val="30"/>
            <w:szCs w:val="30"/>
            <w:highlight w:val="none"/>
          </w:rPr>
          <w:t>六、《一般公共预算财政拨款支出决算表》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_Toc24693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5C8D7AA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25" w:history="1">
        <w:r>
          <w:rPr>
            <w:rFonts w:ascii="仿宋_GB2312" w:eastAsia="仿宋_GB2312" w:hAnsi="仿宋_GB2312" w:cs="仿宋_GB2312" w:hint="eastAsia"/>
            <w:sz w:val="30"/>
            <w:szCs w:val="30"/>
            <w:highlight w:val="none"/>
          </w:rPr>
          <w:t>七、《一般公共预算财政拨款基本支出决算表》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_Toc13125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22271CE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7248"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、《政府性基金预算财政拨款收入支出决算表》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_Toc27248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1ECC3FF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5066"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、《国有资本经营预算财政拨款收入支出决算表》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_Toc5066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3C5F80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1014" w:history="1">
        <w:r>
          <w:rPr>
            <w:rFonts w:ascii="仿宋_GB2312" w:eastAsia="仿宋_GB2312" w:hAnsi="仿宋_GB2312" w:cs="仿宋_GB2312" w:hint="eastAsia"/>
            <w:sz w:val="30"/>
            <w:szCs w:val="30"/>
            <w:highlight w:val="none"/>
            <w:lang w:eastAsia="zh-CN"/>
          </w:rPr>
          <w:t>十</w:t>
        </w:r>
        <w:r>
          <w:rPr>
            <w:rFonts w:ascii="仿宋_GB2312" w:eastAsia="仿宋_GB2312" w:hAnsi="仿宋_GB2312" w:cs="仿宋_GB2312" w:hint="eastAsia"/>
            <w:sz w:val="30"/>
            <w:szCs w:val="30"/>
            <w:highlight w:val="none"/>
          </w:rPr>
          <w:t>、《财政拨款“三公”经费支出决算表》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_Toc21014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717DD5B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3144"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、《项目支出决算表》</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_Toc13144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fldChar w:fldCharType="end"/>
        </w:r>
      </w:hyperlink>
    </w:p>
    <w:p w14:paraId="49A43F59">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6548" w:history="1">
        <w:r>
          <w:rPr>
            <w:rFonts w:ascii="方正小标宋简体" w:eastAsia="方正小标宋简体" w:hAnsi="方正小标宋简体" w:cs="方正小标宋简体" w:hint="eastAsia"/>
            <w:b w:val="0"/>
            <w:bCs w:val="0"/>
            <w:sz w:val="30"/>
            <w:szCs w:val="30"/>
            <w:highlight w:val="none"/>
          </w:rPr>
          <w:t xml:space="preserve">第三部分  </w:t>
        </w:r>
        <w:r>
          <w:rPr>
            <w:rFonts w:ascii="方正小标宋简体" w:eastAsia="方正小标宋简体" w:hAnsi="方正小标宋简体" w:cs="方正小标宋简体" w:hint="eastAsia"/>
            <w:b w:val="0"/>
            <w:bCs w:val="0"/>
            <w:sz w:val="30"/>
            <w:szCs w:val="30"/>
            <w:highlight w:val="none"/>
            <w:lang w:eastAsia="zh-CN"/>
          </w:rPr>
          <w:t>202</w:t>
        </w:r>
        <w:r>
          <w:rPr>
            <w:rFonts w:ascii="方正小标宋简体" w:eastAsia="方正小标宋简体" w:hAnsi="方正小标宋简体" w:cs="方正小标宋简体" w:hint="eastAsia"/>
            <w:b w:val="0"/>
            <w:bCs w:val="0"/>
            <w:sz w:val="30"/>
            <w:szCs w:val="30"/>
            <w:highlight w:val="none"/>
            <w:lang w:val="en-US" w:eastAsia="zh-CN"/>
          </w:rPr>
          <w:t>3</w:t>
        </w:r>
        <w:r>
          <w:rPr>
            <w:rFonts w:ascii="方正小标宋简体" w:eastAsia="方正小标宋简体" w:hAnsi="方正小标宋简体" w:cs="方正小标宋简体" w:hint="eastAsia"/>
            <w:b w:val="0"/>
            <w:bCs w:val="0"/>
            <w:sz w:val="30"/>
            <w:szCs w:val="30"/>
            <w:highlight w:val="none"/>
          </w:rPr>
          <w:t>年度部门决算情况说明</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_Toc6548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4</w:t>
        </w:r>
        <w:r>
          <w:rPr>
            <w:rFonts w:ascii="方正小标宋简体" w:eastAsia="方正小标宋简体" w:hAnsi="方正小标宋简体" w:cs="方正小标宋简体" w:hint="eastAsia"/>
            <w:b w:val="0"/>
            <w:bCs w:val="0"/>
            <w:sz w:val="30"/>
            <w:szCs w:val="30"/>
            <w:highlight w:val="none"/>
          </w:rPr>
          <w:fldChar w:fldCharType="end"/>
        </w:r>
      </w:hyperlink>
    </w:p>
    <w:p w14:paraId="6665115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044" w:history="1">
        <w:r>
          <w:rPr>
            <w:rFonts w:ascii="仿宋_GB2312" w:eastAsia="仿宋_GB2312" w:hAnsi="仿宋_GB2312" w:cs="仿宋_GB2312" w:hint="eastAsia"/>
            <w:sz w:val="30"/>
            <w:szCs w:val="30"/>
            <w:highlight w:val="none"/>
          </w:rPr>
          <w:t>一、收入支出决算总体情况说明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_Toc28044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3EF27B3">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76" w:history="1">
        <w:r>
          <w:rPr>
            <w:rFonts w:ascii="仿宋_GB2312" w:eastAsia="仿宋_GB2312" w:hAnsi="仿宋_GB2312" w:cs="仿宋_GB2312" w:hint="eastAsia"/>
            <w:sz w:val="30"/>
            <w:szCs w:val="30"/>
            <w:highlight w:val="none"/>
          </w:rPr>
          <w:t>二、收入决算情况说明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_Toc12176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7B1F54F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1212" w:history="1">
        <w:r>
          <w:rPr>
            <w:rFonts w:ascii="仿宋_GB2312" w:eastAsia="仿宋_GB2312" w:hAnsi="仿宋_GB2312" w:cs="仿宋_GB2312" w:hint="eastAsia"/>
            <w:sz w:val="30"/>
            <w:szCs w:val="30"/>
            <w:highlight w:val="none"/>
          </w:rPr>
          <w:t>三、支出决算情况说明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_Toc31212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fldChar w:fldCharType="end"/>
        </w:r>
      </w:hyperlink>
    </w:p>
    <w:p w14:paraId="08C2ECD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9211" w:history="1">
        <w:r>
          <w:rPr>
            <w:rFonts w:ascii="仿宋_GB2312" w:eastAsia="仿宋_GB2312" w:hAnsi="仿宋_GB2312" w:cs="仿宋_GB2312" w:hint="eastAsia"/>
            <w:sz w:val="30"/>
            <w:szCs w:val="30"/>
            <w:highlight w:val="none"/>
          </w:rPr>
          <w:t>四、财政拨款收支决算总体情况说明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_Toc19211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5005F8A0">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5286" w:history="1">
        <w:r>
          <w:rPr>
            <w:rFonts w:ascii="仿宋_GB2312" w:eastAsia="仿宋_GB2312" w:hAnsi="仿宋_GB2312" w:cs="仿宋_GB2312" w:hint="eastAsia"/>
            <w:sz w:val="30"/>
            <w:szCs w:val="30"/>
            <w:highlight w:val="none"/>
          </w:rPr>
          <w:t>五、一般公共预算财政拨款支出决算情况说明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_Toc25286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fldChar w:fldCharType="end"/>
        </w:r>
      </w:hyperlink>
    </w:p>
    <w:p w14:paraId="002A0E14">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433" w:history="1">
        <w:r>
          <w:rPr>
            <w:rFonts w:ascii="仿宋_GB2312" w:eastAsia="仿宋_GB2312" w:hAnsi="仿宋_GB2312" w:cs="仿宋_GB2312" w:hint="eastAsia"/>
            <w:sz w:val="30"/>
            <w:szCs w:val="30"/>
            <w:highlight w:val="none"/>
          </w:rPr>
          <w:t>六、一般公共预算财政拨款基本支出决算情况</w:t>
        </w:r>
        <w:r>
          <w:rPr>
            <w:rFonts w:ascii="仿宋_GB2312" w:eastAsia="仿宋_GB2312" w:hAnsi="仿宋_GB2312" w:cs="仿宋_GB2312" w:hint="eastAsia"/>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_Toc26433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B2BEC7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665" w:history="1">
        <w:r>
          <w:rPr>
            <w:rFonts w:ascii="仿宋_GB2312" w:eastAsia="仿宋_GB2312" w:hAnsi="仿宋_GB2312" w:cs="仿宋_GB2312" w:hint="eastAsia"/>
            <w:sz w:val="30"/>
            <w:szCs w:val="30"/>
            <w:highlight w:val="none"/>
            <w:lang w:eastAsia="zh-CN"/>
          </w:rPr>
          <w:t>七</w:t>
        </w:r>
        <w:r>
          <w:rPr>
            <w:rFonts w:ascii="仿宋_GB2312" w:eastAsia="仿宋_GB2312" w:hAnsi="仿宋_GB2312" w:cs="仿宋_GB2312" w:hint="eastAsia"/>
            <w:sz w:val="30"/>
            <w:szCs w:val="30"/>
            <w:highlight w:val="none"/>
          </w:rPr>
          <w:t>、政府性基金预算财政拨款收支决算情况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_Toc28665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49D078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6562" w:history="1">
        <w:r>
          <w:rPr>
            <w:rFonts w:ascii="仿宋_GB2312" w:eastAsia="仿宋_GB2312" w:hAnsi="仿宋_GB2312" w:cs="仿宋_GB2312" w:hint="eastAsia"/>
            <w:sz w:val="30"/>
            <w:szCs w:val="30"/>
            <w:highlight w:val="none"/>
            <w:lang w:eastAsia="zh-CN"/>
          </w:rPr>
          <w:t>八</w:t>
        </w:r>
        <w:r>
          <w:rPr>
            <w:rFonts w:ascii="仿宋_GB2312" w:eastAsia="仿宋_GB2312" w:hAnsi="仿宋_GB2312" w:cs="仿宋_GB2312" w:hint="eastAsia"/>
            <w:sz w:val="30"/>
            <w:szCs w:val="30"/>
            <w:highlight w:val="none"/>
          </w:rPr>
          <w:t>、国有资本经营预算财政拨款收支决算情况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_Toc26562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15B010B8">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397" w:history="1">
        <w:r>
          <w:rPr>
            <w:rFonts w:ascii="仿宋_GB2312" w:eastAsia="仿宋_GB2312" w:hAnsi="仿宋_GB2312" w:cs="仿宋_GB2312" w:hint="eastAsia"/>
            <w:sz w:val="30"/>
            <w:szCs w:val="30"/>
            <w:highlight w:val="none"/>
            <w:lang w:eastAsia="zh-CN"/>
          </w:rPr>
          <w:t>九</w:t>
        </w:r>
        <w:r>
          <w:rPr>
            <w:rFonts w:ascii="仿宋_GB2312" w:eastAsia="仿宋_GB2312" w:hAnsi="仿宋_GB2312" w:cs="仿宋_GB2312" w:hint="eastAsia"/>
            <w:sz w:val="30"/>
            <w:szCs w:val="30"/>
            <w:highlight w:val="none"/>
          </w:rPr>
          <w:t>、财政拨款“三公”经费支出决算情况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_Toc3397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9</w:t>
        </w:r>
        <w:r>
          <w:rPr>
            <w:rFonts w:ascii="仿宋_GB2312" w:eastAsia="仿宋_GB2312" w:hAnsi="仿宋_GB2312" w:cs="仿宋_GB2312" w:hint="eastAsia"/>
            <w:sz w:val="30"/>
            <w:szCs w:val="30"/>
          </w:rPr>
          <w:fldChar w:fldCharType="end"/>
        </w:r>
      </w:hyperlink>
    </w:p>
    <w:p w14:paraId="07A03F7B">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28180" w:history="1">
        <w:r>
          <w:rPr>
            <w:rFonts w:ascii="仿宋_GB2312" w:eastAsia="仿宋_GB2312" w:hAnsi="仿宋_GB2312" w:cs="仿宋_GB2312" w:hint="eastAsia"/>
            <w:sz w:val="30"/>
            <w:szCs w:val="30"/>
            <w:highlight w:val="none"/>
          </w:rPr>
          <w:t>十、机关运行经费支出情况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_Toc28180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3A140E9D">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238"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一</w:t>
        </w:r>
        <w:r>
          <w:rPr>
            <w:rFonts w:ascii="仿宋_GB2312" w:eastAsia="仿宋_GB2312" w:hAnsi="仿宋_GB2312" w:cs="仿宋_GB2312" w:hint="eastAsia"/>
            <w:sz w:val="30"/>
            <w:szCs w:val="30"/>
            <w:highlight w:val="none"/>
          </w:rPr>
          <w:t>、政府采购支出情况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_Toc12238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4196E11C">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30109" w:history="1">
        <w:r>
          <w:rPr>
            <w:rFonts w:ascii="仿宋_GB2312" w:eastAsia="仿宋_GB2312" w:hAnsi="仿宋_GB2312" w:cs="仿宋_GB2312" w:hint="eastAsia"/>
            <w:sz w:val="30"/>
            <w:szCs w:val="30"/>
            <w:highlight w:val="none"/>
          </w:rPr>
          <w:t>十</w:t>
        </w:r>
        <w:r>
          <w:rPr>
            <w:rFonts w:ascii="仿宋_GB2312" w:eastAsia="仿宋_GB2312" w:hAnsi="仿宋_GB2312" w:cs="仿宋_GB2312" w:hint="eastAsia"/>
            <w:sz w:val="30"/>
            <w:szCs w:val="30"/>
            <w:highlight w:val="none"/>
            <w:lang w:eastAsia="zh-CN"/>
          </w:rPr>
          <w:t>二</w:t>
        </w:r>
        <w:r>
          <w:rPr>
            <w:rFonts w:ascii="仿宋_GB2312" w:eastAsia="仿宋_GB2312" w:hAnsi="仿宋_GB2312" w:cs="仿宋_GB2312" w:hint="eastAsia"/>
            <w:sz w:val="30"/>
            <w:szCs w:val="30"/>
            <w:highlight w:val="none"/>
          </w:rPr>
          <w:t>、国有资产占有使用情况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_Toc30109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11</w:t>
        </w:r>
        <w:r>
          <w:rPr>
            <w:rFonts w:ascii="仿宋_GB2312" w:eastAsia="仿宋_GB2312" w:hAnsi="仿宋_GB2312" w:cs="仿宋_GB2312" w:hint="eastAsia"/>
            <w:sz w:val="30"/>
            <w:szCs w:val="30"/>
          </w:rPr>
          <w:fldChar w:fldCharType="end"/>
        </w:r>
      </w:hyperlink>
    </w:p>
    <w:p w14:paraId="46681121">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7408" w:history="1">
        <w:r>
          <w:rPr>
            <w:rFonts w:ascii="仿宋_GB2312" w:eastAsia="仿宋_GB2312" w:hAnsi="仿宋_GB2312" w:cs="仿宋_GB2312" w:hint="eastAsia"/>
            <w:bCs w:val="0"/>
            <w:sz w:val="30"/>
            <w:szCs w:val="30"/>
          </w:rPr>
          <w:t xml:space="preserve">十三、 </w:t>
        </w:r>
        <w:r>
          <w:rPr>
            <w:rFonts w:ascii="仿宋_GB2312" w:eastAsia="仿宋_GB2312" w:hAnsi="仿宋_GB2312" w:cs="仿宋_GB2312" w:hint="eastAsia"/>
            <w:bCs w:val="0"/>
            <w:sz w:val="30"/>
            <w:szCs w:val="30"/>
            <w:highlight w:val="none"/>
          </w:rPr>
          <w:t>预算绩效情况说明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_Toc7408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fldChar w:fldCharType="end"/>
        </w:r>
      </w:hyperlink>
    </w:p>
    <w:p w14:paraId="163A91FA">
      <w:pPr>
        <w:pStyle w:val="TOC2"/>
        <w:pageBreakBefore w:val="0"/>
        <w:tabs>
          <w:tab w:val="right" w:leader="dot" w:pos="8306"/>
        </w:tabs>
        <w:kinsoku/>
        <w:wordWrap/>
        <w:overflowPunct/>
        <w:topLinePunct w:val="0"/>
        <w:autoSpaceDE/>
        <w:autoSpaceDN/>
        <w:bidi w:val="0"/>
        <w:snapToGrid/>
        <w:spacing w:after="0"/>
        <w:rPr>
          <w:rFonts w:ascii="仿宋_GB2312" w:eastAsia="仿宋_GB2312" w:hAnsi="仿宋_GB2312" w:cs="仿宋_GB2312" w:hint="eastAsia"/>
          <w:sz w:val="30"/>
          <w:szCs w:val="30"/>
        </w:rPr>
      </w:pPr>
      <w:hyperlink w:anchor="_Toc12198" w:history="1">
        <w:r>
          <w:rPr>
            <w:rFonts w:ascii="仿宋_GB2312" w:eastAsia="仿宋_GB2312" w:hAnsi="仿宋_GB2312" w:cs="仿宋_GB2312" w:hint="eastAsia"/>
            <w:bCs w:val="0"/>
            <w:sz w:val="30"/>
            <w:szCs w:val="30"/>
          </w:rPr>
          <w:t xml:space="preserve">十四、 </w:t>
        </w:r>
        <w:r>
          <w:rPr>
            <w:rFonts w:ascii="仿宋_GB2312" w:eastAsia="仿宋_GB2312" w:hAnsi="仿宋_GB2312" w:cs="仿宋_GB2312" w:hint="eastAsia"/>
            <w:bCs w:val="0"/>
            <w:sz w:val="30"/>
            <w:szCs w:val="30"/>
            <w:highlight w:val="none"/>
          </w:rPr>
          <w:t>教育、医疗卫生、社会保障和就业、住房保障、涉农补贴等民生支出情况</w:t>
        </w:r>
        <w:r>
          <w:rPr>
            <w:rFonts w:ascii="仿宋_GB2312" w:eastAsia="仿宋_GB2312" w:hAnsi="仿宋_GB2312" w:cs="仿宋_GB2312" w:hint="eastAsia"/>
            <w:bCs w:val="0"/>
            <w:sz w:val="30"/>
            <w:szCs w:val="30"/>
            <w:highlight w:val="none"/>
            <w:lang w:eastAsia="zh-CN"/>
          </w:rPr>
          <w:t>说明</w:t>
        </w:r>
        <w:r>
          <w:rPr>
            <w:rFonts w:ascii="仿宋_GB2312" w:eastAsia="仿宋_GB2312" w:hAnsi="仿宋_GB2312" w:cs="仿宋_GB2312" w:hint="eastAsia"/>
            <w:sz w:val="30"/>
            <w:szCs w:val="30"/>
          </w:rPr>
          <w:tab/>
        </w:r>
        <w:r>
          <w:rPr>
            <w:rFonts w:ascii="仿宋_GB2312" w:eastAsia="仿宋_GB2312" w:hAnsi="仿宋_GB2312" w:cs="仿宋_GB2312" w:hint="eastAsia"/>
            <w:sz w:val="30"/>
            <w:szCs w:val="30"/>
          </w:rPr>
          <w:fldChar w:fldCharType="begin"/>
        </w:r>
        <w:r>
          <w:rPr>
            <w:rFonts w:ascii="仿宋_GB2312" w:eastAsia="仿宋_GB2312" w:hAnsi="仿宋_GB2312" w:cs="仿宋_GB2312" w:hint="eastAsia"/>
            <w:sz w:val="30"/>
            <w:szCs w:val="30"/>
          </w:rPr>
          <w:instrText xml:space="preserve"> PAGEREF _Toc12198 </w:instrText>
        </w:r>
        <w:r>
          <w:rPr>
            <w:rFonts w:ascii="仿宋_GB2312" w:eastAsia="仿宋_GB2312" w:hAnsi="仿宋_GB2312" w:cs="仿宋_GB2312" w:hint="eastAsia"/>
            <w:sz w:val="30"/>
            <w:szCs w:val="30"/>
          </w:rPr>
          <w:fldChar w:fldCharType="separate"/>
        </w:r>
        <w:r>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fldChar w:fldCharType="end"/>
        </w:r>
      </w:hyperlink>
    </w:p>
    <w:p w14:paraId="4A8E55AA">
      <w:pPr>
        <w:pStyle w:val="TOC1"/>
        <w:pageBreakBefore w:val="0"/>
        <w:tabs>
          <w:tab w:val="clear" w:pos="8296"/>
          <w:tab w:val="right" w:leader="dot" w:pos="8306"/>
        </w:tabs>
        <w:kinsoku/>
        <w:wordWrap/>
        <w:overflowPunct/>
        <w:topLinePunct w:val="0"/>
        <w:autoSpaceDE/>
        <w:autoSpaceDN/>
        <w:bidi w:val="0"/>
        <w:snapToGrid/>
        <w:spacing w:after="0"/>
        <w:rPr>
          <w:rFonts w:ascii="方正小标宋简体" w:eastAsia="方正小标宋简体" w:hAnsi="方正小标宋简体" w:cs="方正小标宋简体" w:hint="eastAsia"/>
          <w:b w:val="0"/>
          <w:bCs w:val="0"/>
          <w:sz w:val="30"/>
          <w:szCs w:val="30"/>
          <w:highlight w:val="none"/>
        </w:rPr>
      </w:pPr>
      <w:hyperlink w:anchor="_Toc17573" w:history="1">
        <w:r>
          <w:rPr>
            <w:rFonts w:ascii="方正小标宋简体" w:eastAsia="方正小标宋简体" w:hAnsi="方正小标宋简体" w:cs="方正小标宋简体" w:hint="eastAsia"/>
            <w:b w:val="0"/>
            <w:bCs w:val="0"/>
            <w:sz w:val="30"/>
            <w:szCs w:val="30"/>
            <w:highlight w:val="none"/>
          </w:rPr>
          <w:t>第四部分  名词解释</w:t>
        </w:r>
        <w:r>
          <w:rPr>
            <w:rFonts w:ascii="方正小标宋简体" w:eastAsia="方正小标宋简体" w:hAnsi="方正小标宋简体" w:cs="方正小标宋简体" w:hint="eastAsia"/>
            <w:b w:val="0"/>
            <w:bCs w:val="0"/>
            <w:sz w:val="30"/>
            <w:szCs w:val="30"/>
            <w:highlight w:val="none"/>
          </w:rPr>
          <w:tab/>
        </w:r>
        <w:r>
          <w:rPr>
            <w:rFonts w:ascii="方正小标宋简体" w:eastAsia="方正小标宋简体" w:hAnsi="方正小标宋简体" w:cs="方正小标宋简体" w:hint="eastAsia"/>
            <w:b w:val="0"/>
            <w:bCs w:val="0"/>
            <w:sz w:val="30"/>
            <w:szCs w:val="30"/>
            <w:highlight w:val="none"/>
          </w:rPr>
          <w:fldChar w:fldCharType="begin"/>
        </w:r>
        <w:r>
          <w:rPr>
            <w:rFonts w:ascii="方正小标宋简体" w:eastAsia="方正小标宋简体" w:hAnsi="方正小标宋简体" w:cs="方正小标宋简体" w:hint="eastAsia"/>
            <w:b w:val="0"/>
            <w:bCs w:val="0"/>
            <w:sz w:val="30"/>
            <w:szCs w:val="30"/>
            <w:highlight w:val="none"/>
          </w:rPr>
          <w:instrText xml:space="preserve"> PAGEREF _Toc17573 </w:instrText>
        </w:r>
        <w:r>
          <w:rPr>
            <w:rFonts w:ascii="方正小标宋简体" w:eastAsia="方正小标宋简体" w:hAnsi="方正小标宋简体" w:cs="方正小标宋简体" w:hint="eastAsia"/>
            <w:b w:val="0"/>
            <w:bCs w:val="0"/>
            <w:sz w:val="30"/>
            <w:szCs w:val="30"/>
            <w:highlight w:val="none"/>
          </w:rPr>
          <w:fldChar w:fldCharType="separate"/>
        </w:r>
        <w:r>
          <w:rPr>
            <w:rFonts w:ascii="方正小标宋简体" w:eastAsia="方正小标宋简体" w:hAnsi="方正小标宋简体" w:cs="方正小标宋简体" w:hint="eastAsia"/>
            <w:b w:val="0"/>
            <w:bCs w:val="0"/>
            <w:sz w:val="30"/>
            <w:szCs w:val="30"/>
            <w:highlight w:val="none"/>
          </w:rPr>
          <w:t>13</w:t>
        </w:r>
        <w:r>
          <w:rPr>
            <w:rFonts w:ascii="方正小标宋简体" w:eastAsia="方正小标宋简体" w:hAnsi="方正小标宋简体" w:cs="方正小标宋简体" w:hint="eastAsia"/>
            <w:b w:val="0"/>
            <w:bCs w:val="0"/>
            <w:sz w:val="30"/>
            <w:szCs w:val="30"/>
            <w:highlight w:val="none"/>
          </w:rPr>
          <w:fldChar w:fldCharType="end"/>
        </w:r>
      </w:hyperlink>
    </w:p>
    <w:p w14:paraId="076A79FC">
      <w:pPr>
        <w:pStyle w:val="TOC2"/>
        <w:pageBreakBefore w:val="0"/>
        <w:tabs>
          <w:tab w:val="right" w:leader="dot" w:pos="8296"/>
        </w:tabs>
        <w:kinsoku/>
        <w:wordWrap/>
        <w:overflowPunct/>
        <w:topLinePunct w:val="0"/>
        <w:autoSpaceDE/>
        <w:autoSpaceDN/>
        <w:bidi w:val="0"/>
        <w:snapToGrid/>
        <w:spacing w:after="0" w:line="600" w:lineRule="exact"/>
        <w:rPr>
          <w:rFonts w:ascii="Times New Roman" w:eastAsia="仿宋_GB2312" w:hAnsi="Times New Roman"/>
          <w:sz w:val="32"/>
          <w:szCs w:val="32"/>
          <w:highlight w:val="none"/>
        </w:rPr>
        <w:sectPr>
          <w:footerReference w:type="default" r:id="rId5"/>
          <w:pgSz w:w="11906" w:h="16838"/>
          <w:pgMar w:top="1440" w:right="1800" w:bottom="1440" w:left="1800" w:header="851" w:footer="992" w:gutter="0"/>
          <w:pgNumType w:start="1"/>
          <w:cols w:num="1" w:space="720"/>
          <w:docGrid w:type="lines" w:linePitch="312" w:charSpace="0"/>
        </w:sectPr>
      </w:pPr>
      <w:r>
        <w:rPr>
          <w:rFonts w:ascii="Times New Roman" w:eastAsia="仿宋_GB2312" w:hAnsi="Times New Roman"/>
          <w:szCs w:val="30"/>
          <w:highlight w:val="none"/>
        </w:rPr>
        <w:fldChar w:fldCharType="end"/>
      </w:r>
    </w:p>
    <w:p w14:paraId="5A5B8137">
      <w:pPr>
        <w:pageBreakBefore w:val="0"/>
        <w:kinsoku/>
        <w:wordWrap/>
        <w:overflowPunct/>
        <w:topLinePunct w:val="0"/>
        <w:autoSpaceDE/>
        <w:autoSpaceDN/>
        <w:bidi w:val="0"/>
        <w:snapToGrid/>
        <w:rPr>
          <w:rFonts w:hint="eastAsia"/>
          <w:highlight w:val="none"/>
        </w:rPr>
      </w:pPr>
    </w:p>
    <w:p w14:paraId="56223CF8">
      <w:pPr>
        <w:pageBreakBefore w:val="0"/>
        <w:kinsoku/>
        <w:wordWrap/>
        <w:overflowPunct/>
        <w:topLinePunct w:val="0"/>
        <w:autoSpaceDE/>
        <w:autoSpaceDN/>
        <w:bidi w:val="0"/>
        <w:snapToGrid/>
        <w:rPr>
          <w:rFonts w:hint="eastAsia"/>
        </w:rPr>
      </w:pPr>
    </w:p>
    <w:p w14:paraId="43A021BA">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0" w:name="_Toc7076"/>
      <w:r>
        <w:rPr>
          <w:rFonts w:ascii="方正小标宋简体" w:eastAsia="方正小标宋简体" w:hAnsi="方正小标宋简体" w:cs="方正小标宋简体" w:hint="eastAsia"/>
          <w:b w:val="0"/>
          <w:sz w:val="44"/>
          <w:szCs w:val="44"/>
          <w:highlight w:val="none"/>
        </w:rPr>
        <w:t>第一部分  概 况</w:t>
      </w:r>
      <w:bookmarkEnd w:id="0"/>
    </w:p>
    <w:p w14:paraId="4397E50D">
      <w:pPr>
        <w:pageBreakBefore w:val="0"/>
        <w:kinsoku/>
        <w:wordWrap/>
        <w:overflowPunct/>
        <w:topLinePunct w:val="0"/>
        <w:autoSpaceDE/>
        <w:autoSpaceDN/>
        <w:bidi w:val="0"/>
        <w:snapToGrid/>
        <w:spacing w:line="600" w:lineRule="exact"/>
        <w:rPr>
          <w:rFonts w:hint="eastAsia"/>
          <w:highlight w:val="none"/>
        </w:rPr>
      </w:pPr>
    </w:p>
    <w:p w14:paraId="6874DB43">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1" w:name="_Toc13809"/>
      <w:r>
        <w:rPr>
          <w:rFonts w:ascii="黑体" w:eastAsia="黑体" w:hAnsi="黑体" w:hint="eastAsia"/>
          <w:b w:val="0"/>
          <w:bCs w:val="0"/>
          <w:sz w:val="30"/>
          <w:szCs w:val="30"/>
          <w:highlight w:val="none"/>
        </w:rPr>
        <w:t>一、主要职责</w:t>
      </w:r>
      <w:bookmarkEnd w:id="1"/>
    </w:p>
    <w:p w14:paraId="2E5C27EE">
      <w:pPr>
        <w:pageBreakBefore w:val="0"/>
        <w:kinsoku/>
        <w:wordWrap/>
        <w:overflowPunct/>
        <w:topLinePunct w:val="0"/>
        <w:autoSpaceDE/>
        <w:autoSpaceDN/>
        <w:bidi w:val="0"/>
        <w:snapToGrid/>
        <w:spacing w:line="600" w:lineRule="exact"/>
        <w:ind w:firstLine="600" w:firstLineChars="200"/>
        <w:jc w:val="both"/>
        <w:rPr>
          <w:rFonts w:ascii="仿宋_GB2312" w:eastAsia="仿宋_GB2312" w:hint="default"/>
          <w:sz w:val="30"/>
          <w:szCs w:val="30"/>
          <w:highlight w:val="none"/>
          <w:lang w:val="en-US" w:eastAsia="zh-CN"/>
        </w:rPr>
      </w:pPr>
      <w:r>
        <w:rPr>
          <w:rFonts w:ascii="仿宋_GB2312" w:eastAsia="仿宋_GB2312" w:hint="eastAsia"/>
          <w:sz w:val="30"/>
          <w:szCs w:val="30"/>
          <w:highlight w:val="none"/>
          <w:lang w:val="en-US" w:eastAsia="zh-CN"/>
        </w:rPr>
        <w:t>天津市津南区辛庄镇卫生院，是为人民身体健康提供医疗与护理保健服务。其主要职责：医疗与护理、卫生医疗人员培训、卫生技术人员继续教育、预防保健与健康教育。</w:t>
      </w:r>
    </w:p>
    <w:p w14:paraId="643966F6">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bCs w:val="0"/>
          <w:sz w:val="30"/>
          <w:szCs w:val="30"/>
          <w:highlight w:val="none"/>
        </w:rPr>
      </w:pPr>
      <w:bookmarkStart w:id="2" w:name="_Toc20426"/>
      <w:r>
        <w:rPr>
          <w:rFonts w:ascii="黑体" w:eastAsia="黑体" w:hAnsi="黑体" w:hint="eastAsia"/>
          <w:b w:val="0"/>
          <w:bCs w:val="0"/>
          <w:sz w:val="30"/>
          <w:szCs w:val="30"/>
          <w:highlight w:val="none"/>
        </w:rPr>
        <w:t>二、机构设置</w:t>
      </w:r>
      <w:bookmarkEnd w:id="2"/>
    </w:p>
    <w:p w14:paraId="0E316961">
      <w:pPr>
        <w:pageBreakBefore w:val="0"/>
        <w:numPr>
          <w:ilvl w:val="0"/>
          <w:numId w:val="0"/>
        </w:numPr>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Times New Roman" w:cs="Times New Roman" w:hint="eastAsia"/>
          <w:sz w:val="30"/>
          <w:szCs w:val="30"/>
          <w:highlight w:val="none"/>
          <w:lang w:val="en-US" w:eastAsia="zh-CN"/>
        </w:rPr>
        <w:t>天津市津南区辛庄镇卫生院内设18个职能</w:t>
      </w:r>
      <w:r>
        <w:rPr>
          <w:rFonts w:ascii="仿宋_GB2312" w:eastAsia="仿宋_GB2312" w:cs="Times New Roman" w:hint="eastAsia"/>
          <w:sz w:val="30"/>
          <w:szCs w:val="30"/>
          <w:highlight w:val="none"/>
          <w:lang w:val="en-US" w:eastAsia="zh-CN"/>
        </w:rPr>
        <w:t>科</w:t>
      </w:r>
      <w:r>
        <w:rPr>
          <w:rFonts w:ascii="仿宋_GB2312" w:eastAsia="仿宋_GB2312" w:hAnsi="Times New Roman" w:cs="Times New Roman" w:hint="eastAsia"/>
          <w:sz w:val="30"/>
          <w:szCs w:val="30"/>
          <w:highlight w:val="none"/>
          <w:lang w:val="en-US" w:eastAsia="zh-CN"/>
        </w:rPr>
        <w:t xml:space="preserve">室。 </w:t>
      </w:r>
      <w:r>
        <w:rPr>
          <w:rFonts w:eastAsia="楷体_GB2312"/>
          <w:b/>
          <w:sz w:val="30"/>
          <w:szCs w:val="30"/>
          <w:highlight w:val="none"/>
        </w:rPr>
        <w:br w:type="page"/>
      </w:r>
    </w:p>
    <w:p w14:paraId="671C2795">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 w:name="_Toc15731"/>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二</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表</w:t>
      </w:r>
      <w:bookmarkEnd w:id="3"/>
    </w:p>
    <w:p w14:paraId="78377056">
      <w:pPr>
        <w:pageBreakBefore w:val="0"/>
        <w:kinsoku/>
        <w:wordWrap/>
        <w:overflowPunct/>
        <w:topLinePunct w:val="0"/>
        <w:autoSpaceDE/>
        <w:autoSpaceDN/>
        <w:bidi w:val="0"/>
        <w:snapToGrid/>
        <w:spacing w:line="600" w:lineRule="exact"/>
        <w:rPr>
          <w:rFonts w:hint="eastAsia"/>
          <w:highlight w:val="none"/>
        </w:rPr>
      </w:pPr>
    </w:p>
    <w:p w14:paraId="2A765E7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4" w:name="_Toc8843"/>
      <w:r>
        <w:rPr>
          <w:rFonts w:ascii="黑体" w:eastAsia="黑体" w:hAnsi="黑体"/>
          <w:b w:val="0"/>
          <w:sz w:val="30"/>
          <w:szCs w:val="30"/>
          <w:highlight w:val="none"/>
        </w:rPr>
        <w:t>一</w:t>
      </w:r>
      <w:r>
        <w:rPr>
          <w:rFonts w:ascii="黑体" w:eastAsia="黑体" w:hAnsi="黑体" w:hint="eastAsia"/>
          <w:b w:val="0"/>
          <w:sz w:val="30"/>
          <w:szCs w:val="30"/>
          <w:highlight w:val="none"/>
        </w:rPr>
        <w:t>、</w:t>
      </w:r>
      <w:r>
        <w:rPr>
          <w:rFonts w:ascii="黑体" w:eastAsia="黑体" w:hAnsi="黑体"/>
          <w:b w:val="0"/>
          <w:sz w:val="30"/>
          <w:szCs w:val="30"/>
          <w:highlight w:val="none"/>
        </w:rPr>
        <w:t>《</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4"/>
    </w:p>
    <w:p w14:paraId="464FD5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5" w:name="_Toc2552"/>
      <w:r>
        <w:rPr>
          <w:rFonts w:ascii="黑体" w:eastAsia="黑体" w:hAnsi="黑体"/>
          <w:b w:val="0"/>
          <w:sz w:val="30"/>
          <w:szCs w:val="30"/>
          <w:highlight w:val="none"/>
        </w:rPr>
        <w:t>二、《收入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（按功能分类列示）</w:t>
      </w:r>
      <w:r>
        <w:rPr>
          <w:rFonts w:ascii="黑体" w:eastAsia="黑体" w:hAnsi="黑体"/>
          <w:b w:val="0"/>
          <w:sz w:val="30"/>
          <w:szCs w:val="30"/>
          <w:highlight w:val="none"/>
        </w:rPr>
        <w:t>》</w:t>
      </w:r>
      <w:bookmarkEnd w:id="5"/>
    </w:p>
    <w:p w14:paraId="426CA08B">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6" w:name="_Toc27841"/>
      <w:r>
        <w:rPr>
          <w:rFonts w:ascii="黑体" w:eastAsia="黑体" w:hAnsi="黑体" w:hint="eastAsia"/>
          <w:b w:val="0"/>
          <w:sz w:val="30"/>
          <w:szCs w:val="30"/>
          <w:highlight w:val="none"/>
        </w:rPr>
        <w:t>三</w:t>
      </w:r>
      <w:r>
        <w:rPr>
          <w:rFonts w:ascii="黑体" w:eastAsia="黑体" w:hAnsi="黑体"/>
          <w:b w:val="0"/>
          <w:sz w:val="30"/>
          <w:szCs w:val="30"/>
          <w:highlight w:val="none"/>
        </w:rPr>
        <w:t>、《收入</w:t>
      </w:r>
      <w:r>
        <w:rPr>
          <w:rFonts w:ascii="黑体" w:eastAsia="黑体" w:hAnsi="黑体" w:hint="eastAsia"/>
          <w:b w:val="0"/>
          <w:sz w:val="30"/>
          <w:szCs w:val="30"/>
          <w:highlight w:val="none"/>
        </w:rPr>
        <w:t>决算</w:t>
      </w:r>
      <w:r>
        <w:rPr>
          <w:rFonts w:ascii="黑体" w:eastAsia="黑体" w:hAnsi="黑体"/>
          <w:b w:val="0"/>
          <w:sz w:val="30"/>
          <w:szCs w:val="30"/>
          <w:highlight w:val="none"/>
        </w:rPr>
        <w:t>表</w:t>
      </w:r>
      <w:r>
        <w:rPr>
          <w:rFonts w:ascii="黑体" w:eastAsia="黑体" w:hAnsi="黑体" w:hint="eastAsia"/>
          <w:b w:val="0"/>
          <w:sz w:val="30"/>
          <w:szCs w:val="30"/>
          <w:highlight w:val="none"/>
        </w:rPr>
        <w:t>（按单位列示）</w:t>
      </w:r>
      <w:r>
        <w:rPr>
          <w:rFonts w:ascii="黑体" w:eastAsia="黑体" w:hAnsi="黑体"/>
          <w:b w:val="0"/>
          <w:sz w:val="30"/>
          <w:szCs w:val="30"/>
          <w:highlight w:val="none"/>
        </w:rPr>
        <w:t>》</w:t>
      </w:r>
      <w:bookmarkEnd w:id="6"/>
    </w:p>
    <w:p w14:paraId="475FBA8F">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7" w:name="_Toc8617"/>
      <w:r>
        <w:rPr>
          <w:rFonts w:ascii="黑体" w:eastAsia="黑体" w:hAnsi="黑体" w:hint="eastAsia"/>
          <w:b w:val="0"/>
          <w:sz w:val="30"/>
          <w:szCs w:val="30"/>
          <w:highlight w:val="none"/>
        </w:rPr>
        <w:t>四、</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7"/>
    </w:p>
    <w:p w14:paraId="270015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8" w:name="_Toc12763"/>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决算总</w:t>
      </w:r>
      <w:r>
        <w:rPr>
          <w:rFonts w:ascii="黑体" w:eastAsia="黑体" w:hAnsi="黑体"/>
          <w:b w:val="0"/>
          <w:sz w:val="30"/>
          <w:szCs w:val="30"/>
          <w:highlight w:val="none"/>
        </w:rPr>
        <w:t>表》</w:t>
      </w:r>
      <w:bookmarkEnd w:id="8"/>
    </w:p>
    <w:p w14:paraId="0EC24594">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9" w:name="_Toc24693"/>
      <w:r>
        <w:rPr>
          <w:rFonts w:ascii="黑体" w:eastAsia="黑体" w:hAnsi="黑体"/>
          <w:b w:val="0"/>
          <w:sz w:val="30"/>
          <w:szCs w:val="30"/>
          <w:highlight w:val="none"/>
        </w:rPr>
        <w:t>六</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9"/>
    </w:p>
    <w:p w14:paraId="4AD9931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b w:val="0"/>
          <w:sz w:val="30"/>
          <w:szCs w:val="30"/>
          <w:highlight w:val="none"/>
        </w:rPr>
      </w:pPr>
      <w:bookmarkStart w:id="10" w:name="_Toc13125"/>
      <w:r>
        <w:rPr>
          <w:rFonts w:ascii="黑体" w:eastAsia="黑体" w:hAnsi="黑体"/>
          <w:b w:val="0"/>
          <w:sz w:val="30"/>
          <w:szCs w:val="30"/>
          <w:highlight w:val="none"/>
        </w:rPr>
        <w:t>七</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《一般公共预算财政拨款基本支出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0"/>
    </w:p>
    <w:p w14:paraId="7B7351B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1" w:name="_Toc27248"/>
      <w:r>
        <w:rPr>
          <w:rFonts w:ascii="黑体" w:eastAsia="黑体" w:hAnsi="黑体" w:hint="eastAsia"/>
          <w:b w:val="0"/>
          <w:sz w:val="30"/>
          <w:szCs w:val="30"/>
          <w:highlight w:val="none"/>
          <w:lang w:eastAsia="zh-CN"/>
        </w:rPr>
        <w:t>八</w:t>
      </w:r>
      <w:r>
        <w:rPr>
          <w:rFonts w:ascii="黑体" w:eastAsia="黑体" w:hAnsi="黑体" w:hint="eastAsia"/>
          <w:b w:val="0"/>
          <w:sz w:val="30"/>
          <w:szCs w:val="30"/>
          <w:highlight w:val="none"/>
        </w:rPr>
        <w:t>、</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收入</w:t>
      </w:r>
      <w:r>
        <w:rPr>
          <w:rFonts w:ascii="黑体" w:eastAsia="黑体" w:hAnsi="黑体"/>
          <w:b w:val="0"/>
          <w:sz w:val="30"/>
          <w:szCs w:val="30"/>
          <w:highlight w:val="none"/>
        </w:rPr>
        <w:t>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1"/>
    </w:p>
    <w:p w14:paraId="583F435C">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2" w:name="_Toc5066"/>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《国有资本经营预算财政拨款</w:t>
      </w:r>
      <w:r>
        <w:rPr>
          <w:rFonts w:ascii="黑体" w:eastAsia="黑体" w:hAnsi="黑体" w:hint="eastAsia"/>
          <w:b w:val="0"/>
          <w:sz w:val="30"/>
          <w:szCs w:val="30"/>
          <w:highlight w:val="none"/>
        </w:rPr>
        <w:t>收入支出决算</w:t>
      </w:r>
      <w:r>
        <w:rPr>
          <w:rFonts w:ascii="黑体" w:eastAsia="黑体" w:hAnsi="黑体"/>
          <w:b w:val="0"/>
          <w:sz w:val="30"/>
          <w:szCs w:val="30"/>
          <w:highlight w:val="none"/>
        </w:rPr>
        <w:t>表》</w:t>
      </w:r>
      <w:bookmarkEnd w:id="12"/>
    </w:p>
    <w:p w14:paraId="3B9CB3D2">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3" w:name="_Toc21014"/>
      <w:r>
        <w:rPr>
          <w:rFonts w:ascii="黑体" w:eastAsia="黑体" w:hAnsi="黑体" w:hint="eastAsia"/>
          <w:b w:val="0"/>
          <w:sz w:val="30"/>
          <w:szCs w:val="30"/>
          <w:highlight w:val="none"/>
          <w:lang w:eastAsia="zh-CN"/>
        </w:rPr>
        <w:t>十</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《财政拨款“三公”经费支出</w:t>
      </w:r>
      <w:r>
        <w:rPr>
          <w:rFonts w:ascii="黑体" w:eastAsia="黑体" w:hAnsi="黑体" w:hint="eastAsia"/>
          <w:b w:val="0"/>
          <w:sz w:val="30"/>
          <w:szCs w:val="30"/>
          <w:highlight w:val="none"/>
        </w:rPr>
        <w:t>决算</w:t>
      </w:r>
      <w:r>
        <w:rPr>
          <w:rFonts w:ascii="黑体" w:eastAsia="黑体" w:hAnsi="黑体"/>
          <w:b w:val="0"/>
          <w:sz w:val="30"/>
          <w:szCs w:val="30"/>
          <w:highlight w:val="none"/>
        </w:rPr>
        <w:t>表》</w:t>
      </w:r>
      <w:bookmarkEnd w:id="13"/>
    </w:p>
    <w:p w14:paraId="5E3E5525">
      <w:pPr>
        <w:pStyle w:val="Heading2"/>
        <w:pageBreakBefore w:val="0"/>
        <w:kinsoku/>
        <w:wordWrap/>
        <w:overflowPunct/>
        <w:topLinePunct w:val="0"/>
        <w:autoSpaceDE/>
        <w:autoSpaceDN/>
        <w:bidi w:val="0"/>
        <w:snapToGrid/>
        <w:spacing w:before="0" w:after="0" w:line="800" w:lineRule="exact"/>
        <w:ind w:firstLine="600" w:firstLineChars="200"/>
        <w:rPr>
          <w:rFonts w:ascii="黑体" w:eastAsia="黑体" w:hAnsi="黑体" w:hint="eastAsia"/>
          <w:b w:val="0"/>
          <w:sz w:val="30"/>
          <w:szCs w:val="30"/>
          <w:highlight w:val="none"/>
        </w:rPr>
      </w:pPr>
      <w:bookmarkStart w:id="14" w:name="_Toc13144"/>
      <w:r>
        <w:rPr>
          <w:rFonts w:ascii="黑体" w:eastAsia="黑体" w:hAnsi="黑体"/>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《项目支出决算表》</w:t>
      </w:r>
      <w:bookmarkEnd w:id="14"/>
    </w:p>
    <w:p w14:paraId="4FB5AA28">
      <w:pPr>
        <w:pageBreakBefore w:val="0"/>
        <w:kinsoku/>
        <w:wordWrap/>
        <w:overflowPunct/>
        <w:topLinePunct w:val="0"/>
        <w:autoSpaceDE/>
        <w:autoSpaceDN/>
        <w:bidi w:val="0"/>
        <w:snapToGrid/>
        <w:spacing w:line="800" w:lineRule="exact"/>
        <w:ind w:left="600" w:hanging="600" w:hangingChars="200"/>
        <w:rPr>
          <w:rFonts w:ascii="黑体" w:eastAsia="黑体" w:hAnsi="黑体" w:hint="eastAsia"/>
          <w:b w:val="0"/>
          <w:bCs w:val="0"/>
          <w:sz w:val="30"/>
          <w:szCs w:val="30"/>
          <w:highlight w:val="none"/>
        </w:rPr>
      </w:pPr>
      <w:r>
        <w:rPr>
          <w:rFonts w:eastAsia="楷体" w:hint="eastAsia"/>
          <w:sz w:val="30"/>
          <w:szCs w:val="30"/>
          <w:highlight w:val="none"/>
        </w:rPr>
        <w:t>注：以上决算公开表均作为附表，附于决算公开说明文档后。</w:t>
      </w:r>
      <w:r>
        <w:rPr>
          <w:rFonts w:hint="eastAsia"/>
          <w:b w:val="0"/>
          <w:bCs w:val="0"/>
          <w:highlight w:val="none"/>
          <w:lang w:val="en-US" w:eastAsia="zh-CN"/>
        </w:rPr>
        <w:t xml:space="preserve">    </w:t>
      </w:r>
      <w:r>
        <w:rPr>
          <w:rFonts w:ascii="黑体" w:eastAsia="黑体" w:hAnsi="黑体" w:cs="Times New Roman" w:hint="eastAsia"/>
          <w:b w:val="0"/>
          <w:bCs/>
          <w:sz w:val="30"/>
          <w:szCs w:val="30"/>
          <w:highlight w:val="none"/>
          <w:lang w:val="en-US" w:eastAsia="zh-CN" w:bidi="ar-SA"/>
        </w:rPr>
        <w:t>十二、关于空表的说明</w:t>
      </w:r>
    </w:p>
    <w:p w14:paraId="4698F441">
      <w:pPr>
        <w:pageBreakBefore w:val="0"/>
        <w:numPr>
          <w:ilvl w:val="0"/>
          <w:numId w:val="0"/>
        </w:numPr>
        <w:kinsoku/>
        <w:wordWrap/>
        <w:overflowPunct/>
        <w:topLinePunct w:val="0"/>
        <w:autoSpaceDE/>
        <w:autoSpaceDN/>
        <w:bidi w:val="0"/>
        <w:snapToGrid/>
        <w:spacing w:line="600" w:lineRule="exact"/>
        <w:ind w:firstLine="600" w:firstLineChars="200"/>
        <w:jc w:val="both"/>
        <w:rPr>
          <w:rFonts w:ascii="仿宋_GB2312" w:eastAsia="仿宋_GB2312" w:hAnsi="Times New Roman" w:cs="Times New Roman" w:hint="default"/>
          <w:sz w:val="30"/>
          <w:szCs w:val="30"/>
          <w:highlight w:val="none"/>
          <w:lang w:val="en-US" w:eastAsia="zh-CN"/>
        </w:rPr>
        <w:sectPr>
          <w:footerReference w:type="default" r:id="rId6"/>
          <w:pgSz w:w="11906" w:h="16838"/>
          <w:pgMar w:top="1440" w:right="1800" w:bottom="1440" w:left="1800" w:header="851" w:footer="992" w:gutter="0"/>
          <w:pgNumType w:start="1"/>
          <w:cols w:num="1" w:space="720"/>
          <w:docGrid w:type="lines" w:linePitch="312" w:charSpace="0"/>
        </w:sectPr>
      </w:pPr>
      <w:r>
        <w:rPr>
          <w:rFonts w:ascii="仿宋_GB2312" w:eastAsia="仿宋_GB2312" w:hAnsi="Times New Roman" w:cs="Times New Roman" w:hint="eastAsia"/>
          <w:sz w:val="30"/>
          <w:szCs w:val="30"/>
          <w:highlight w:val="none"/>
          <w:lang w:val="en-US" w:eastAsia="zh-CN"/>
        </w:rPr>
        <w:t>1.天津市津南区辛庄镇卫生院2023年度政府性基金预算财政拨款收入支出决算表为空表。</w:t>
        <w:br/>
        <w:t>　　2.天津市津南区辛庄镇卫生院2023年度国有资本经营预算财政拨款收入支出决算表为空表。</w:t>
        <w:br/>
        <w:t>　　3.天津市津南区辛庄镇卫生院2023年度财政拨款“三公”经费支出决算表为空表。</w:t>
      </w:r>
    </w:p>
    <w:p w14:paraId="2224BE62">
      <w:pPr>
        <w:pageBreakBefore w:val="0"/>
        <w:kinsoku/>
        <w:wordWrap/>
        <w:overflowPunct/>
        <w:topLinePunct w:val="0"/>
        <w:autoSpaceDE/>
        <w:autoSpaceDN/>
        <w:bidi w:val="0"/>
        <w:snapToGrid/>
        <w:spacing w:line="640" w:lineRule="exact"/>
        <w:jc w:val="center"/>
        <w:rPr>
          <w:rFonts w:eastAsia="黑体" w:hint="eastAsia"/>
          <w:sz w:val="30"/>
          <w:szCs w:val="30"/>
          <w:highlight w:val="none"/>
        </w:rPr>
      </w:pPr>
    </w:p>
    <w:p w14:paraId="79BC762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b w:val="0"/>
          <w:sz w:val="44"/>
          <w:szCs w:val="44"/>
          <w:highlight w:val="none"/>
        </w:rPr>
      </w:pPr>
      <w:bookmarkStart w:id="15" w:name="_Toc6548"/>
      <w:r>
        <w:rPr>
          <w:rFonts w:ascii="方正小标宋简体" w:eastAsia="方正小标宋简体" w:hAnsi="方正小标宋简体" w:cs="方正小标宋简体"/>
          <w:b w:val="0"/>
          <w:sz w:val="44"/>
          <w:szCs w:val="44"/>
          <w:highlight w:val="none"/>
        </w:rPr>
        <w:t>第</w:t>
      </w:r>
      <w:r>
        <w:rPr>
          <w:rFonts w:ascii="方正小标宋简体" w:eastAsia="方正小标宋简体" w:hAnsi="方正小标宋简体" w:cs="方正小标宋简体" w:hint="eastAsia"/>
          <w:b w:val="0"/>
          <w:sz w:val="44"/>
          <w:szCs w:val="44"/>
          <w:highlight w:val="none"/>
        </w:rPr>
        <w:t>三</w:t>
      </w:r>
      <w:r>
        <w:rPr>
          <w:rFonts w:ascii="方正小标宋简体" w:eastAsia="方正小标宋简体" w:hAnsi="方正小标宋简体" w:cs="方正小标宋简体"/>
          <w:b w:val="0"/>
          <w:sz w:val="44"/>
          <w:szCs w:val="44"/>
          <w:highlight w:val="none"/>
        </w:rPr>
        <w:t xml:space="preserve">部分  </w:t>
      </w:r>
      <w:r>
        <w:rPr>
          <w:rFonts w:ascii="方正小标宋简体" w:eastAsia="方正小标宋简体" w:hAnsi="方正小标宋简体" w:cs="方正小标宋简体" w:hint="eastAsia"/>
          <w:b w:val="0"/>
          <w:sz w:val="44"/>
          <w:szCs w:val="44"/>
          <w:highlight w:val="none"/>
          <w:lang w:eastAsia="zh-CN"/>
        </w:rPr>
        <w:t>202</w:t>
      </w:r>
      <w:r>
        <w:rPr>
          <w:rFonts w:ascii="方正小标宋简体" w:eastAsia="方正小标宋简体" w:hAnsi="方正小标宋简体" w:cs="方正小标宋简体" w:hint="eastAsia"/>
          <w:b w:val="0"/>
          <w:sz w:val="44"/>
          <w:szCs w:val="44"/>
          <w:highlight w:val="none"/>
          <w:lang w:val="en-US" w:eastAsia="zh-CN"/>
        </w:rPr>
        <w:t>3</w:t>
      </w:r>
      <w:r>
        <w:rPr>
          <w:rFonts w:ascii="方正小标宋简体" w:eastAsia="方正小标宋简体" w:hAnsi="方正小标宋简体" w:cs="方正小标宋简体"/>
          <w:b w:val="0"/>
          <w:sz w:val="44"/>
          <w:szCs w:val="44"/>
          <w:highlight w:val="none"/>
        </w:rPr>
        <w:t>年度部门决算</w:t>
      </w:r>
      <w:r>
        <w:rPr>
          <w:rFonts w:ascii="方正小标宋简体" w:eastAsia="方正小标宋简体" w:hAnsi="方正小标宋简体" w:cs="方正小标宋简体" w:hint="eastAsia"/>
          <w:b w:val="0"/>
          <w:sz w:val="44"/>
          <w:szCs w:val="44"/>
          <w:highlight w:val="none"/>
        </w:rPr>
        <w:t>情况</w:t>
      </w:r>
      <w:r>
        <w:rPr>
          <w:rFonts w:ascii="方正小标宋简体" w:eastAsia="方正小标宋简体" w:hAnsi="方正小标宋简体" w:cs="方正小标宋简体"/>
          <w:b w:val="0"/>
          <w:sz w:val="44"/>
          <w:szCs w:val="44"/>
          <w:highlight w:val="none"/>
        </w:rPr>
        <w:t>说明</w:t>
      </w:r>
      <w:bookmarkEnd w:id="15"/>
    </w:p>
    <w:p w14:paraId="7E86362F">
      <w:pPr>
        <w:pageBreakBefore w:val="0"/>
        <w:kinsoku/>
        <w:wordWrap/>
        <w:overflowPunct/>
        <w:topLinePunct w:val="0"/>
        <w:autoSpaceDE/>
        <w:autoSpaceDN/>
        <w:bidi w:val="0"/>
        <w:snapToGrid/>
        <w:spacing w:line="600" w:lineRule="exact"/>
        <w:ind w:firstLine="600" w:firstLineChars="200"/>
        <w:rPr>
          <w:rFonts w:ascii="黑体" w:eastAsia="黑体" w:hint="eastAsia"/>
          <w:sz w:val="30"/>
          <w:szCs w:val="30"/>
          <w:highlight w:val="none"/>
        </w:rPr>
      </w:pPr>
    </w:p>
    <w:p w14:paraId="033FFF87">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6" w:name="_Toc28044"/>
      <w:r>
        <w:rPr>
          <w:rFonts w:ascii="黑体" w:eastAsia="黑体" w:hAnsi="黑体" w:hint="eastAsia"/>
          <w:b w:val="0"/>
          <w:sz w:val="30"/>
          <w:szCs w:val="30"/>
          <w:highlight w:val="none"/>
        </w:rPr>
        <w:t>一、收入支出决算总体情况说明</w:t>
      </w:r>
      <w:bookmarkEnd w:id="16"/>
    </w:p>
    <w:p w14:paraId="7BA9BE3C">
      <w:pPr>
        <w:pageBreakBefore w:val="0"/>
        <w:kinsoku/>
        <w:wordWrap/>
        <w:overflowPunct/>
        <w:topLinePunct w:val="0"/>
        <w:autoSpaceDE/>
        <w:autoSpaceDN/>
        <w:bidi w:val="0"/>
        <w:snapToGrid/>
        <w:spacing w:line="600" w:lineRule="exact"/>
        <w:jc w:val="both"/>
        <w:rPr>
          <w:rFonts w:eastAsia="楷体_GB2312" w:hint="eastAsia"/>
          <w:b/>
          <w:sz w:val="30"/>
          <w:szCs w:val="30"/>
          <w:highlight w:val="none"/>
        </w:rPr>
      </w:pPr>
      <w:r>
        <w:rPr>
          <w:rFonts w:eastAsia="仿宋_GB2312" w:hint="eastAsia"/>
          <w:sz w:val="30"/>
          <w:szCs w:val="30"/>
          <w:highlight w:val="none"/>
        </w:rPr>
        <w:t xml:space="preserve">   </w:t>
      </w:r>
      <w:r>
        <w:rPr>
          <w:rFonts w:ascii="Times New Roman" w:eastAsia="仿宋_GB2312" w:hAnsi="Times New Roman" w:cs="Times New Roman" w:hint="eastAsia"/>
          <w:sz w:val="30"/>
          <w:szCs w:val="30"/>
          <w:highlight w:val="none"/>
        </w:rPr>
        <w:t xml:space="preserve"> </w:t>
      </w:r>
      <w:r>
        <w:rPr>
          <w:rFonts w:ascii="仿宋_GB2312" w:eastAsia="仿宋_GB2312" w:hAnsi="仿宋_GB2312" w:cs="仿宋_GB2312" w:hint="eastAsia"/>
          <w:sz w:val="30"/>
          <w:szCs w:val="30"/>
          <w:highlight w:val="none"/>
          <w:lang w:val="en-US" w:eastAsia="zh-CN"/>
        </w:rPr>
        <w:t>天津市津南区辛庄镇卫生院2023年度收入、支出决算总计55,285,069.88元。与2022年度相比，收、支总计各增加11,936,595.83元，增长27.54%，主要原因是本单位2022年未将往年的非财政拨款结余和专用结余纳入决算，故2023年度收入、支出决算总计55285069.88元。与2022年度相比，收、支总计各增加11936595.83元，增长27.54%。</w:t>
      </w:r>
    </w:p>
    <w:p w14:paraId="115E107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7" w:name="_Toc12176"/>
      <w:r>
        <w:rPr>
          <w:rFonts w:ascii="黑体" w:eastAsia="黑体" w:hAnsi="黑体" w:cs="仿宋_GB2312" w:hint="eastAsia"/>
          <w:b w:val="0"/>
          <w:sz w:val="30"/>
          <w:szCs w:val="30"/>
          <w:highlight w:val="none"/>
        </w:rPr>
        <w:t>二、收入决算情况说明</w:t>
      </w:r>
      <w:bookmarkEnd w:id="17"/>
    </w:p>
    <w:p w14:paraId="27E464C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辛庄镇卫生院2023年度本年收入合计43,857,971.65元。与2022年度相比增加2,316,905.95元，主要原因是因疫情原因，本单位2022年药品和疫苗收入都有所减少，故2023年度收入合计43857971.65元，与2022年度相比增加2316905.95元。其中：一般公共预算财政拨款收入16,805,460.55元，占38.32%；事业收入26,637,900.78元，占60.74%；其他收入414,610.32元，占0.95%。</w:t>
      </w:r>
    </w:p>
    <w:p w14:paraId="72BD76E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cs="仿宋_GB2312" w:hint="eastAsia"/>
          <w:b w:val="0"/>
          <w:sz w:val="30"/>
          <w:szCs w:val="30"/>
          <w:highlight w:val="none"/>
        </w:rPr>
      </w:pPr>
      <w:bookmarkStart w:id="18" w:name="_Toc31212"/>
      <w:r>
        <w:rPr>
          <w:rFonts w:ascii="黑体" w:eastAsia="黑体" w:hAnsi="黑体" w:cs="仿宋_GB2312" w:hint="eastAsia"/>
          <w:b w:val="0"/>
          <w:sz w:val="30"/>
          <w:szCs w:val="30"/>
          <w:highlight w:val="none"/>
        </w:rPr>
        <w:t>三、</w:t>
      </w:r>
      <w:r>
        <w:rPr>
          <w:rFonts w:ascii="黑体" w:eastAsia="黑体" w:hAnsi="黑体" w:cs="仿宋_GB2312"/>
          <w:b w:val="0"/>
          <w:sz w:val="30"/>
          <w:szCs w:val="30"/>
          <w:highlight w:val="none"/>
        </w:rPr>
        <w:t>支出</w:t>
      </w:r>
      <w:r>
        <w:rPr>
          <w:rFonts w:ascii="黑体" w:eastAsia="黑体" w:hAnsi="黑体" w:cs="仿宋_GB2312" w:hint="eastAsia"/>
          <w:b w:val="0"/>
          <w:sz w:val="30"/>
          <w:szCs w:val="30"/>
          <w:highlight w:val="none"/>
        </w:rPr>
        <w:t>决算</w:t>
      </w:r>
      <w:r>
        <w:rPr>
          <w:rFonts w:ascii="黑体" w:eastAsia="黑体" w:hAnsi="黑体" w:cs="仿宋_GB2312"/>
          <w:b w:val="0"/>
          <w:sz w:val="30"/>
          <w:szCs w:val="30"/>
          <w:highlight w:val="none"/>
        </w:rPr>
        <w:t>情况</w:t>
      </w:r>
      <w:r>
        <w:rPr>
          <w:rFonts w:ascii="黑体" w:eastAsia="黑体" w:hAnsi="黑体" w:cs="仿宋_GB2312" w:hint="eastAsia"/>
          <w:b w:val="0"/>
          <w:sz w:val="30"/>
          <w:szCs w:val="30"/>
          <w:highlight w:val="none"/>
        </w:rPr>
        <w:t>说明</w:t>
      </w:r>
      <w:bookmarkEnd w:id="18"/>
    </w:p>
    <w:p w14:paraId="014FC260">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辛庄镇卫生院2023年度本年支出合计45,166,431.01元。与2022年度相比增加1,817,956.96元，主要原因是因疫情原因，本单位2022年药品和疫苗收入都有所减少，故2023年度支出合计45166431.01元，与2022年度相比增加1817956.96元。其中：基本支出35,841,916.67元，占79.36%；项目支出9,324,514.34元，占20.64%。</w:t>
      </w:r>
    </w:p>
    <w:p w14:paraId="27F86E7C">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19" w:name="_Toc19211"/>
      <w:r>
        <w:rPr>
          <w:rFonts w:ascii="黑体" w:eastAsia="黑体" w:hAnsi="黑体" w:hint="eastAsia"/>
          <w:b w:val="0"/>
          <w:sz w:val="30"/>
          <w:szCs w:val="30"/>
          <w:highlight w:val="none"/>
        </w:rPr>
        <w:t>四、财政拨款收支决算总体情况说明</w:t>
      </w:r>
      <w:bookmarkEnd w:id="19"/>
    </w:p>
    <w:p w14:paraId="035EADBC">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辛庄镇卫生院2023年度财政拨款收入、支出决算总计16,805,460.55元。与2022年度相比，财政拨款收、支总计各减少1,175,563.90元，下降6.54%，主要原因是本单位与镇财政沟通后，镇财政2023年只担负在编人员工资及保险待遇的70%，故2023年度财政拨款支出合计16805460.55元，与2022年度相比减少1175563.9元。</w:t>
      </w:r>
    </w:p>
    <w:p w14:paraId="64D9186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0" w:name="_Toc25286"/>
      <w:r>
        <w:rPr>
          <w:rFonts w:ascii="黑体" w:eastAsia="黑体" w:hAnsi="黑体"/>
          <w:b w:val="0"/>
          <w:sz w:val="30"/>
          <w:szCs w:val="30"/>
          <w:highlight w:val="none"/>
        </w:rPr>
        <w:t>五</w:t>
      </w:r>
      <w:r>
        <w:rPr>
          <w:rFonts w:ascii="黑体" w:eastAsia="黑体" w:hAnsi="黑体" w:hint="eastAsia"/>
          <w:b w:val="0"/>
          <w:sz w:val="30"/>
          <w:szCs w:val="30"/>
          <w:highlight w:val="none"/>
        </w:rPr>
        <w:t>、</w:t>
      </w:r>
      <w:r>
        <w:rPr>
          <w:rFonts w:ascii="黑体" w:eastAsia="黑体" w:hAnsi="黑体"/>
          <w:b w:val="0"/>
          <w:sz w:val="30"/>
          <w:szCs w:val="30"/>
          <w:highlight w:val="none"/>
        </w:rPr>
        <w:t>一般公共预算财政拨款支出决算情况</w:t>
      </w:r>
      <w:r>
        <w:rPr>
          <w:rFonts w:ascii="黑体" w:eastAsia="黑体" w:hAnsi="黑体" w:hint="eastAsia"/>
          <w:b w:val="0"/>
          <w:sz w:val="30"/>
          <w:szCs w:val="30"/>
          <w:highlight w:val="none"/>
        </w:rPr>
        <w:t>说明</w:t>
      </w:r>
      <w:bookmarkEnd w:id="20"/>
    </w:p>
    <w:p w14:paraId="0D6DBCCF">
      <w:pPr>
        <w:pageBreakBefore w:val="0"/>
        <w:kinsoku/>
        <w:wordWrap/>
        <w:overflowPunct/>
        <w:topLinePunct w:val="0"/>
        <w:autoSpaceDE/>
        <w:autoSpaceDN/>
        <w:bidi w:val="0"/>
        <w:snapToGrid/>
        <w:spacing w:line="600" w:lineRule="exact"/>
        <w:ind w:left="480" w:left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（一）总体情况</w:t>
      </w:r>
    </w:p>
    <w:p w14:paraId="2CCD4E54">
      <w:pPr>
        <w:pageBreakBefore w:val="0"/>
        <w:kinsoku/>
        <w:wordWrap/>
        <w:overflowPunct/>
        <w:topLinePunct w:val="0"/>
        <w:autoSpaceDE/>
        <w:autoSpaceDN/>
        <w:bidi w:val="0"/>
        <w:snapToGrid/>
        <w:spacing w:line="600" w:lineRule="exact"/>
        <w:ind w:firstLine="600" w:firstLineChars="200"/>
        <w:jc w:val="both"/>
        <w:rPr>
          <w:rFonts w:eastAsia="楷体_GB2312" w:hint="eastAsia"/>
          <w:b/>
          <w:sz w:val="30"/>
          <w:szCs w:val="30"/>
          <w:highlight w:val="none"/>
        </w:rPr>
      </w:pPr>
      <w:r>
        <w:rPr>
          <w:rFonts w:ascii="仿宋_GB2312" w:eastAsia="仿宋_GB2312" w:hAnsi="仿宋_GB2312" w:cs="仿宋_GB2312" w:hint="eastAsia"/>
          <w:sz w:val="30"/>
          <w:szCs w:val="30"/>
          <w:highlight w:val="none"/>
          <w:lang w:val="en-US" w:eastAsia="zh-CN"/>
        </w:rPr>
        <w:t>天津市津南区辛庄镇卫生院2023年度部门决算一般公共预算财政拨款支出合计16,805,460.55元，占本年支出合计的100.00%。与2022年度相比，一般公共预算财政拨款支出减少1,175,563.90元，下降6.54%，主要原因是本单位与镇财政沟通后，镇财政2023年只担负在编人员工资及保险待遇的70%，故2023年度财政拨款支出合计16805460.55元，与2022年度相比减少1175563.9元。</w:t>
      </w:r>
    </w:p>
    <w:p w14:paraId="6DC3EBD7">
      <w:pPr>
        <w:pageBreakBefore w:val="0"/>
        <w:kinsoku/>
        <w:wordWrap/>
        <w:overflowPunct/>
        <w:topLinePunct w:val="0"/>
        <w:autoSpaceDE/>
        <w:autoSpaceDN/>
        <w:bidi w:val="0"/>
        <w:snapToGrid/>
        <w:spacing w:line="600" w:lineRule="exact"/>
        <w:ind w:firstLine="600" w:firstLineChars="200"/>
        <w:rPr>
          <w:rFonts w:ascii="楷体" w:eastAsia="楷体" w:hAnsi="楷体" w:cs="仿宋_GB2312" w:hint="eastAsia"/>
          <w:b/>
          <w:sz w:val="30"/>
          <w:szCs w:val="30"/>
          <w:highlight w:val="none"/>
        </w:rPr>
      </w:pPr>
      <w:r>
        <w:rPr>
          <w:rFonts w:ascii="楷体" w:eastAsia="楷体" w:hAnsi="楷体" w:cs="仿宋_GB2312" w:hint="eastAsia"/>
          <w:b/>
          <w:sz w:val="30"/>
          <w:szCs w:val="30"/>
          <w:highlight w:val="none"/>
        </w:rPr>
        <w:t>（二）支出结构情况</w:t>
      </w:r>
    </w:p>
    <w:p w14:paraId="4FE5B959">
      <w:pPr>
        <w:pageBreakBefore w:val="0"/>
        <w:kinsoku/>
        <w:wordWrap/>
        <w:overflowPunct/>
        <w:topLinePunct w:val="0"/>
        <w:autoSpaceDE/>
        <w:autoSpaceDN/>
        <w:bidi w:val="0"/>
        <w:snapToGrid/>
        <w:spacing w:line="600" w:lineRule="exact"/>
        <w:ind w:firstLine="600" w:firstLineChars="200"/>
        <w:jc w:val="both"/>
        <w:rPr>
          <w:rFonts w:eastAsia="仿宋_GB2312" w:hint="eastAsia"/>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2023年度一般公共预算财政拨款支出16,805,460.55元，主要用于以下方面：</w:t>
        <w:br/>
        <w:t>　　教育支出（类）支出10,000.00元，占0.06%；</w:t>
        <w:br/>
        <w:t>　　社会保障和就业支出（类）支出795,950.00元，占4.74%；</w:t>
        <w:br/>
        <w:t>　　卫生健康支出（类）支出15,209,511.55元，占90.50%；</w:t>
        <w:br/>
        <w:t>　　援助其他地区支出（类）支出32,810.00元，占0.20%；</w:t>
        <w:br/>
        <w:t>　　住房保障支出（类）支出757,189.00元，占4.51%。</w:t>
      </w:r>
    </w:p>
    <w:p w14:paraId="25EC0BDB">
      <w:pPr>
        <w:pageBreakBefore w:val="0"/>
        <w:numPr>
          <w:ilvl w:val="0"/>
          <w:numId w:val="1"/>
        </w:numPr>
        <w:kinsoku/>
        <w:wordWrap/>
        <w:overflowPunct/>
        <w:topLinePunct w:val="0"/>
        <w:autoSpaceDE/>
        <w:autoSpaceDN/>
        <w:bidi w:val="0"/>
        <w:snapToGrid/>
        <w:spacing w:line="600" w:lineRule="exact"/>
        <w:ind w:firstLine="600" w:firstLineChars="200"/>
        <w:rPr>
          <w:rFonts w:ascii="楷体" w:eastAsia="楷体" w:hAnsi="楷体" w:cs="仿宋_GB2312"/>
          <w:b/>
          <w:sz w:val="30"/>
          <w:szCs w:val="30"/>
          <w:highlight w:val="none"/>
        </w:rPr>
      </w:pPr>
      <w:r>
        <w:rPr>
          <w:rFonts w:ascii="楷体" w:eastAsia="楷体" w:hAnsi="楷体" w:cs="仿宋_GB2312"/>
          <w:b/>
          <w:sz w:val="30"/>
          <w:szCs w:val="30"/>
          <w:highlight w:val="none"/>
        </w:rPr>
        <w:t>具体情况</w:t>
      </w:r>
    </w:p>
    <w:p w14:paraId="0502470A">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2023年度一般公共预算财政拨款支出年初预算为16,224,691.21元，支出决算为16,805,460.55元，完成年初预算的103.58%。其中：</w:t>
        <w:br/>
        <w:t>　　1.教育支出（类）普通教育（款）其他普通教育支出（项）年初预算为0元，支出决算为10,000.00元，决算数大于年初预算数主要原因为此项目为2023年9月拨付的项目，年初未有预算。</w:t>
        <w:br/>
        <w:t>　　2.社会保障和就业支出（类）人力资源和社会保障管理事务（款）其他人力资源和社会保障管理事务支出（项）年初预算为32502元，支出决算为32,502.00元，完成年初预算的100%，决算数等于年初预算数。</w:t>
        <w:br/>
        <w:t>　　3.社会保障和就业支出（类）行政事业单位养老支出（款）机关事业单位基本养老保险缴费支出（项）年初预算为508965元，支出决算为508,965.00元，完成年初预算的100%，决算数等于年初预算数。</w:t>
        <w:br/>
        <w:t>　　4.社会保障和就业支出（类）行政事业单位养老支出（款）机关事业单位职业年金缴费支出（项）年初预算为254483元，支出决算为254,483.00元，完成年初预算的100%，决算数等于年初预算数。</w:t>
        <w:br/>
        <w:t>　　5.卫生健康支出（类）卫生健康管理事务（款）其他卫生健康管理事务支出（项）年初预算为2093440元，支出决算为2,071,236.00元，完成年初预算的98.94%，决算数小于年初预算数的主要原因是此项目含镇村一体化项目经费，此经费为乡医工资，年中有2位乡医辞职，故此项金额未完成。</w:t>
        <w:br/>
        <w:t>　　6.卫生健康支出（类）基层医疗卫生机构（款）城市社区卫生机构（项）年初预算为158453元，支出决算为609,791.00元，完成年初预算的384.84%，决算数大于年初预算数的主要原因是2023年中期，上级又增加了部分项目经费，故决算数大于预算数。</w:t>
        <w:br/>
        <w:t>　　7.卫生健康支出（类）基层医疗卫生机构（款）乡镇卫生院（项）年初预算为5645466.81元，支出决算为5,687,867.21元，完成年初预算的100.75%，决算数大于年初预算数的主要原因是2023年中期，上级又增加了部分项目经费。</w:t>
        <w:br/>
        <w:t>　　8.卫生健康支出（类）公共卫生（款）基本公共卫生服务（项）年初预算为5709338.4元，支出决算为6,008,271.40元，完成年初预算的105.23%，决算大于年初预算数的主要原因是2023年中期，上级又增加了部分项目经费。</w:t>
        <w:br/>
        <w:t>　　9.卫生健康支出（类）公共卫生（款）重大公共卫生服务（项）年初预算为83550元，支出决算为98,550.00元，完成年初预算的117.95%，决算数大于年初预算数的主要原因是是2023年中期，上级又增加了部分项目经费，故决算数大于预算数。</w:t>
        <w:br/>
        <w:t>　　10.卫生健康支出（类）公共卫生（款）突发公共卫生事件应急处理（项）年初预算为0元，支出决算为68,180.00元，决算数大于年初预算数的主要原因是2023年中期，上级又增加了项目经费，故决算数大于预算数。</w:t>
        <w:br/>
        <w:t>　　11.卫生健康支出（类）行政事业单位医疗（款）事业单位医疗（项）年初预算为334,009.00元，支出决算为334,009.00元，完成年初预算的100%，决算数等于年初预算数。</w:t>
        <w:br/>
        <w:t>　　12.卫生健康支出（类）行政事业单位医疗（款）其他行政事业单位医疗支出（项）年初预算为75600元，支出决算为75,600.00元，完成年初预算的100%，决算数等于年初预算数。</w:t>
        <w:br/>
        <w:t>　　13.卫生健康支出（类）其他卫生健康支出（款）其他卫生健康支出（项）年初预算为460500元，支出决算为256,006.94元，完成年初预算的55.59%，决算数小于年初预算数的主要原因是精神药品年初计划服药人次多于实际服药人次，报销人次减少；2023年质控检查次数减少，预算经费未使用完。</w:t>
        <w:br/>
        <w:t>　　14.援助其他地区支出（类）卫生健康（款）卫生健康（项）年初预算为25000元，支出决算为32,810.00元，完成年初预算的131.24%，决算数大于年初预算数的主要原因是2023年中期，上级又增加了项目经费，故决算数大于预算数。</w:t>
        <w:br/>
        <w:t>　　15.住房保障支出（类）住房改革支出（款）住房公积金（项）年初预算为843684元，支出决算为757,189.00元，完成年初预算的89.75%，决算数小于年初预算数的主要原因是2023年中期调整公积金基数后，公积金有所下降。</w:t>
      </w:r>
    </w:p>
    <w:p w14:paraId="36C75B1F">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1" w:name="_Toc26433"/>
      <w:r>
        <w:rPr>
          <w:rFonts w:ascii="黑体" w:eastAsia="黑体" w:hAnsi="黑体"/>
          <w:b w:val="0"/>
          <w:sz w:val="30"/>
          <w:szCs w:val="30"/>
          <w:highlight w:val="none"/>
        </w:rPr>
        <w:t>六、一般公共预算财政拨款基本支出决算情况</w:t>
      </w:r>
      <w:r>
        <w:rPr>
          <w:rFonts w:ascii="黑体" w:eastAsia="黑体" w:hAnsi="黑体" w:hint="eastAsia"/>
          <w:b w:val="0"/>
          <w:sz w:val="30"/>
          <w:szCs w:val="30"/>
          <w:highlight w:val="none"/>
          <w:lang w:eastAsia="zh-CN"/>
        </w:rPr>
        <w:t>说明</w:t>
      </w:r>
      <w:bookmarkEnd w:id="21"/>
    </w:p>
    <w:p w14:paraId="69C6373B">
      <w:pPr>
        <w:pageBreakBefore w:val="0"/>
        <w:kinsoku/>
        <w:wordWrap/>
        <w:overflowPunct/>
        <w:topLinePunct w:val="0"/>
        <w:autoSpaceDE/>
        <w:autoSpaceDN/>
        <w:bidi w:val="0"/>
        <w:snapToGrid/>
        <w:spacing w:line="600" w:lineRule="exact"/>
        <w:ind w:firstLine="600" w:firstLineChars="200"/>
        <w:jc w:val="both"/>
        <w:rPr>
          <w:rFonts w:eastAsia="仿宋_GB2312"/>
          <w:sz w:val="30"/>
          <w:szCs w:val="30"/>
          <w:highlight w:val="none"/>
        </w:rPr>
      </w:pPr>
      <w:r>
        <w:rPr>
          <w:rFonts w:ascii="仿宋_GB2312" w:eastAsia="仿宋_GB2312" w:hAnsi="仿宋_GB2312" w:cs="仿宋_GB2312" w:hint="eastAsia"/>
          <w:sz w:val="30"/>
          <w:szCs w:val="30"/>
          <w:highlight w:val="none"/>
          <w:lang w:val="en-US" w:eastAsia="zh-CN"/>
        </w:rPr>
        <w:t>天津市津南区辛庄镇卫生院2023年度部门决算一般公共预算财政拨款基本支出合计7,553,016.21元，与2022年度相比减少702,744.74元，主要原因是本单位与镇财政沟通后，镇财政2023年只担负在编人员工资及保险待遇的70%，故2023年度财政拨款支出合计7553016.21元，与2022年度相比减少702744.74元。其中：</w:t>
        <w:br/>
        <w:t>　　人员经费7,462,122.52元，主要包括基本工资、津贴补贴、奖金、绩效工资、机关事业单位养老保险缴费、职业年金缴费、职工基本医疗保险缴费、其他社会保障缴费、住房公积金、其他工资福利支出、退休费；</w:t>
        <w:br/>
        <w:t>　　公用经费90,893.69元，主要包括工会经费。</w:t>
      </w:r>
    </w:p>
    <w:p w14:paraId="32521B65">
      <w:pPr>
        <w:pStyle w:val="Heading2"/>
        <w:pageBreakBefore w:val="0"/>
        <w:kinsoku/>
        <w:wordWrap/>
        <w:overflowPunct/>
        <w:topLinePunct w:val="0"/>
        <w:autoSpaceDE/>
        <w:autoSpaceDN/>
        <w:bidi w:val="0"/>
        <w:snapToGrid/>
        <w:spacing w:before="0" w:after="0" w:line="600" w:lineRule="exact"/>
        <w:ind w:firstLine="600" w:firstLineChars="200"/>
        <w:rPr>
          <w:rFonts w:ascii="楷体" w:eastAsia="楷体" w:hAnsi="楷体" w:cs="仿宋_GB2312" w:hint="eastAsia"/>
          <w:b w:val="0"/>
          <w:sz w:val="30"/>
          <w:szCs w:val="30"/>
          <w:highlight w:val="none"/>
        </w:rPr>
      </w:pPr>
      <w:bookmarkStart w:id="22" w:name="_Toc28665"/>
      <w:r>
        <w:rPr>
          <w:rFonts w:ascii="黑体" w:eastAsia="黑体" w:hAnsi="黑体" w:hint="eastAsia"/>
          <w:b w:val="0"/>
          <w:sz w:val="30"/>
          <w:szCs w:val="30"/>
          <w:highlight w:val="none"/>
          <w:lang w:eastAsia="zh-CN"/>
        </w:rPr>
        <w:t>七</w:t>
      </w:r>
      <w:r>
        <w:rPr>
          <w:rFonts w:ascii="黑体" w:eastAsia="黑体" w:hAnsi="黑体"/>
          <w:b w:val="0"/>
          <w:sz w:val="30"/>
          <w:szCs w:val="30"/>
          <w:highlight w:val="none"/>
        </w:rPr>
        <w:t>、政府性基金预算财政拨款</w:t>
      </w:r>
      <w:r>
        <w:rPr>
          <w:rFonts w:ascii="黑体" w:eastAsia="黑体" w:hAnsi="黑体" w:hint="eastAsia"/>
          <w:b w:val="0"/>
          <w:sz w:val="30"/>
          <w:szCs w:val="30"/>
          <w:highlight w:val="none"/>
        </w:rPr>
        <w:t>收支决算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2"/>
    </w:p>
    <w:p w14:paraId="1B334BE6">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天津市津南区辛庄镇卫生院2023年度无政府性基金预算财政拨款收入、支出和结转结余。</w:t>
      </w:r>
    </w:p>
    <w:p w14:paraId="1925F1C1">
      <w:pPr>
        <w:pStyle w:val="Heading2"/>
        <w:pageBreakBefore w:val="0"/>
        <w:kinsoku/>
        <w:wordWrap/>
        <w:overflowPunct/>
        <w:topLinePunct w:val="0"/>
        <w:autoSpaceDE/>
        <w:autoSpaceDN/>
        <w:bidi w:val="0"/>
        <w:snapToGrid/>
        <w:spacing w:before="0" w:after="0" w:line="600" w:lineRule="exact"/>
        <w:ind w:firstLine="600" w:firstLineChars="200"/>
        <w:rPr>
          <w:rFonts w:eastAsia="黑体" w:hint="eastAsia"/>
          <w:b w:val="0"/>
          <w:sz w:val="30"/>
          <w:szCs w:val="30"/>
          <w:highlight w:val="none"/>
        </w:rPr>
      </w:pPr>
      <w:bookmarkStart w:id="23" w:name="_Toc26562"/>
      <w:r>
        <w:rPr>
          <w:rFonts w:eastAsia="黑体" w:hint="eastAsia"/>
          <w:b w:val="0"/>
          <w:sz w:val="30"/>
          <w:szCs w:val="30"/>
          <w:highlight w:val="none"/>
          <w:lang w:eastAsia="zh-CN"/>
        </w:rPr>
        <w:t>八</w:t>
      </w:r>
      <w:r>
        <w:rPr>
          <w:rFonts w:eastAsia="黑体" w:hint="eastAsia"/>
          <w:b w:val="0"/>
          <w:sz w:val="30"/>
          <w:szCs w:val="30"/>
          <w:highlight w:val="none"/>
        </w:rPr>
        <w:t>、国有资本经营预算财政拨款收支决算情况</w:t>
      </w:r>
      <w:r>
        <w:rPr>
          <w:rFonts w:ascii="黑体" w:eastAsia="黑体" w:hAnsi="黑体" w:hint="eastAsia"/>
          <w:b w:val="0"/>
          <w:bCs w:val="0"/>
          <w:sz w:val="30"/>
          <w:szCs w:val="30"/>
          <w:highlight w:val="none"/>
          <w:lang w:eastAsia="zh-CN"/>
        </w:rPr>
        <w:t>说明</w:t>
      </w:r>
      <w:bookmarkEnd w:id="23"/>
    </w:p>
    <w:p w14:paraId="48023ADA">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sz w:val="30"/>
          <w:szCs w:val="30"/>
          <w:highlight w:val="none"/>
        </w:rPr>
      </w:pPr>
      <w:r>
        <w:rPr>
          <w:rFonts w:ascii="仿宋_GB2312" w:eastAsia="仿宋_GB2312" w:hAnsi="仿宋_GB2312" w:cs="仿宋_GB2312" w:hint="eastAsia"/>
          <w:sz w:val="30"/>
          <w:szCs w:val="30"/>
          <w:highlight w:val="none"/>
          <w:lang w:val="en-US" w:eastAsia="zh-CN"/>
        </w:rPr>
        <w:t>天津市津南区辛庄镇卫生院2023年度无国有资本经营预算财政拨款收入、支出和结转结余。</w:t>
      </w:r>
    </w:p>
    <w:p w14:paraId="4AA74E2A">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4" w:name="_Toc3397"/>
      <w:r>
        <w:rPr>
          <w:rFonts w:ascii="黑体" w:eastAsia="黑体" w:hAnsi="黑体" w:hint="eastAsia"/>
          <w:b w:val="0"/>
          <w:sz w:val="30"/>
          <w:szCs w:val="30"/>
          <w:highlight w:val="none"/>
          <w:lang w:eastAsia="zh-CN"/>
        </w:rPr>
        <w:t>九</w:t>
      </w:r>
      <w:r>
        <w:rPr>
          <w:rFonts w:ascii="黑体" w:eastAsia="黑体" w:hAnsi="黑体" w:hint="eastAsia"/>
          <w:b w:val="0"/>
          <w:sz w:val="30"/>
          <w:szCs w:val="30"/>
          <w:highlight w:val="none"/>
        </w:rPr>
        <w:t>、</w:t>
      </w:r>
      <w:r>
        <w:rPr>
          <w:rFonts w:ascii="黑体" w:eastAsia="黑体" w:hAnsi="黑体"/>
          <w:b w:val="0"/>
          <w:sz w:val="30"/>
          <w:szCs w:val="30"/>
          <w:highlight w:val="none"/>
        </w:rPr>
        <w:t>财政拨款“三公”经费</w:t>
      </w:r>
      <w:r>
        <w:rPr>
          <w:rFonts w:ascii="黑体" w:eastAsia="黑体" w:hAnsi="黑体" w:hint="eastAsia"/>
          <w:b w:val="0"/>
          <w:sz w:val="30"/>
          <w:szCs w:val="30"/>
          <w:highlight w:val="none"/>
        </w:rPr>
        <w:t>支出决算</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4"/>
    </w:p>
    <w:p w14:paraId="36A8B7BB">
      <w:pPr>
        <w:pageBreakBefore w:val="0"/>
        <w:kinsoku/>
        <w:wordWrap/>
        <w:overflowPunct/>
        <w:topLinePunct w:val="0"/>
        <w:autoSpaceDE/>
        <w:autoSpaceDN/>
        <w:bidi w:val="0"/>
        <w:snapToGrid/>
        <w:spacing w:line="600" w:lineRule="exact"/>
        <w:ind w:firstLine="600" w:firstLineChars="200"/>
        <w:jc w:val="both"/>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（一）总体情况</w:t>
      </w:r>
    </w:p>
    <w:p w14:paraId="67092F27">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2023年财政拨款“三公”经费预算0.00元，支出决算0.00元（去年同期0.00元），支出决算与2023年预算相比持平；支出决算较上年持平。因本年及去年同期均未使用财政拨款列支“三公”经费，故本年支出决算与本年预算、上年支出决算均持平为0。</w:t>
      </w:r>
    </w:p>
    <w:p w14:paraId="7A19286E">
      <w:pPr>
        <w:pageBreakBefore w:val="0"/>
        <w:kinsoku/>
        <w:wordWrap/>
        <w:overflowPunct/>
        <w:topLinePunct w:val="0"/>
        <w:autoSpaceDE/>
        <w:autoSpaceDN/>
        <w:bidi w:val="0"/>
        <w:snapToGrid/>
        <w:spacing w:line="600" w:lineRule="exact"/>
        <w:ind w:firstLine="600" w:firstLineChars="200"/>
        <w:rPr>
          <w:rFonts w:ascii="楷体" w:eastAsia="楷体" w:hAnsi="楷体" w:cs="楷体" w:hint="eastAsia"/>
          <w:b/>
          <w:bCs/>
          <w:sz w:val="30"/>
          <w:szCs w:val="30"/>
          <w:highlight w:val="none"/>
          <w:lang w:eastAsia="zh-CN"/>
        </w:rPr>
      </w:pPr>
      <w:r>
        <w:rPr>
          <w:rFonts w:ascii="楷体" w:eastAsia="楷体" w:hAnsi="楷体" w:cs="楷体" w:hint="eastAsia"/>
          <w:b/>
          <w:bCs/>
          <w:sz w:val="30"/>
          <w:szCs w:val="30"/>
          <w:highlight w:val="none"/>
          <w:lang w:eastAsia="zh-CN"/>
        </w:rPr>
        <w:t>（二）具体情况</w:t>
      </w:r>
    </w:p>
    <w:p w14:paraId="0267BA7D">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1.因公出国（境）费预算0.00元，支出决算0.00元（去年同期0.00元），支出决算与2023年预算相比持平；支出决算较上年持平。因本年及去年同期均未使用财政拨款列支因公出国（境）费，故本年支出决算与本年预算、上年支出决算均持平为0。</w:t>
        <w:br/>
        <w:t>　　2023年本单位组织的出国团组0个，出国0人次。</w:t>
      </w:r>
    </w:p>
    <w:p w14:paraId="4F87161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2.公务用车购置及运行维护费预算0.00元，支出决算0.00元（去年同期0.00元），支出决算与2023年预算相比持平；支出决算较上年持平。因本年及去年同期均未使用财政拨款列支公务用车购置及运行维护费，故本年支出决算与本年预算、上年支出决算均持平为0。其中：</w:t>
        <w:br/>
        <w:t>　　公务用车运行维护费预算0.00元，支出决算0.00元（去年同期0.00元），支出决算与2023年预算相比持平；支出决算较上年持平。因本年及去年同期均未使用财政拨款列支公务用车运行维护费，故本年支出决算与本年预算、上年支出决算均持平为0。截至2023年12月31日，使用财政拨款开支运行维护费的公务用车保有量为0辆。</w:t>
        <w:br/>
        <w:t>　　公务用车购置费预算0.00元，支出决算0.00元（去年同期0.00元），支出决算与2023年预算相比持平；支出决算较上年持平。因本年及去年同期均未使用财政拨款列支公务用车购置费，故本年支出决算与本年预算、上年支出决算均持平为0。2023年购置公务用车0辆。</w:t>
      </w:r>
    </w:p>
    <w:p w14:paraId="1B2104BE">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3.公务接待费预算0.00元，支出决算0.00元（去年同期0.00元），支出决算与2023年预算相比持平；支出决算较上年持平。因本年及去年同期均未使用财政拨款列支公务接待费，故本年支出决算与本年预算、上年支出决算均持平为0。2023年本单位国内公务接待0批次，0人次；其中，外事接待0批次，0人次。</w:t>
      </w:r>
    </w:p>
    <w:p w14:paraId="4096F305">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5" w:name="_Toc28180"/>
      <w:r>
        <w:rPr>
          <w:rFonts w:ascii="黑体" w:eastAsia="黑体" w:hAnsi="黑体" w:hint="eastAsia"/>
          <w:b w:val="0"/>
          <w:sz w:val="30"/>
          <w:szCs w:val="30"/>
          <w:highlight w:val="none"/>
        </w:rPr>
        <w:t>十、</w:t>
      </w:r>
      <w:r>
        <w:rPr>
          <w:rFonts w:ascii="黑体" w:eastAsia="黑体" w:hAnsi="黑体"/>
          <w:b w:val="0"/>
          <w:sz w:val="30"/>
          <w:szCs w:val="30"/>
          <w:highlight w:val="none"/>
        </w:rPr>
        <w:t>机关运行经费</w:t>
      </w:r>
      <w:r>
        <w:rPr>
          <w:rFonts w:ascii="黑体" w:eastAsia="黑体" w:hAnsi="黑体" w:hint="eastAsia"/>
          <w:b w:val="0"/>
          <w:sz w:val="30"/>
          <w:szCs w:val="30"/>
          <w:highlight w:val="none"/>
        </w:rPr>
        <w:t>支出情况</w:t>
      </w:r>
      <w:r>
        <w:rPr>
          <w:rFonts w:ascii="黑体" w:eastAsia="黑体" w:hAnsi="黑体" w:hint="eastAsia"/>
          <w:b w:val="0"/>
          <w:bCs w:val="0"/>
          <w:sz w:val="30"/>
          <w:szCs w:val="30"/>
          <w:highlight w:val="none"/>
          <w:lang w:eastAsia="zh-CN"/>
        </w:rPr>
        <w:t>说明</w:t>
      </w:r>
      <w:bookmarkEnd w:id="25"/>
    </w:p>
    <w:p w14:paraId="58ACC37F">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天津市津南区辛庄镇卫生院2023年度无机关运行经费。</w:t>
      </w:r>
    </w:p>
    <w:p w14:paraId="6BA0F1F2">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b w:val="0"/>
          <w:sz w:val="30"/>
          <w:szCs w:val="30"/>
          <w:highlight w:val="none"/>
        </w:rPr>
      </w:pPr>
      <w:bookmarkStart w:id="26" w:name="_Toc12238"/>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一</w:t>
      </w:r>
      <w:r>
        <w:rPr>
          <w:rFonts w:ascii="黑体" w:eastAsia="黑体" w:hAnsi="黑体" w:hint="eastAsia"/>
          <w:b w:val="0"/>
          <w:sz w:val="30"/>
          <w:szCs w:val="30"/>
          <w:highlight w:val="none"/>
        </w:rPr>
        <w:t>、</w:t>
      </w:r>
      <w:r>
        <w:rPr>
          <w:rFonts w:ascii="黑体" w:eastAsia="黑体" w:hAnsi="黑体"/>
          <w:b w:val="0"/>
          <w:sz w:val="30"/>
          <w:szCs w:val="30"/>
          <w:highlight w:val="none"/>
        </w:rPr>
        <w:t>政府采购</w:t>
      </w:r>
      <w:r>
        <w:rPr>
          <w:rFonts w:ascii="黑体" w:eastAsia="黑体" w:hAnsi="黑体" w:hint="eastAsia"/>
          <w:b w:val="0"/>
          <w:sz w:val="30"/>
          <w:szCs w:val="30"/>
          <w:highlight w:val="none"/>
        </w:rPr>
        <w:t>支出</w:t>
      </w:r>
      <w:r>
        <w:rPr>
          <w:rFonts w:ascii="黑体" w:eastAsia="黑体" w:hAnsi="黑体"/>
          <w:b w:val="0"/>
          <w:sz w:val="30"/>
          <w:szCs w:val="30"/>
          <w:highlight w:val="none"/>
        </w:rPr>
        <w:t>情况</w:t>
      </w:r>
      <w:r>
        <w:rPr>
          <w:rFonts w:ascii="黑体" w:eastAsia="黑体" w:hAnsi="黑体" w:hint="eastAsia"/>
          <w:b w:val="0"/>
          <w:bCs w:val="0"/>
          <w:sz w:val="30"/>
          <w:szCs w:val="30"/>
          <w:highlight w:val="none"/>
          <w:lang w:eastAsia="zh-CN"/>
        </w:rPr>
        <w:t>说明</w:t>
      </w:r>
      <w:bookmarkEnd w:id="26"/>
    </w:p>
    <w:p w14:paraId="2B7763DA">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天津市津南区辛庄镇卫生院2023年政府采购支出总额5,693,440.78元，其中：政府采购货物支出842,124.00元、政府采购工程支出618,888.00元、政府采购服务支出4,232,428.78元。授予中小企业合同金额5,693,440.78元，占政府采购支出总额的100.00%，其中：授予小微企业合同金额5,693,440.78元，占政府采购支出总额的100.00%；货物采购授予中小企业合同金额占货物支出金额的100.00%，工程采购授予中小企业合同金额占工程支出金额的100.00%，服务采购授予中小企业合同金额占服务支出金额的100.00%。</w:t>
      </w:r>
    </w:p>
    <w:p w14:paraId="37455A81">
      <w:pPr>
        <w:pStyle w:val="Heading2"/>
        <w:pageBreakBefore w:val="0"/>
        <w:kinsoku/>
        <w:wordWrap/>
        <w:overflowPunct/>
        <w:topLinePunct w:val="0"/>
        <w:autoSpaceDE/>
        <w:autoSpaceDN/>
        <w:bidi w:val="0"/>
        <w:snapToGrid/>
        <w:spacing w:before="0" w:after="0" w:line="600" w:lineRule="exact"/>
        <w:ind w:firstLine="600" w:firstLineChars="200"/>
        <w:rPr>
          <w:rFonts w:ascii="黑体" w:eastAsia="黑体" w:hAnsi="黑体" w:hint="eastAsia"/>
          <w:b w:val="0"/>
          <w:sz w:val="30"/>
          <w:szCs w:val="30"/>
          <w:highlight w:val="none"/>
        </w:rPr>
      </w:pPr>
      <w:bookmarkStart w:id="27" w:name="_Toc30109"/>
      <w:r>
        <w:rPr>
          <w:rFonts w:ascii="黑体" w:eastAsia="黑体" w:hAnsi="黑体" w:hint="eastAsia"/>
          <w:b w:val="0"/>
          <w:sz w:val="30"/>
          <w:szCs w:val="30"/>
          <w:highlight w:val="none"/>
        </w:rPr>
        <w:t>十</w:t>
      </w:r>
      <w:r>
        <w:rPr>
          <w:rFonts w:ascii="黑体" w:eastAsia="黑体" w:hAnsi="黑体" w:hint="eastAsia"/>
          <w:b w:val="0"/>
          <w:sz w:val="30"/>
          <w:szCs w:val="30"/>
          <w:highlight w:val="none"/>
          <w:lang w:eastAsia="zh-CN"/>
        </w:rPr>
        <w:t>二</w:t>
      </w:r>
      <w:r>
        <w:rPr>
          <w:rFonts w:ascii="黑体" w:eastAsia="黑体" w:hAnsi="黑体" w:hint="eastAsia"/>
          <w:b w:val="0"/>
          <w:sz w:val="30"/>
          <w:szCs w:val="30"/>
          <w:highlight w:val="none"/>
        </w:rPr>
        <w:t>、国有资产占有使用情况</w:t>
      </w:r>
      <w:r>
        <w:rPr>
          <w:rFonts w:ascii="黑体" w:eastAsia="黑体" w:hAnsi="黑体" w:hint="eastAsia"/>
          <w:b w:val="0"/>
          <w:bCs w:val="0"/>
          <w:sz w:val="30"/>
          <w:szCs w:val="30"/>
          <w:highlight w:val="none"/>
          <w:lang w:eastAsia="zh-CN"/>
        </w:rPr>
        <w:t>说明</w:t>
      </w:r>
      <w:bookmarkEnd w:id="27"/>
    </w:p>
    <w:p w14:paraId="688F01D0">
      <w:pPr>
        <w:pageBreakBefore w:val="0"/>
        <w:kinsoku/>
        <w:wordWrap/>
        <w:overflowPunct/>
        <w:topLinePunct w:val="0"/>
        <w:autoSpaceDE/>
        <w:autoSpaceDN/>
        <w:bidi w:val="0"/>
        <w:snapToGrid/>
        <w:spacing w:line="600" w:lineRule="exact"/>
        <w:ind w:firstLine="600" w:firstLineChars="200"/>
        <w:jc w:val="both"/>
        <w:rPr>
          <w:rFonts w:eastAsia="楷体"/>
          <w:sz w:val="30"/>
          <w:szCs w:val="30"/>
          <w:highlight w:val="none"/>
        </w:rPr>
      </w:pPr>
      <w:r>
        <w:rPr>
          <w:rFonts w:ascii="仿宋_GB2312" w:eastAsia="仿宋_GB2312" w:hAnsi="仿宋_GB2312" w:cs="仿宋_GB2312" w:hint="eastAsia"/>
          <w:sz w:val="30"/>
          <w:szCs w:val="30"/>
          <w:highlight w:val="none"/>
          <w:lang w:val="en-US" w:eastAsia="zh-CN"/>
        </w:rPr>
        <w:t>截至2023年12月31日，天津市津南区辛庄镇卫生院共有车辆3辆，其中：副部（省）级及以上领导用车0辆、主要负责人用车0辆、机要通信用车0辆、应急保障用车0辆、执法执勤用车0辆、特种专业技术用车0辆、离退休干部用车0辆、其他用车3辆，其他用车主要包括本单位编制用车3辆，主要用途包含入户随访。单价100万元以上的设备4台（套）。</w:t>
      </w:r>
    </w:p>
    <w:p w14:paraId="196FFC43">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8" w:name="_Toc7408"/>
      <w:r>
        <w:rPr>
          <w:rFonts w:ascii="黑体" w:eastAsia="黑体" w:hAnsi="黑体" w:hint="eastAsia"/>
          <w:b w:val="0"/>
          <w:bCs w:val="0"/>
          <w:sz w:val="30"/>
          <w:szCs w:val="30"/>
          <w:highlight w:val="none"/>
        </w:rPr>
        <w:t>预算绩效情况说明</w:t>
      </w:r>
      <w:bookmarkEnd w:id="28"/>
    </w:p>
    <w:p w14:paraId="6949F8BB">
      <w:pPr>
        <w:pageBreakBefore w:val="0"/>
        <w:kinsoku/>
        <w:wordWrap/>
        <w:overflowPunct/>
        <w:topLinePunct w:val="0"/>
        <w:autoSpaceDE/>
        <w:autoSpaceDN/>
        <w:bidi w:val="0"/>
        <w:snapToGrid/>
        <w:spacing w:line="600" w:lineRule="exact"/>
        <w:ind w:firstLine="600" w:firstLineChars="200"/>
        <w:jc w:val="both"/>
        <w:rPr>
          <w:rFonts w:ascii="仿宋_GB2312" w:eastAsia="仿宋_GB2312" w:hAnsi="仿宋_GB2312" w:cs="仿宋_GB2312" w:hint="eastAsia"/>
          <w:sz w:val="30"/>
          <w:szCs w:val="30"/>
          <w:highlight w:val="none"/>
          <w:lang w:val="en-US" w:eastAsia="zh-CN"/>
        </w:rPr>
      </w:pPr>
      <w:r>
        <w:rPr>
          <w:rFonts w:ascii="仿宋_GB2312" w:eastAsia="仿宋_GB2312" w:hAnsi="仿宋_GB2312" w:cs="仿宋_GB2312" w:hint="eastAsia"/>
          <w:sz w:val="30"/>
          <w:szCs w:val="30"/>
          <w:highlight w:val="none"/>
          <w:lang w:val="en-US" w:eastAsia="zh-CN"/>
        </w:rPr>
        <w:t>根据预算绩效管理要求，天津市津南区辛庄镇卫生院2023年度已对12个区级项目开展绩效自评，涉及金额7416371.34元，自评结果已随部门决算一并公开。</w:t>
      </w:r>
    </w:p>
    <w:p w14:paraId="48A05015">
      <w:pPr>
        <w:pStyle w:val="Heading2"/>
        <w:pageBreakBefore w:val="0"/>
        <w:widowControl w:val="0"/>
        <w:numPr>
          <w:ilvl w:val="0"/>
          <w:numId w:val="2"/>
        </w:numPr>
        <w:kinsoku/>
        <w:wordWrap/>
        <w:overflowPunct/>
        <w:topLinePunct w:val="0"/>
        <w:autoSpaceDE/>
        <w:autoSpaceDN/>
        <w:bidi w:val="0"/>
        <w:adjustRightInd w:val="0"/>
        <w:snapToGrid/>
        <w:spacing w:before="0" w:after="0" w:line="540" w:lineRule="exact"/>
        <w:ind w:firstLine="600" w:firstLineChars="200"/>
        <w:textAlignment w:val="baseline"/>
        <w:rPr>
          <w:rFonts w:ascii="黑体" w:eastAsia="黑体" w:hAnsi="黑体" w:hint="eastAsia"/>
          <w:b w:val="0"/>
          <w:bCs w:val="0"/>
          <w:sz w:val="30"/>
          <w:szCs w:val="30"/>
          <w:highlight w:val="none"/>
        </w:rPr>
      </w:pPr>
      <w:bookmarkStart w:id="29" w:name="_Toc12198"/>
      <w:r>
        <w:rPr>
          <w:rFonts w:ascii="黑体" w:eastAsia="黑体" w:hAnsi="黑体" w:hint="eastAsia"/>
          <w:b w:val="0"/>
          <w:bCs w:val="0"/>
          <w:sz w:val="30"/>
          <w:szCs w:val="30"/>
          <w:highlight w:val="none"/>
        </w:rPr>
        <w:t>教育、医疗卫生、社会保障和就业、住房保障、涉农补贴等民生支出情况</w:t>
      </w:r>
      <w:r>
        <w:rPr>
          <w:rFonts w:ascii="黑体" w:eastAsia="黑体" w:hAnsi="黑体" w:hint="eastAsia"/>
          <w:b w:val="0"/>
          <w:bCs w:val="0"/>
          <w:sz w:val="30"/>
          <w:szCs w:val="30"/>
          <w:highlight w:val="none"/>
          <w:lang w:eastAsia="zh-CN"/>
        </w:rPr>
        <w:t>说明</w:t>
      </w:r>
      <w:bookmarkEnd w:id="29"/>
    </w:p>
    <w:p w14:paraId="32BC4F5E">
      <w:pPr>
        <w:pageBreakBefore w:val="0"/>
        <w:kinsoku/>
        <w:wordWrap/>
        <w:overflowPunct/>
        <w:topLinePunct w:val="0"/>
        <w:autoSpaceDE/>
        <w:autoSpaceDN/>
        <w:bidi w:val="0"/>
        <w:snapToGrid/>
        <w:spacing w:line="600" w:lineRule="exact"/>
        <w:ind w:firstLine="600"/>
        <w:jc w:val="both"/>
        <w:rPr>
          <w:rFonts w:eastAsia="楷体"/>
          <w:b/>
          <w:bCs/>
          <w:color w:val="auto"/>
          <w:sz w:val="30"/>
          <w:szCs w:val="30"/>
          <w:highlight w:val="none"/>
        </w:rPr>
        <w:sectPr>
          <w:pgSz w:w="11906" w:h="16838"/>
          <w:pgMar w:top="1440" w:right="1800" w:bottom="1440" w:left="1800" w:header="851" w:footer="992" w:gutter="0"/>
          <w:cols w:num="1" w:space="720"/>
          <w:docGrid w:type="lines" w:linePitch="312" w:charSpace="0"/>
        </w:sectPr>
      </w:pPr>
      <w:r>
        <w:rPr>
          <w:rFonts w:ascii="仿宋_GB2312" w:eastAsia="仿宋_GB2312" w:hAnsi="仿宋_GB2312" w:cs="仿宋_GB2312" w:hint="eastAsia"/>
          <w:sz w:val="30"/>
          <w:szCs w:val="30"/>
          <w:highlight w:val="none"/>
          <w:lang w:val="en-US" w:eastAsia="zh-CN"/>
        </w:rPr>
        <w:t>天津市津南区辛庄镇卫生院不属于乡、镇、街级单位，不涉及公开2023年度教育、医疗卫生、社会保障和就业、住房保障、涉农补贴等民生支出情况。</w:t>
      </w:r>
    </w:p>
    <w:p w14:paraId="2BFEB69B">
      <w:pPr>
        <w:pStyle w:val="Heading1"/>
        <w:pageBreakBefore w:val="0"/>
        <w:kinsoku/>
        <w:wordWrap/>
        <w:overflowPunct/>
        <w:topLinePunct w:val="0"/>
        <w:autoSpaceDE/>
        <w:autoSpaceDN/>
        <w:bidi w:val="0"/>
        <w:snapToGrid/>
        <w:spacing w:before="0" w:after="0" w:line="600" w:lineRule="exact"/>
        <w:jc w:val="center"/>
        <w:rPr>
          <w:rFonts w:ascii="方正小标宋简体" w:eastAsia="方正小标宋简体" w:hAnsi="方正小标宋简体" w:cs="方正小标宋简体" w:hint="eastAsia"/>
          <w:b w:val="0"/>
          <w:sz w:val="44"/>
          <w:szCs w:val="44"/>
          <w:highlight w:val="none"/>
        </w:rPr>
      </w:pPr>
      <w:bookmarkStart w:id="30" w:name="_Toc17573"/>
      <w:r>
        <w:rPr>
          <w:rFonts w:ascii="方正小标宋简体" w:eastAsia="方正小标宋简体" w:hAnsi="方正小标宋简体" w:cs="方正小标宋简体" w:hint="eastAsia"/>
          <w:b w:val="0"/>
          <w:sz w:val="44"/>
          <w:szCs w:val="44"/>
          <w:highlight w:val="none"/>
        </w:rPr>
        <w:t>第四部分  名词解释</w:t>
      </w:r>
      <w:bookmarkEnd w:id="30"/>
    </w:p>
    <w:p w14:paraId="2C06E5B6">
      <w:pPr>
        <w:pageBreakBefore w:val="0"/>
        <w:kinsoku/>
        <w:wordWrap/>
        <w:overflowPunct/>
        <w:topLinePunct w:val="0"/>
        <w:autoSpaceDE/>
        <w:autoSpaceDN/>
        <w:bidi w:val="0"/>
        <w:snapToGrid/>
        <w:spacing w:line="600" w:lineRule="exact"/>
        <w:ind w:firstLine="600" w:firstLineChars="200"/>
        <w:rPr>
          <w:rFonts w:ascii="仿宋_GB2312" w:eastAsia="仿宋_GB2312" w:hint="eastAsia"/>
          <w:sz w:val="30"/>
          <w:szCs w:val="30"/>
          <w:highlight w:val="none"/>
        </w:rPr>
      </w:pPr>
    </w:p>
    <w:p w14:paraId="65EDB0B7">
      <w:pPr>
        <w:pageBreakBefore w:val="0"/>
        <w:numPr>
          <w:ilvl w:val="0"/>
          <w:numId w:val="3"/>
        </w:numPr>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D8965">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rPr>
      </w:pPr>
      <w:r>
        <w:rPr>
          <w:rFonts w:eastAsia="仿宋_GB2312" w:hint="eastAsia"/>
          <w:sz w:val="30"/>
          <w:szCs w:val="30"/>
          <w:highlight w:val="none"/>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29FFCF5C">
      <w:pPr>
        <w:pageBreakBefore w:val="0"/>
        <w:kinsoku/>
        <w:wordWrap/>
        <w:overflowPunct/>
        <w:topLinePunct w:val="0"/>
        <w:autoSpaceDE/>
        <w:autoSpaceDN/>
        <w:bidi w:val="0"/>
        <w:snapToGrid/>
        <w:spacing w:line="600" w:lineRule="exact"/>
        <w:ind w:firstLine="600" w:firstLineChars="200"/>
        <w:rPr>
          <w:rFonts w:eastAsia="仿宋_GB2312" w:hint="eastAsia"/>
          <w:sz w:val="30"/>
          <w:szCs w:val="30"/>
          <w:highlight w:val="none"/>
          <w:lang w:val="en-US" w:eastAsia="zh-CN"/>
        </w:rPr>
      </w:pPr>
      <w:r>
        <w:rPr>
          <w:rFonts w:eastAsia="仿宋_GB2312" w:hint="eastAsia"/>
          <w:sz w:val="30"/>
          <w:szCs w:val="30"/>
          <w:highlight w:val="none"/>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bookmarkStart w:id="31" w:name="_GoBack"/>
      <w:bookmarkEnd w:id="31"/>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118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974C58C">
    <w:pPr>
      <w:pStyle w:val="Footer"/>
    </w:pPr>
    <w:r>
      <mc:AlternateContent>
        <mc:Choice Requires="wps">
          <w:drawing>
            <wp:anchor distT="0" distB="0" distL="114300" distR="114300" simplePos="0" relativeHeight="251658240" behindDoc="0" locked="0" layoutInCell="1" allowOverlap="1">
              <wp:simplePos x="0" y="0"/>
              <wp:positionH relativeFrom="margin">
                <wp:posOffset>2632075</wp:posOffset>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15875">
                        <a:noFill/>
                      </a:ln>
                    </wps:spPr>
                    <wps:txbx>
                      <w:txbxContent>
                        <w:p>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13</w:t>
                          </w:r>
                          <w:r>
                            <w:rPr>
                              <w:rFonts w:hint="eastAsia"/>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2049" type="#_x0000_t202" style="width:2in;height:2in;margin-top:0;margin-left:207.25pt;mso-height-relative:page;mso-position-horizontal-relative:margin;mso-width-relative:page;mso-wrap-style:none;position:absolute;z-index:251659264" coordsize="21600,21600" filled="f" stroked="f">
              <o:lock v:ext="edit" aspectratio="f"/>
              <v:textbox style="mso-fit-shape-to-text:t" inset="0,0,0,0">
                <w:txbxContent>
                  <w:p w14:paraId="3277D735">
                    <w:pPr>
                      <w:snapToGrid w:val="0"/>
                      <w:rPr>
                        <w:rFonts w:hint="eastAsia"/>
                        <w:szCs w:val="24"/>
                      </w:rPr>
                    </w:pPr>
                    <w:r>
                      <w:rPr>
                        <w:rFonts w:hint="eastAsia"/>
                        <w:szCs w:val="24"/>
                      </w:rPr>
                      <w:fldChar w:fldCharType="begin"/>
                    </w:r>
                    <w:r>
                      <w:rPr>
                        <w:rFonts w:hint="eastAsia"/>
                        <w:szCs w:val="24"/>
                      </w:rPr>
                      <w:instrText xml:space="preserve"> PAGE  \* MERGEFORMAT </w:instrText>
                    </w:r>
                    <w:r>
                      <w:rPr>
                        <w:rFonts w:hint="eastAsia"/>
                        <w:szCs w:val="24"/>
                      </w:rPr>
                      <w:fldChar w:fldCharType="separate"/>
                    </w:r>
                    <w:r>
                      <w:rPr>
                        <w:szCs w:val="24"/>
                      </w:rPr>
                      <w:t>13</w:t>
                    </w:r>
                    <w:r>
                      <w:rPr>
                        <w:rFonts w:hint="eastAsia"/>
                        <w:szCs w:val="24"/>
                      </w:rPr>
                      <w:fldChar w:fldCharType="end"/>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EBE256EE"/>
    <w:multiLevelType w:val="singleLevel"/>
    <w:tmpl w:val="EBE256EE"/>
    <w:lvl w:ilvl="0">
      <w:start w:val="13"/>
      <w:numFmt w:val="chineseCounting"/>
      <w:suff w:val="nothing"/>
      <w:lvlText w:val="%1、"/>
      <w:lvlJc w:val="left"/>
      <w:rPr>
        <w:rFonts w:hint="eastAsia"/>
      </w:rPr>
    </w:lvl>
  </w:abstractNum>
  <w:abstractNum w:abstractNumId="1">
    <w:nsid w:val="62CB79B7"/>
    <w:multiLevelType w:val="singleLevel"/>
    <w:tmpl w:val="62CB79B7"/>
    <w:lvl w:ilvl="0">
      <w:start w:val="3"/>
      <w:numFmt w:val="chineseCounting"/>
      <w:suff w:val="nothing"/>
      <w:lvlText w:val="（%1）"/>
      <w:lvlJc w:val="left"/>
    </w:lvl>
  </w:abstractNum>
  <w:abstractNum w:abstractNumId="2">
    <w:nsid w:val="62CB88B4"/>
    <w:multiLevelType w:val="singleLevel"/>
    <w:tmpl w:val="62CB88B4"/>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D802DB"/>
    <w:rsid w:val="BBFEB28B"/>
    <w:rsid w:val="D74FDF30"/>
    <w:rsid w:val="DEAEE68D"/>
    <w:rsid w:val="F7F97754"/>
    <w:rsid w:val="FB7FC3E7"/>
    <w:rsid w:val="FF3F61B6"/>
    <w:rsid w:val="FFC7ECE8"/>
    <w:rsid w:val="00015911"/>
    <w:rsid w:val="00046E1C"/>
    <w:rsid w:val="00053901"/>
    <w:rsid w:val="000864BF"/>
    <w:rsid w:val="00092AB8"/>
    <w:rsid w:val="000B4E39"/>
    <w:rsid w:val="00112C55"/>
    <w:rsid w:val="001179AF"/>
    <w:rsid w:val="0012059C"/>
    <w:rsid w:val="00124993"/>
    <w:rsid w:val="0012531C"/>
    <w:rsid w:val="00126E2D"/>
    <w:rsid w:val="001829A0"/>
    <w:rsid w:val="00186ED8"/>
    <w:rsid w:val="001F61CD"/>
    <w:rsid w:val="00241712"/>
    <w:rsid w:val="002532F7"/>
    <w:rsid w:val="002566ED"/>
    <w:rsid w:val="00257643"/>
    <w:rsid w:val="002912A7"/>
    <w:rsid w:val="002D2BBE"/>
    <w:rsid w:val="002E091E"/>
    <w:rsid w:val="002F00A9"/>
    <w:rsid w:val="003365DD"/>
    <w:rsid w:val="003714D5"/>
    <w:rsid w:val="00381206"/>
    <w:rsid w:val="0038216E"/>
    <w:rsid w:val="003942CD"/>
    <w:rsid w:val="003A4529"/>
    <w:rsid w:val="004040D1"/>
    <w:rsid w:val="00432D37"/>
    <w:rsid w:val="00464079"/>
    <w:rsid w:val="00465602"/>
    <w:rsid w:val="004918AD"/>
    <w:rsid w:val="004A1361"/>
    <w:rsid w:val="0050332F"/>
    <w:rsid w:val="00532C4C"/>
    <w:rsid w:val="00570354"/>
    <w:rsid w:val="005B60DB"/>
    <w:rsid w:val="005C22AF"/>
    <w:rsid w:val="005F2510"/>
    <w:rsid w:val="00676A5E"/>
    <w:rsid w:val="006A54BF"/>
    <w:rsid w:val="006D05B2"/>
    <w:rsid w:val="00727434"/>
    <w:rsid w:val="00734D29"/>
    <w:rsid w:val="0077787E"/>
    <w:rsid w:val="0079348B"/>
    <w:rsid w:val="007A3491"/>
    <w:rsid w:val="007B4B58"/>
    <w:rsid w:val="007F3679"/>
    <w:rsid w:val="007F448B"/>
    <w:rsid w:val="007F718E"/>
    <w:rsid w:val="00801B2B"/>
    <w:rsid w:val="00803B43"/>
    <w:rsid w:val="00817AE2"/>
    <w:rsid w:val="0085671E"/>
    <w:rsid w:val="00876FA4"/>
    <w:rsid w:val="00893EAC"/>
    <w:rsid w:val="008A6092"/>
    <w:rsid w:val="008C3474"/>
    <w:rsid w:val="008C677C"/>
    <w:rsid w:val="008D2605"/>
    <w:rsid w:val="008D64CE"/>
    <w:rsid w:val="009142B8"/>
    <w:rsid w:val="00915276"/>
    <w:rsid w:val="00936468"/>
    <w:rsid w:val="009371C3"/>
    <w:rsid w:val="0098387F"/>
    <w:rsid w:val="009E0EF5"/>
    <w:rsid w:val="009F18E1"/>
    <w:rsid w:val="009F712F"/>
    <w:rsid w:val="00A12C57"/>
    <w:rsid w:val="00A557F8"/>
    <w:rsid w:val="00AA676A"/>
    <w:rsid w:val="00B13870"/>
    <w:rsid w:val="00B14558"/>
    <w:rsid w:val="00B17258"/>
    <w:rsid w:val="00B210F5"/>
    <w:rsid w:val="00B53416"/>
    <w:rsid w:val="00B807AE"/>
    <w:rsid w:val="00BA3182"/>
    <w:rsid w:val="00BB0047"/>
    <w:rsid w:val="00BB051A"/>
    <w:rsid w:val="00BD343E"/>
    <w:rsid w:val="00BE682B"/>
    <w:rsid w:val="00C0672E"/>
    <w:rsid w:val="00C33362"/>
    <w:rsid w:val="00C47864"/>
    <w:rsid w:val="00C528B3"/>
    <w:rsid w:val="00C52B2B"/>
    <w:rsid w:val="00C53602"/>
    <w:rsid w:val="00C77332"/>
    <w:rsid w:val="00C83F29"/>
    <w:rsid w:val="00CA5CD5"/>
    <w:rsid w:val="00CE4C80"/>
    <w:rsid w:val="00CE7A0E"/>
    <w:rsid w:val="00CF0671"/>
    <w:rsid w:val="00CF4ADE"/>
    <w:rsid w:val="00D20562"/>
    <w:rsid w:val="00D56FBF"/>
    <w:rsid w:val="00DA3A83"/>
    <w:rsid w:val="00DB0D2B"/>
    <w:rsid w:val="00DC0D31"/>
    <w:rsid w:val="00E21DD7"/>
    <w:rsid w:val="00E4337C"/>
    <w:rsid w:val="00E56EBF"/>
    <w:rsid w:val="00E56F06"/>
    <w:rsid w:val="00E576CC"/>
    <w:rsid w:val="00E8795B"/>
    <w:rsid w:val="00EB277E"/>
    <w:rsid w:val="00EB7B3B"/>
    <w:rsid w:val="00F14DB8"/>
    <w:rsid w:val="00F3454D"/>
    <w:rsid w:val="00F3737B"/>
    <w:rsid w:val="00F6315A"/>
    <w:rsid w:val="00FF6CDB"/>
    <w:rsid w:val="01582EB3"/>
    <w:rsid w:val="01D92F4B"/>
    <w:rsid w:val="021D09AE"/>
    <w:rsid w:val="02317CA1"/>
    <w:rsid w:val="02C26D17"/>
    <w:rsid w:val="0305419A"/>
    <w:rsid w:val="032B2B72"/>
    <w:rsid w:val="03633F1C"/>
    <w:rsid w:val="03877CF5"/>
    <w:rsid w:val="03971CD2"/>
    <w:rsid w:val="03A73B20"/>
    <w:rsid w:val="04D27C6A"/>
    <w:rsid w:val="04DA6E85"/>
    <w:rsid w:val="054E0E8D"/>
    <w:rsid w:val="05901C8F"/>
    <w:rsid w:val="059D199E"/>
    <w:rsid w:val="05FB2E04"/>
    <w:rsid w:val="06516202"/>
    <w:rsid w:val="065A73D7"/>
    <w:rsid w:val="068D56CD"/>
    <w:rsid w:val="068F1656"/>
    <w:rsid w:val="06CE3C39"/>
    <w:rsid w:val="070745F4"/>
    <w:rsid w:val="0750320D"/>
    <w:rsid w:val="080C427F"/>
    <w:rsid w:val="08496DC5"/>
    <w:rsid w:val="08601190"/>
    <w:rsid w:val="08610C17"/>
    <w:rsid w:val="08AB76E6"/>
    <w:rsid w:val="08B17C7F"/>
    <w:rsid w:val="09787FC2"/>
    <w:rsid w:val="09794F69"/>
    <w:rsid w:val="09BC7107"/>
    <w:rsid w:val="09C86481"/>
    <w:rsid w:val="09CD6F6A"/>
    <w:rsid w:val="0A884CB3"/>
    <w:rsid w:val="0ABD2EA9"/>
    <w:rsid w:val="0AF02B7A"/>
    <w:rsid w:val="0AF83DD3"/>
    <w:rsid w:val="0B0C0657"/>
    <w:rsid w:val="0B2F7E6E"/>
    <w:rsid w:val="0B7057C8"/>
    <w:rsid w:val="0BF51CAC"/>
    <w:rsid w:val="0C327E5C"/>
    <w:rsid w:val="0D66464C"/>
    <w:rsid w:val="0DCA24E7"/>
    <w:rsid w:val="0E1905E8"/>
    <w:rsid w:val="0E6B081A"/>
    <w:rsid w:val="0E812A35"/>
    <w:rsid w:val="0F3A7BBE"/>
    <w:rsid w:val="0FB146BC"/>
    <w:rsid w:val="10D0376E"/>
    <w:rsid w:val="11D75F2F"/>
    <w:rsid w:val="11D802DB"/>
    <w:rsid w:val="121401BA"/>
    <w:rsid w:val="122B009F"/>
    <w:rsid w:val="135D03D9"/>
    <w:rsid w:val="13A17616"/>
    <w:rsid w:val="149264E6"/>
    <w:rsid w:val="14F31DE2"/>
    <w:rsid w:val="15127621"/>
    <w:rsid w:val="156A2C3E"/>
    <w:rsid w:val="157A3189"/>
    <w:rsid w:val="15E37C52"/>
    <w:rsid w:val="169221B4"/>
    <w:rsid w:val="16EA0A1B"/>
    <w:rsid w:val="181D0AF6"/>
    <w:rsid w:val="18E12A26"/>
    <w:rsid w:val="1A2F34CF"/>
    <w:rsid w:val="1B0B6786"/>
    <w:rsid w:val="1C2E1750"/>
    <w:rsid w:val="1C8A5079"/>
    <w:rsid w:val="1D520C3E"/>
    <w:rsid w:val="1DA340AC"/>
    <w:rsid w:val="1E2F4E67"/>
    <w:rsid w:val="1E506972"/>
    <w:rsid w:val="1E8146FC"/>
    <w:rsid w:val="1EC8639D"/>
    <w:rsid w:val="1EC97805"/>
    <w:rsid w:val="1EFB07B0"/>
    <w:rsid w:val="1F6101B7"/>
    <w:rsid w:val="1FABD71D"/>
    <w:rsid w:val="20505929"/>
    <w:rsid w:val="2093268B"/>
    <w:rsid w:val="20C921EC"/>
    <w:rsid w:val="22792317"/>
    <w:rsid w:val="228770CD"/>
    <w:rsid w:val="22F75B35"/>
    <w:rsid w:val="236906A5"/>
    <w:rsid w:val="23BA0D09"/>
    <w:rsid w:val="24BA0C0F"/>
    <w:rsid w:val="250B61A3"/>
    <w:rsid w:val="259F5563"/>
    <w:rsid w:val="25A662F9"/>
    <w:rsid w:val="25AD749C"/>
    <w:rsid w:val="25AE4162"/>
    <w:rsid w:val="261B2634"/>
    <w:rsid w:val="26872640"/>
    <w:rsid w:val="26C653DA"/>
    <w:rsid w:val="26EC5D21"/>
    <w:rsid w:val="27615821"/>
    <w:rsid w:val="27A13E6E"/>
    <w:rsid w:val="2828594C"/>
    <w:rsid w:val="28863E70"/>
    <w:rsid w:val="288A6337"/>
    <w:rsid w:val="28994B2A"/>
    <w:rsid w:val="28CD1B01"/>
    <w:rsid w:val="290441D9"/>
    <w:rsid w:val="292E4395"/>
    <w:rsid w:val="29867FF5"/>
    <w:rsid w:val="29D72E63"/>
    <w:rsid w:val="29F01BC9"/>
    <w:rsid w:val="2A1248CB"/>
    <w:rsid w:val="2A24302B"/>
    <w:rsid w:val="2A7456B8"/>
    <w:rsid w:val="2AF92258"/>
    <w:rsid w:val="2C3B01C9"/>
    <w:rsid w:val="2CB024EC"/>
    <w:rsid w:val="2D2B1A30"/>
    <w:rsid w:val="2D5BB7F4"/>
    <w:rsid w:val="2DA87FE3"/>
    <w:rsid w:val="2DAB1C1C"/>
    <w:rsid w:val="2E6455AA"/>
    <w:rsid w:val="2E6E5875"/>
    <w:rsid w:val="2EAA1E45"/>
    <w:rsid w:val="2EBA2F30"/>
    <w:rsid w:val="2F8573F4"/>
    <w:rsid w:val="2FFC60D8"/>
    <w:rsid w:val="2FFD4B55"/>
    <w:rsid w:val="303E64C7"/>
    <w:rsid w:val="318D0FFE"/>
    <w:rsid w:val="31F32BCC"/>
    <w:rsid w:val="322D5537"/>
    <w:rsid w:val="3230050F"/>
    <w:rsid w:val="32500429"/>
    <w:rsid w:val="32B00783"/>
    <w:rsid w:val="33987EA4"/>
    <w:rsid w:val="33C03912"/>
    <w:rsid w:val="33E55770"/>
    <w:rsid w:val="343041E9"/>
    <w:rsid w:val="343E2C5A"/>
    <w:rsid w:val="34E404B6"/>
    <w:rsid w:val="353874A5"/>
    <w:rsid w:val="356C4B0F"/>
    <w:rsid w:val="357756D0"/>
    <w:rsid w:val="35F83418"/>
    <w:rsid w:val="35FA3DA7"/>
    <w:rsid w:val="360570F1"/>
    <w:rsid w:val="36433E0B"/>
    <w:rsid w:val="3685618C"/>
    <w:rsid w:val="36DF7E92"/>
    <w:rsid w:val="37210A48"/>
    <w:rsid w:val="37C605ED"/>
    <w:rsid w:val="37EC07D4"/>
    <w:rsid w:val="39054161"/>
    <w:rsid w:val="395157DA"/>
    <w:rsid w:val="39D81DB4"/>
    <w:rsid w:val="39DD1F63"/>
    <w:rsid w:val="3A875795"/>
    <w:rsid w:val="3B3A6848"/>
    <w:rsid w:val="3C7702D9"/>
    <w:rsid w:val="3C822FFF"/>
    <w:rsid w:val="3C987755"/>
    <w:rsid w:val="3D1712DB"/>
    <w:rsid w:val="3D6E4CFB"/>
    <w:rsid w:val="3DB948D9"/>
    <w:rsid w:val="3DED19CC"/>
    <w:rsid w:val="3E551C1D"/>
    <w:rsid w:val="3EAA16DD"/>
    <w:rsid w:val="3EE7006C"/>
    <w:rsid w:val="3F043070"/>
    <w:rsid w:val="3F397145"/>
    <w:rsid w:val="413E7CF9"/>
    <w:rsid w:val="419141BF"/>
    <w:rsid w:val="41C515FE"/>
    <w:rsid w:val="41F26234"/>
    <w:rsid w:val="42C52D12"/>
    <w:rsid w:val="42EA0B90"/>
    <w:rsid w:val="436E1D48"/>
    <w:rsid w:val="44211CC9"/>
    <w:rsid w:val="442221E6"/>
    <w:rsid w:val="44FC0AD9"/>
    <w:rsid w:val="45C66F5A"/>
    <w:rsid w:val="464311BD"/>
    <w:rsid w:val="46762869"/>
    <w:rsid w:val="46800ECA"/>
    <w:rsid w:val="46D65DFF"/>
    <w:rsid w:val="46ED43C8"/>
    <w:rsid w:val="47655748"/>
    <w:rsid w:val="481F5D29"/>
    <w:rsid w:val="485B08F6"/>
    <w:rsid w:val="48E65506"/>
    <w:rsid w:val="49A95325"/>
    <w:rsid w:val="49C60D15"/>
    <w:rsid w:val="4C72500A"/>
    <w:rsid w:val="4D2A2606"/>
    <w:rsid w:val="4E470451"/>
    <w:rsid w:val="4E5A4E46"/>
    <w:rsid w:val="4E776E4B"/>
    <w:rsid w:val="4EBE5040"/>
    <w:rsid w:val="4EC635D4"/>
    <w:rsid w:val="4EF42DDE"/>
    <w:rsid w:val="4EFE3A76"/>
    <w:rsid w:val="4F021DFD"/>
    <w:rsid w:val="4FA93361"/>
    <w:rsid w:val="50491464"/>
    <w:rsid w:val="50B055C9"/>
    <w:rsid w:val="50EB4351"/>
    <w:rsid w:val="513E3E14"/>
    <w:rsid w:val="516E5D30"/>
    <w:rsid w:val="519A61B8"/>
    <w:rsid w:val="51E25670"/>
    <w:rsid w:val="529328AD"/>
    <w:rsid w:val="52A26688"/>
    <w:rsid w:val="52C3106D"/>
    <w:rsid w:val="532D1C0A"/>
    <w:rsid w:val="53583E88"/>
    <w:rsid w:val="548F7836"/>
    <w:rsid w:val="54A42073"/>
    <w:rsid w:val="54D72BF4"/>
    <w:rsid w:val="54F6709D"/>
    <w:rsid w:val="566138B1"/>
    <w:rsid w:val="56832AE6"/>
    <w:rsid w:val="56F540E8"/>
    <w:rsid w:val="57814C22"/>
    <w:rsid w:val="579303E0"/>
    <w:rsid w:val="57BD125F"/>
    <w:rsid w:val="57DB4D69"/>
    <w:rsid w:val="57E83EF2"/>
    <w:rsid w:val="58B03A2E"/>
    <w:rsid w:val="59005937"/>
    <w:rsid w:val="596D5572"/>
    <w:rsid w:val="5A106A61"/>
    <w:rsid w:val="5B012DD6"/>
    <w:rsid w:val="5B4A303E"/>
    <w:rsid w:val="5B867F38"/>
    <w:rsid w:val="5BBF1EDC"/>
    <w:rsid w:val="5C0D5EDF"/>
    <w:rsid w:val="5CCB520D"/>
    <w:rsid w:val="5CDE5F6B"/>
    <w:rsid w:val="5CE729B2"/>
    <w:rsid w:val="5D072615"/>
    <w:rsid w:val="5D820B03"/>
    <w:rsid w:val="5DDC291B"/>
    <w:rsid w:val="5DE919D2"/>
    <w:rsid w:val="5DE96BF2"/>
    <w:rsid w:val="5E33329A"/>
    <w:rsid w:val="5E3B56D9"/>
    <w:rsid w:val="5E7F01AB"/>
    <w:rsid w:val="5E910416"/>
    <w:rsid w:val="5FC652D8"/>
    <w:rsid w:val="6043407E"/>
    <w:rsid w:val="605F74B4"/>
    <w:rsid w:val="607B68FE"/>
    <w:rsid w:val="617007B5"/>
    <w:rsid w:val="61DC2C23"/>
    <w:rsid w:val="61E56E86"/>
    <w:rsid w:val="621870FC"/>
    <w:rsid w:val="62DA2A3D"/>
    <w:rsid w:val="637B3A8F"/>
    <w:rsid w:val="63A65E89"/>
    <w:rsid w:val="65737FA2"/>
    <w:rsid w:val="65AC27B5"/>
    <w:rsid w:val="65D920E1"/>
    <w:rsid w:val="65D9655D"/>
    <w:rsid w:val="6656630C"/>
    <w:rsid w:val="66EC0C69"/>
    <w:rsid w:val="67AD24B8"/>
    <w:rsid w:val="67F5DAB5"/>
    <w:rsid w:val="68261741"/>
    <w:rsid w:val="693E2FAD"/>
    <w:rsid w:val="698062FC"/>
    <w:rsid w:val="69BD5EE8"/>
    <w:rsid w:val="6A740B43"/>
    <w:rsid w:val="6ABD46BF"/>
    <w:rsid w:val="6AF730BD"/>
    <w:rsid w:val="6B617BE2"/>
    <w:rsid w:val="6BA66029"/>
    <w:rsid w:val="6CA041B2"/>
    <w:rsid w:val="6DDD5EBF"/>
    <w:rsid w:val="6DFC4CD2"/>
    <w:rsid w:val="6E2E2D6D"/>
    <w:rsid w:val="6E3F51B6"/>
    <w:rsid w:val="6E460B96"/>
    <w:rsid w:val="6EA82131"/>
    <w:rsid w:val="6F046708"/>
    <w:rsid w:val="6FB410D2"/>
    <w:rsid w:val="6FC54BEF"/>
    <w:rsid w:val="706921FA"/>
    <w:rsid w:val="70B22C23"/>
    <w:rsid w:val="71411B5D"/>
    <w:rsid w:val="719931E1"/>
    <w:rsid w:val="7240055A"/>
    <w:rsid w:val="728E0BA0"/>
    <w:rsid w:val="731001C6"/>
    <w:rsid w:val="73134A0E"/>
    <w:rsid w:val="736064A7"/>
    <w:rsid w:val="736159D6"/>
    <w:rsid w:val="73F71039"/>
    <w:rsid w:val="73F91498"/>
    <w:rsid w:val="74D5337C"/>
    <w:rsid w:val="74D975E2"/>
    <w:rsid w:val="756B7D6A"/>
    <w:rsid w:val="757C417D"/>
    <w:rsid w:val="759455DB"/>
    <w:rsid w:val="75D160D9"/>
    <w:rsid w:val="762914BB"/>
    <w:rsid w:val="773A73AB"/>
    <w:rsid w:val="775767BB"/>
    <w:rsid w:val="7779068F"/>
    <w:rsid w:val="77B92148"/>
    <w:rsid w:val="77FFE39F"/>
    <w:rsid w:val="781B1736"/>
    <w:rsid w:val="78F051A8"/>
    <w:rsid w:val="79EF18A6"/>
    <w:rsid w:val="7A903B21"/>
    <w:rsid w:val="7CF2196B"/>
    <w:rsid w:val="7D2E7430"/>
    <w:rsid w:val="7D993EC8"/>
    <w:rsid w:val="7D9A013D"/>
    <w:rsid w:val="7E9160CF"/>
    <w:rsid w:val="7EC677D3"/>
    <w:rsid w:val="7FDC2489"/>
    <w:rsid w:val="7FFDEEFD"/>
  </w:rsids>
  <w:docVars>
    <w:docVar w:name="commondata" w:val="eyJoZGlkIjoiZjFmZWIzNDg2MmIzZjExOTIzMmViNTBmYTMwYTk0ZWY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0"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1Char"/>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2Char"/>
    <w:uiPriority w:val="9"/>
    <w:unhideWhenUsed/>
    <w:qFormat/>
    <w:pPr>
      <w:keepNext/>
      <w:keepLines/>
      <w:spacing w:before="260" w:after="260" w:line="416" w:lineRule="atLeast"/>
      <w:outlineLvl w:val="1"/>
    </w:pPr>
    <w:rPr>
      <w:rFonts w:ascii="Cambria" w:eastAsia="宋体" w:hAnsi="Cambria" w:cs="Times New Roman"/>
      <w:b/>
      <w:bCs/>
      <w:sz w:val="32"/>
      <w:szCs w:val="32"/>
    </w:rPr>
  </w:style>
  <w:style w:type="paragraph" w:styleId="Heading3">
    <w:name w:val="heading 3"/>
    <w:basedOn w:val="Normal"/>
    <w:next w:val="Normal"/>
    <w:link w:val="3Char"/>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eastAsia="宋体" w:hAnsi="Calibri" w:cs="Times New Roman"/>
      <w:sz w:val="22"/>
      <w:szCs w:val="22"/>
    </w:rPr>
  </w:style>
  <w:style w:type="paragraph" w:styleId="BalloonText">
    <w:name w:val="Balloon Text"/>
    <w:basedOn w:val="Normal"/>
    <w:link w:val="Char"/>
    <w:uiPriority w:val="99"/>
    <w:unhideWhenUsed/>
    <w:qFormat/>
    <w:pPr>
      <w:spacing w:line="240" w:lineRule="auto"/>
    </w:pPr>
    <w:rPr>
      <w:sz w:val="18"/>
      <w:szCs w:val="18"/>
    </w:rPr>
  </w:style>
  <w:style w:type="paragraph" w:styleId="Footer">
    <w:name w:val="footer"/>
    <w:basedOn w:val="Normal"/>
    <w:link w:val="Char0"/>
    <w:unhideWhenUsed/>
    <w:qFormat/>
    <w:pPr>
      <w:tabs>
        <w:tab w:val="center" w:pos="4153"/>
        <w:tab w:val="right" w:pos="8306"/>
      </w:tabs>
      <w:snapToGrid w:val="0"/>
      <w:spacing w:line="240" w:lineRule="atLeas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eastAsia="宋体" w:hAnsi="Calibri" w:cs="Times New Roman"/>
      <w:sz w:val="22"/>
      <w:szCs w:val="22"/>
    </w:rPr>
  </w:style>
  <w:style w:type="character" w:styleId="Hyperlink">
    <w:name w:val="Hyperlink"/>
    <w:uiPriority w:val="99"/>
    <w:unhideWhenUsed/>
    <w:qFormat/>
    <w:rPr>
      <w:color w:val="0000FF"/>
      <w:u w:val="single"/>
    </w:rPr>
  </w:style>
  <w:style w:type="character" w:customStyle="1" w:styleId="1Char">
    <w:name w:val="标题 1 Char"/>
    <w:link w:val="Heading1"/>
    <w:uiPriority w:val="9"/>
    <w:qFormat/>
    <w:rPr>
      <w:b/>
      <w:bCs/>
      <w:kern w:val="44"/>
      <w:sz w:val="44"/>
      <w:szCs w:val="44"/>
    </w:rPr>
  </w:style>
  <w:style w:type="character" w:customStyle="1" w:styleId="2Char">
    <w:name w:val="标题 2 Char"/>
    <w:link w:val="Heading2"/>
    <w:uiPriority w:val="9"/>
    <w:semiHidden/>
    <w:qFormat/>
    <w:rPr>
      <w:rFonts w:ascii="Cambria" w:eastAsia="宋体" w:hAnsi="Cambria" w:cs="Times New Roman"/>
      <w:b/>
      <w:bCs/>
      <w:sz w:val="32"/>
      <w:szCs w:val="32"/>
    </w:rPr>
  </w:style>
  <w:style w:type="character" w:customStyle="1" w:styleId="3Char">
    <w:name w:val="标题 3 Char"/>
    <w:link w:val="Heading3"/>
    <w:uiPriority w:val="9"/>
    <w:semiHidden/>
    <w:qFormat/>
    <w:rPr>
      <w:b/>
      <w:bCs/>
      <w:sz w:val="32"/>
      <w:szCs w:val="32"/>
    </w:rPr>
  </w:style>
  <w:style w:type="character" w:customStyle="1" w:styleId="Char">
    <w:name w:val="批注框文本 Char"/>
    <w:link w:val="BalloonText"/>
    <w:uiPriority w:val="99"/>
    <w:semiHidden/>
    <w:qFormat/>
    <w:rPr>
      <w:sz w:val="18"/>
      <w:szCs w:val="18"/>
    </w:rPr>
  </w:style>
  <w:style w:type="character" w:customStyle="1" w:styleId="Char0">
    <w:name w:val="页脚 Char"/>
    <w:link w:val="Footer"/>
    <w:semiHidden/>
    <w:qFormat/>
    <w:rPr>
      <w:sz w:val="18"/>
      <w:szCs w:val="18"/>
    </w:rPr>
  </w:style>
  <w:style w:type="character" w:customStyle="1" w:styleId="Char1">
    <w:name w:val="页眉 Char"/>
    <w:link w:val="Header"/>
    <w:semiHidden/>
    <w:qFormat/>
    <w:rPr>
      <w:sz w:val="18"/>
      <w:szCs w:val="18"/>
    </w:rPr>
  </w:style>
  <w:style w:type="paragraph" w:customStyle="1" w:styleId="TOC">
    <w:name w:val="TOC 标题"/>
    <w:basedOn w:val="Heading1"/>
    <w:next w:val="Normal"/>
    <w:uiPriority w:val="39"/>
    <w:unhideWhenUsed/>
    <w:qFormat/>
    <w:pPr>
      <w:widowControl/>
      <w:adjustRightInd/>
      <w:spacing w:before="480" w:after="0" w:line="276" w:lineRule="auto"/>
      <w:textAlignment w:val="auto"/>
      <w:outlineLvl w:val="9"/>
    </w:pPr>
    <w:rPr>
      <w:rFonts w:ascii="Cambria" w:eastAsia="宋体"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16</Pages>
  <Words>1524</Words>
  <Characters>1706</Characters>
  <Application>Microsoft Office Word</Application>
  <DocSecurity>0</DocSecurity>
  <Lines>60</Lines>
  <Paragraphs>16</Paragraphs>
  <ScaleCrop>false</ScaleCrop>
  <Company>Microsoft</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绫香~</cp:lastModifiedBy>
  <cp:revision>5</cp:revision>
  <cp:lastPrinted>2012-09-19T14:00:00Z</cp:lastPrinted>
  <dcterms:created xsi:type="dcterms:W3CDTF">2019-07-28T02:37:00Z</dcterms:created>
  <dcterms:modified xsi:type="dcterms:W3CDTF">2024-08-21T04:17:20Z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9337EA9B326C43D7BCD51FC2F8926154_13</vt:lpwstr>
  </property>
  <property fmtid="{D5CDD505-2E9C-101B-9397-08002B2CF9AE}" pid="3" name="KSOProductBuildVer">
    <vt:lpwstr>2052-12.1.0.17147</vt:lpwstr>
  </property>
</Properties>
</file>