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uto"/>
        <w:rPr>
          <w:rFonts w:hint="default" w:ascii="黑体" w:hAnsi="黑体" w:eastAsia="黑体" w:cs="黑体"/>
          <w:w w:val="95"/>
          <w:sz w:val="32"/>
          <w:szCs w:val="32"/>
          <w:lang w:val="en"/>
        </w:rPr>
      </w:pPr>
      <w:r>
        <w:rPr>
          <w:rFonts w:hint="eastAsia" w:ascii="黑体" w:hAnsi="黑体" w:eastAsia="黑体" w:cs="黑体"/>
          <w:w w:val="95"/>
          <w:sz w:val="32"/>
          <w:szCs w:val="32"/>
          <w:lang w:val="en"/>
        </w:rPr>
        <w:t>附件</w:t>
      </w:r>
      <w:r>
        <w:rPr>
          <w:rFonts w:hint="default" w:ascii="黑体" w:hAnsi="黑体" w:eastAsia="黑体" w:cs="黑体"/>
          <w:w w:val="95"/>
          <w:sz w:val="32"/>
          <w:szCs w:val="32"/>
          <w:lang w:val="en"/>
        </w:rPr>
        <w:t>1</w:t>
      </w: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580" w:lineRule="exact"/>
        <w:jc w:val="center"/>
        <w:rPr>
          <w:rFonts w:eastAsia="黑体"/>
          <w:w w:val="95"/>
          <w:sz w:val="44"/>
          <w:szCs w:val="44"/>
        </w:rPr>
      </w:pPr>
    </w:p>
    <w:p>
      <w:pPr>
        <w:spacing w:line="240" w:lineRule="auto"/>
        <w:jc w:val="center"/>
        <w:rPr>
          <w:rFonts w:hint="eastAsia" w:ascii="方正小标宋简体" w:hAnsi="方正小标宋简体" w:eastAsia="方正小标宋简体" w:cs="方正小标宋简体"/>
          <w:sz w:val="48"/>
          <w:szCs w:val="48"/>
          <w:lang w:val="en-US" w:eastAsia="zh-CN"/>
        </w:rPr>
      </w:pPr>
      <w:r>
        <w:rPr>
          <w:rFonts w:hint="eastAsia" w:ascii="方正小标宋简体" w:hAnsi="方正小标宋简体" w:eastAsia="方正小标宋简体" w:cs="方正小标宋简体"/>
          <w:sz w:val="48"/>
          <w:szCs w:val="48"/>
          <w:lang w:val="en-US" w:eastAsia="zh-CN"/>
        </w:rPr>
        <w:t>天津市津南区物业服务中心</w:t>
      </w:r>
    </w:p>
    <w:p>
      <w:pPr>
        <w:spacing w:line="240" w:lineRule="auto"/>
        <w:jc w:val="center"/>
        <w:rPr>
          <w:rFonts w:hint="eastAsia" w:ascii="方正小标宋简体" w:hAnsi="方正小标宋简体" w:eastAsia="方正小标宋简体" w:cs="方正小标宋简体"/>
          <w:sz w:val="48"/>
          <w:szCs w:val="48"/>
        </w:rPr>
        <w:sectPr>
          <w:pgSz w:w="11906" w:h="16838"/>
          <w:pgMar w:top="1440" w:right="1800" w:bottom="1440" w:left="1800" w:header="851" w:footer="992" w:gutter="0"/>
          <w:pgNumType w:fmt="decimal" w:start="1"/>
          <w:cols w:space="720" w:num="1"/>
          <w:docGrid w:type="lines" w:linePitch="312" w:charSpace="0"/>
        </w:sectPr>
      </w:pPr>
      <w:r>
        <w:rPr>
          <w:rFonts w:hint="eastAsia" w:ascii="方正小标宋简体" w:hAnsi="方正小标宋简体" w:eastAsia="方正小标宋简体" w:cs="方正小标宋简体"/>
          <w:sz w:val="48"/>
          <w:szCs w:val="48"/>
        </w:rPr>
        <w:t>2021年度部门决算</w:t>
      </w:r>
    </w:p>
    <w:p>
      <w:pPr>
        <w:spacing w:line="240" w:lineRule="auto"/>
        <w:jc w:val="both"/>
        <w:rPr>
          <w:rFonts w:hint="eastAsia" w:ascii="方正小标宋简体" w:hAnsi="方正小标宋简体" w:eastAsia="方正小标宋简体" w:cs="方正小标宋简体"/>
          <w:sz w:val="48"/>
          <w:szCs w:val="48"/>
        </w:rPr>
      </w:pPr>
    </w:p>
    <w:p>
      <w:pPr>
        <w:spacing w:line="600" w:lineRule="exact"/>
        <w:jc w:val="center"/>
        <w:rPr>
          <w:rFonts w:hint="eastAsia" w:ascii="黑体" w:eastAsia="黑体"/>
          <w:sz w:val="44"/>
          <w:szCs w:val="44"/>
        </w:rPr>
      </w:pPr>
      <w:r>
        <w:rPr>
          <w:rFonts w:hint="eastAsia" w:ascii="黑体" w:eastAsia="黑体"/>
          <w:sz w:val="44"/>
          <w:szCs w:val="44"/>
        </w:rPr>
        <w:t>目   录</w:t>
      </w:r>
    </w:p>
    <w:p>
      <w:pPr>
        <w:spacing w:line="600" w:lineRule="exact"/>
        <w:rPr>
          <w:rFonts w:hint="eastAsia" w:ascii="黑体" w:eastAsia="黑体"/>
          <w:sz w:val="30"/>
          <w:szCs w:val="30"/>
        </w:r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TOC \o "1-3" \h \z \u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第一部分  概 况</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_Toc6506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1</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一、主要职责</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_Toc9987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二、机构设置</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_Toc26464 </w:instrText>
      </w:r>
      <w:r>
        <w:rPr>
          <w:rFonts w:ascii="Times New Roman" w:hAnsi="Times New Roman" w:eastAsia="仿宋_GB2312"/>
          <w:sz w:val="30"/>
          <w:szCs w:val="30"/>
        </w:rPr>
        <w:fldChar w:fldCharType="separate"/>
      </w:r>
      <w:r>
        <w:rPr>
          <w:rFonts w:ascii="Times New Roman" w:hAnsi="Times New Roman" w:eastAsia="仿宋_GB2312"/>
          <w:sz w:val="30"/>
          <w:szCs w:val="30"/>
        </w:rPr>
        <w:t>1</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第二部分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年度部门决算表</w:t>
      </w:r>
      <w:r>
        <w:rPr>
          <w:rFonts w:ascii="Times New Roman" w:hAnsi="Times New Roman" w:eastAsia="方正小标宋简体" w:cs="Times New Roman"/>
          <w:sz w:val="30"/>
          <w:szCs w:val="30"/>
        </w:rPr>
        <w:tab/>
      </w: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PAGEREF _Toc30850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2</w:t>
      </w:r>
      <w:r>
        <w:rPr>
          <w:rFonts w:ascii="Times New Roman" w:hAnsi="Times New Roman" w:eastAsia="方正小标宋简体" w:cs="Times New Roman"/>
          <w:sz w:val="30"/>
          <w:szCs w:val="30"/>
        </w:rPr>
        <w:fldChar w:fldCharType="end"/>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_Toc25952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二、收入决算表（按功能分类列示）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_Toc14631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三、收入决算表（按单位列示）</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_Toc15648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四、支出决算表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_Toc2044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五、财政拨款收入支出决算总表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_Toc25856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_Toc3929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七、一般公共预算财政拨款基本支出决算表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_Toc7568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_Toc7181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、一般公共预算财政拨款“三公”经费支出决算表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_Toc7181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_Toc25187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、政府性基金预算财政拨款收入支出决算表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_Toc25187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十、国有资本经营预算财政拨款收入支出决算表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_Toc21022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、项目支出决算表</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_Toc11621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_Toc1045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、关于空表的说明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_Toc1045 </w:instrText>
      </w:r>
      <w:r>
        <w:rPr>
          <w:rFonts w:ascii="Times New Roman" w:hAnsi="Times New Roman" w:eastAsia="仿宋_GB2312"/>
          <w:sz w:val="30"/>
          <w:szCs w:val="30"/>
        </w:rPr>
        <w:fldChar w:fldCharType="separate"/>
      </w:r>
      <w:r>
        <w:rPr>
          <w:rFonts w:ascii="Times New Roman" w:hAnsi="Times New Roman" w:eastAsia="仿宋_GB2312"/>
          <w:sz w:val="30"/>
          <w:szCs w:val="30"/>
        </w:rPr>
        <w:t>2</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ascii="Times New Roman" w:hAnsi="Times New Roman" w:eastAsia="方正小标宋简体" w:cs="Times New Roman"/>
          <w:sz w:val="30"/>
          <w:szCs w:val="30"/>
        </w:rPr>
        <w:sectPr>
          <w:pgSz w:w="11906" w:h="16838"/>
          <w:pgMar w:top="1440" w:right="1800" w:bottom="1440" w:left="1800" w:header="851" w:footer="992" w:gutter="0"/>
          <w:pgNumType w:fmt="decimal" w:start="1"/>
          <w:cols w:space="720" w:num="1"/>
          <w:docGrid w:type="lines" w:linePitch="312" w:charSpace="0"/>
        </w:sectPr>
      </w:pPr>
    </w:p>
    <w:p>
      <w:pPr>
        <w:pStyle w:val="9"/>
        <w:tabs>
          <w:tab w:val="right" w:leader="dot" w:pos="8306"/>
          <w:tab w:val="clear" w:pos="8296"/>
        </w:tabs>
        <w:spacing w:after="0" w:line="700" w:lineRule="exact"/>
        <w:rPr>
          <w:rFonts w:ascii="Times New Roman" w:hAnsi="Times New Roman" w:eastAsia="方正小标宋简体" w:cs="Times New Roman"/>
          <w:sz w:val="30"/>
          <w:szCs w:val="30"/>
        </w:rPr>
      </w:pPr>
      <w:r>
        <w:rPr>
          <w:rFonts w:ascii="Times New Roman" w:hAnsi="Times New Roman" w:eastAsia="方正小标宋简体" w:cs="Times New Roman"/>
          <w:sz w:val="30"/>
          <w:szCs w:val="30"/>
        </w:rPr>
        <w:fldChar w:fldCharType="begin"/>
      </w:r>
      <w:r>
        <w:rPr>
          <w:rFonts w:ascii="Times New Roman" w:hAnsi="Times New Roman" w:eastAsia="方正小标宋简体" w:cs="Times New Roman"/>
          <w:sz w:val="30"/>
          <w:szCs w:val="30"/>
        </w:rPr>
        <w:instrText xml:space="preserve"> HYPERLINK \l _Toc20137 </w:instrText>
      </w:r>
      <w:r>
        <w:rPr>
          <w:rFonts w:ascii="Times New Roman" w:hAnsi="Times New Roman" w:eastAsia="方正小标宋简体" w:cs="Times New Roman"/>
          <w:sz w:val="30"/>
          <w:szCs w:val="30"/>
        </w:rPr>
        <w:fldChar w:fldCharType="separate"/>
      </w:r>
      <w:r>
        <w:rPr>
          <w:rFonts w:ascii="Times New Roman" w:hAnsi="Times New Roman" w:eastAsia="方正小标宋简体" w:cs="Times New Roman"/>
          <w:sz w:val="30"/>
          <w:szCs w:val="30"/>
        </w:rPr>
        <w:t>第三部分  202</w:t>
      </w:r>
      <w:r>
        <w:rPr>
          <w:rFonts w:ascii="Times New Roman" w:hAnsi="Times New Roman" w:eastAsia="方正小标宋简体" w:cs="Times New Roman"/>
          <w:sz w:val="30"/>
          <w:szCs w:val="30"/>
          <w:lang w:val="en-US" w:eastAsia="zh-CN"/>
        </w:rPr>
        <w:t>1</w:t>
      </w:r>
      <w:r>
        <w:rPr>
          <w:rFonts w:ascii="Times New Roman" w:hAnsi="Times New Roman" w:eastAsia="方正小标宋简体" w:cs="Times New Roman"/>
          <w:sz w:val="30"/>
          <w:szCs w:val="30"/>
        </w:rPr>
        <w:t>年度部门决算情况说明</w:t>
      </w:r>
      <w:r>
        <w:rPr>
          <w:rFonts w:ascii="Times New Roman" w:hAnsi="Times New Roman" w:eastAsia="方正小标宋简体" w:cs="Times New Roman"/>
          <w:sz w:val="30"/>
          <w:szCs w:val="30"/>
        </w:rPr>
        <w:tab/>
      </w:r>
      <w:r>
        <w:rPr>
          <w:rFonts w:hint="eastAsia" w:ascii="Times New Roman" w:hAnsi="Times New Roman" w:eastAsia="方正小标宋简体" w:cs="Times New Roman"/>
          <w:sz w:val="30"/>
          <w:szCs w:val="30"/>
          <w:lang w:val="en-US" w:eastAsia="zh-CN"/>
        </w:rPr>
        <w:t>5</w:t>
      </w:r>
      <w:r>
        <w:rPr>
          <w:rFonts w:ascii="Times New Roman" w:hAnsi="Times New Roman" w:eastAsia="方正小标宋简体" w:cs="Times New Roman"/>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_Toc10868 </w:instrText>
      </w:r>
      <w:r>
        <w:rPr>
          <w:rFonts w:ascii="Times New Roman" w:hAnsi="Times New Roman" w:eastAsia="仿宋_GB2312"/>
          <w:sz w:val="30"/>
          <w:szCs w:val="30"/>
        </w:rPr>
        <w:fldChar w:fldCharType="separate"/>
      </w:r>
      <w:r>
        <w:rPr>
          <w:rFonts w:ascii="Times New Roman" w:hAnsi="Times New Roman" w:eastAsia="仿宋_GB2312"/>
          <w:sz w:val="30"/>
          <w:szCs w:val="30"/>
        </w:rPr>
        <w:t>一、收支决算总体情况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_Toc10868 </w:instrText>
      </w:r>
      <w:r>
        <w:rPr>
          <w:rFonts w:ascii="Times New Roman" w:hAnsi="Times New Roman" w:eastAsia="仿宋_GB2312"/>
          <w:sz w:val="30"/>
          <w:szCs w:val="30"/>
        </w:rPr>
        <w:fldChar w:fldCharType="separate"/>
      </w:r>
      <w:r>
        <w:rPr>
          <w:rFonts w:ascii="Times New Roman" w:hAnsi="Times New Roman" w:eastAsia="仿宋_GB2312"/>
          <w:sz w:val="30"/>
          <w:szCs w:val="30"/>
        </w:rPr>
        <w:t>4</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_Toc11824 </w:instrText>
      </w:r>
      <w:r>
        <w:rPr>
          <w:rFonts w:ascii="Times New Roman" w:hAnsi="Times New Roman" w:eastAsia="仿宋_GB2312"/>
          <w:sz w:val="30"/>
          <w:szCs w:val="30"/>
        </w:rPr>
        <w:fldChar w:fldCharType="separate"/>
      </w:r>
      <w:r>
        <w:rPr>
          <w:rFonts w:ascii="Times New Roman" w:hAnsi="Times New Roman" w:eastAsia="仿宋_GB2312"/>
          <w:sz w:val="30"/>
          <w:szCs w:val="30"/>
        </w:rPr>
        <w:t>二、收入决算情况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_Toc11824 </w:instrText>
      </w:r>
      <w:r>
        <w:rPr>
          <w:rFonts w:ascii="Times New Roman" w:hAnsi="Times New Roman" w:eastAsia="仿宋_GB2312"/>
          <w:sz w:val="30"/>
          <w:szCs w:val="30"/>
        </w:rPr>
        <w:fldChar w:fldCharType="separate"/>
      </w:r>
      <w:r>
        <w:rPr>
          <w:rFonts w:ascii="Times New Roman" w:hAnsi="Times New Roman" w:eastAsia="仿宋_GB2312"/>
          <w:sz w:val="30"/>
          <w:szCs w:val="30"/>
        </w:rPr>
        <w:t>4</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_Toc16536 </w:instrText>
      </w:r>
      <w:r>
        <w:rPr>
          <w:rFonts w:ascii="Times New Roman" w:hAnsi="Times New Roman" w:eastAsia="仿宋_GB2312"/>
          <w:sz w:val="30"/>
          <w:szCs w:val="30"/>
        </w:rPr>
        <w:fldChar w:fldCharType="separate"/>
      </w:r>
      <w:r>
        <w:rPr>
          <w:rFonts w:ascii="Times New Roman" w:hAnsi="Times New Roman" w:eastAsia="仿宋_GB2312"/>
          <w:sz w:val="30"/>
          <w:szCs w:val="30"/>
        </w:rPr>
        <w:t>三、支出决算情况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_Toc16536 </w:instrText>
      </w:r>
      <w:r>
        <w:rPr>
          <w:rFonts w:ascii="Times New Roman" w:hAnsi="Times New Roman" w:eastAsia="仿宋_GB2312"/>
          <w:sz w:val="30"/>
          <w:szCs w:val="30"/>
        </w:rPr>
        <w:fldChar w:fldCharType="separate"/>
      </w:r>
      <w:r>
        <w:rPr>
          <w:rFonts w:ascii="Times New Roman" w:hAnsi="Times New Roman" w:eastAsia="仿宋_GB2312"/>
          <w:sz w:val="30"/>
          <w:szCs w:val="30"/>
        </w:rPr>
        <w:t>4</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_Toc18362 </w:instrText>
      </w:r>
      <w:r>
        <w:rPr>
          <w:rFonts w:ascii="Times New Roman" w:hAnsi="Times New Roman" w:eastAsia="仿宋_GB2312"/>
          <w:sz w:val="30"/>
          <w:szCs w:val="30"/>
        </w:rPr>
        <w:fldChar w:fldCharType="separate"/>
      </w:r>
      <w:r>
        <w:rPr>
          <w:rFonts w:ascii="Times New Roman" w:hAnsi="Times New Roman" w:eastAsia="仿宋_GB2312"/>
          <w:sz w:val="30"/>
          <w:szCs w:val="30"/>
        </w:rPr>
        <w:t>四、财政拨款收支决算总体情况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_Toc18362 </w:instrText>
      </w:r>
      <w:r>
        <w:rPr>
          <w:rFonts w:ascii="Times New Roman" w:hAnsi="Times New Roman" w:eastAsia="仿宋_GB2312"/>
          <w:sz w:val="30"/>
          <w:szCs w:val="30"/>
        </w:rPr>
        <w:fldChar w:fldCharType="separate"/>
      </w:r>
      <w:r>
        <w:rPr>
          <w:rFonts w:ascii="Times New Roman" w:hAnsi="Times New Roman" w:eastAsia="仿宋_GB2312"/>
          <w:sz w:val="30"/>
          <w:szCs w:val="30"/>
        </w:rPr>
        <w:t>5</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_Toc29106 </w:instrText>
      </w:r>
      <w:r>
        <w:rPr>
          <w:rFonts w:ascii="Times New Roman" w:hAnsi="Times New Roman" w:eastAsia="仿宋_GB2312"/>
          <w:sz w:val="30"/>
          <w:szCs w:val="30"/>
        </w:rPr>
        <w:fldChar w:fldCharType="separate"/>
      </w:r>
      <w:r>
        <w:rPr>
          <w:rFonts w:ascii="Times New Roman" w:hAnsi="Times New Roman" w:eastAsia="仿宋_GB2312"/>
          <w:sz w:val="30"/>
          <w:szCs w:val="30"/>
        </w:rPr>
        <w:t>五、一般公共预算财政拨款支出决算情况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_Toc29106 </w:instrText>
      </w:r>
      <w:r>
        <w:rPr>
          <w:rFonts w:ascii="Times New Roman" w:hAnsi="Times New Roman" w:eastAsia="仿宋_GB2312"/>
          <w:sz w:val="30"/>
          <w:szCs w:val="30"/>
        </w:rPr>
        <w:fldChar w:fldCharType="separate"/>
      </w:r>
      <w:r>
        <w:rPr>
          <w:rFonts w:ascii="Times New Roman" w:hAnsi="Times New Roman" w:eastAsia="仿宋_GB2312"/>
          <w:sz w:val="30"/>
          <w:szCs w:val="30"/>
        </w:rPr>
        <w:t>5</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_Toc1636 </w:instrText>
      </w:r>
      <w:r>
        <w:rPr>
          <w:rFonts w:ascii="Times New Roman" w:hAnsi="Times New Roman" w:eastAsia="仿宋_GB2312"/>
          <w:sz w:val="30"/>
          <w:szCs w:val="30"/>
        </w:rPr>
        <w:fldChar w:fldCharType="separate"/>
      </w:r>
      <w:r>
        <w:rPr>
          <w:rFonts w:ascii="Times New Roman" w:hAnsi="Times New Roman" w:eastAsia="仿宋_GB2312"/>
          <w:sz w:val="30"/>
          <w:szCs w:val="30"/>
        </w:rPr>
        <w:t>六、一般公共预算财政拨款基本支出决算情况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_Toc1636 </w:instrText>
      </w:r>
      <w:r>
        <w:rPr>
          <w:rFonts w:ascii="Times New Roman" w:hAnsi="Times New Roman" w:eastAsia="仿宋_GB2312"/>
          <w:sz w:val="30"/>
          <w:szCs w:val="30"/>
        </w:rPr>
        <w:fldChar w:fldCharType="separate"/>
      </w:r>
      <w:r>
        <w:rPr>
          <w:rFonts w:ascii="Times New Roman" w:hAnsi="Times New Roman" w:eastAsia="仿宋_GB2312"/>
          <w:sz w:val="30"/>
          <w:szCs w:val="30"/>
        </w:rPr>
        <w:t>7</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_Toc27173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七</w:t>
      </w:r>
      <w:r>
        <w:rPr>
          <w:rFonts w:ascii="Times New Roman" w:hAnsi="Times New Roman" w:eastAsia="仿宋_GB2312"/>
          <w:sz w:val="30"/>
          <w:szCs w:val="30"/>
        </w:rPr>
        <w:t>、一般公共预算财政拨款“三公”经费支出决算情况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_Toc27173 </w:instrText>
      </w:r>
      <w:r>
        <w:rPr>
          <w:rFonts w:ascii="Times New Roman" w:hAnsi="Times New Roman" w:eastAsia="仿宋_GB2312"/>
          <w:sz w:val="30"/>
          <w:szCs w:val="30"/>
        </w:rPr>
        <w:fldChar w:fldCharType="separate"/>
      </w:r>
      <w:r>
        <w:rPr>
          <w:rFonts w:ascii="Times New Roman" w:hAnsi="Times New Roman" w:eastAsia="仿宋_GB2312"/>
          <w:sz w:val="30"/>
          <w:szCs w:val="30"/>
        </w:rPr>
        <w:t>7</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_Toc18682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八</w:t>
      </w:r>
      <w:r>
        <w:rPr>
          <w:rFonts w:ascii="Times New Roman" w:hAnsi="Times New Roman" w:eastAsia="仿宋_GB2312"/>
          <w:sz w:val="30"/>
          <w:szCs w:val="30"/>
        </w:rPr>
        <w:t>、政府性基金预算财政拨款收支决算情况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_Toc18682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_Toc11823 </w:instrText>
      </w:r>
      <w:r>
        <w:rPr>
          <w:rFonts w:ascii="Times New Roman" w:hAnsi="Times New Roman" w:eastAsia="仿宋_GB2312"/>
          <w:sz w:val="30"/>
          <w:szCs w:val="30"/>
        </w:rPr>
        <w:fldChar w:fldCharType="separate"/>
      </w:r>
      <w:r>
        <w:rPr>
          <w:rFonts w:hint="eastAsia" w:ascii="Times New Roman" w:hAnsi="Times New Roman" w:eastAsia="仿宋_GB2312"/>
          <w:sz w:val="30"/>
          <w:szCs w:val="30"/>
          <w:lang w:eastAsia="zh-CN"/>
        </w:rPr>
        <w:t>九</w:t>
      </w:r>
      <w:r>
        <w:rPr>
          <w:rFonts w:ascii="Times New Roman" w:hAnsi="Times New Roman" w:eastAsia="仿宋_GB2312"/>
          <w:sz w:val="30"/>
          <w:szCs w:val="30"/>
        </w:rPr>
        <w:t>、国有资本经营预算财政拨款收支决算情况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_Toc11823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_Toc8800 </w:instrText>
      </w:r>
      <w:r>
        <w:rPr>
          <w:rFonts w:ascii="Times New Roman" w:hAnsi="Times New Roman" w:eastAsia="仿宋_GB2312"/>
          <w:sz w:val="30"/>
          <w:szCs w:val="30"/>
        </w:rPr>
        <w:fldChar w:fldCharType="separate"/>
      </w:r>
      <w:r>
        <w:rPr>
          <w:rFonts w:ascii="Times New Roman" w:hAnsi="Times New Roman" w:eastAsia="仿宋_GB2312"/>
          <w:sz w:val="30"/>
          <w:szCs w:val="30"/>
        </w:rPr>
        <w:t>十、机关运行经费支出情况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_Toc8800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_Toc8078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一</w:t>
      </w:r>
      <w:r>
        <w:rPr>
          <w:rFonts w:ascii="Times New Roman" w:hAnsi="Times New Roman" w:eastAsia="仿宋_GB2312"/>
          <w:sz w:val="30"/>
          <w:szCs w:val="30"/>
        </w:rPr>
        <w:t>、政府采购支出情况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_Toc8078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_Toc2866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二</w:t>
      </w:r>
      <w:r>
        <w:rPr>
          <w:rFonts w:ascii="Times New Roman" w:hAnsi="Times New Roman" w:eastAsia="仿宋_GB2312"/>
          <w:sz w:val="30"/>
          <w:szCs w:val="30"/>
        </w:rPr>
        <w:t>、国有资产占有使用情况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_Toc2866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p>
    <w:p>
      <w:pPr>
        <w:pStyle w:val="10"/>
        <w:tabs>
          <w:tab w:val="right" w:leader="dot" w:pos="8306"/>
        </w:tabs>
        <w:spacing w:after="0" w:line="700" w:lineRule="exact"/>
        <w:rPr>
          <w:rFonts w:ascii="Times New Roman" w:hAnsi="Times New Roman" w:eastAsia="仿宋_GB2312"/>
          <w:sz w:val="30"/>
          <w:szCs w:val="30"/>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_Toc3441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三</w:t>
      </w:r>
      <w:r>
        <w:rPr>
          <w:rFonts w:ascii="Times New Roman" w:hAnsi="Times New Roman" w:eastAsia="仿宋_GB2312"/>
          <w:sz w:val="30"/>
          <w:szCs w:val="30"/>
        </w:rPr>
        <w:t>、预算绩效情况说明</w:t>
      </w:r>
      <w:r>
        <w:rPr>
          <w:rFonts w:ascii="Times New Roman" w:hAnsi="Times New Roman" w:eastAsia="仿宋_GB2312"/>
          <w:sz w:val="30"/>
          <w:szCs w:val="30"/>
        </w:rPr>
        <w:tab/>
      </w: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PAGEREF _Toc3441 </w:instrText>
      </w:r>
      <w:r>
        <w:rPr>
          <w:rFonts w:ascii="Times New Roman" w:hAnsi="Times New Roman" w:eastAsia="仿宋_GB2312"/>
          <w:sz w:val="30"/>
          <w:szCs w:val="30"/>
        </w:rPr>
        <w:fldChar w:fldCharType="separate"/>
      </w:r>
      <w:r>
        <w:rPr>
          <w:rFonts w:ascii="Times New Roman" w:hAnsi="Times New Roman" w:eastAsia="仿宋_GB2312"/>
          <w:sz w:val="30"/>
          <w:szCs w:val="30"/>
        </w:rPr>
        <w:t>8</w:t>
      </w:r>
      <w:r>
        <w:rPr>
          <w:rFonts w:ascii="Times New Roman" w:hAnsi="Times New Roman" w:eastAsia="仿宋_GB2312"/>
          <w:sz w:val="30"/>
          <w:szCs w:val="30"/>
        </w:rPr>
        <w:fldChar w:fldCharType="end"/>
      </w:r>
      <w:r>
        <w:rPr>
          <w:rFonts w:ascii="Times New Roman" w:hAnsi="Times New Roman" w:eastAsia="仿宋_GB2312"/>
          <w:sz w:val="30"/>
          <w:szCs w:val="30"/>
        </w:rPr>
        <w:fldChar w:fldCharType="end"/>
      </w:r>
      <w:bookmarkStart w:id="32" w:name="_GoBack"/>
      <w:bookmarkEnd w:id="32"/>
    </w:p>
    <w:p>
      <w:pPr>
        <w:pStyle w:val="10"/>
        <w:tabs>
          <w:tab w:val="right" w:leader="dot" w:pos="8306"/>
        </w:tabs>
        <w:spacing w:after="0" w:line="700" w:lineRule="exact"/>
        <w:rPr>
          <w:rFonts w:hint="default" w:ascii="Times New Roman" w:hAnsi="Times New Roman" w:eastAsia="仿宋_GB2312"/>
          <w:sz w:val="30"/>
          <w:szCs w:val="30"/>
          <w:lang w:val="en"/>
        </w:rPr>
      </w:pPr>
      <w:r>
        <w:rPr>
          <w:rFonts w:ascii="Times New Roman" w:hAnsi="Times New Roman" w:eastAsia="仿宋_GB2312"/>
          <w:sz w:val="30"/>
          <w:szCs w:val="30"/>
        </w:rPr>
        <w:fldChar w:fldCharType="begin"/>
      </w:r>
      <w:r>
        <w:rPr>
          <w:rFonts w:ascii="Times New Roman" w:hAnsi="Times New Roman" w:eastAsia="仿宋_GB2312"/>
          <w:sz w:val="30"/>
          <w:szCs w:val="30"/>
        </w:rPr>
        <w:instrText xml:space="preserve"> HYPERLINK \l _Toc11040 </w:instrText>
      </w:r>
      <w:r>
        <w:rPr>
          <w:rFonts w:ascii="Times New Roman" w:hAnsi="Times New Roman" w:eastAsia="仿宋_GB2312"/>
          <w:sz w:val="30"/>
          <w:szCs w:val="30"/>
        </w:rPr>
        <w:fldChar w:fldCharType="separate"/>
      </w:r>
      <w:r>
        <w:rPr>
          <w:rFonts w:ascii="Times New Roman" w:hAnsi="Times New Roman" w:eastAsia="仿宋_GB2312"/>
          <w:sz w:val="30"/>
          <w:szCs w:val="30"/>
        </w:rPr>
        <w:t>十</w:t>
      </w:r>
      <w:r>
        <w:rPr>
          <w:rFonts w:hint="eastAsia" w:ascii="Times New Roman" w:hAnsi="Times New Roman" w:eastAsia="仿宋_GB2312"/>
          <w:sz w:val="30"/>
          <w:szCs w:val="30"/>
          <w:lang w:eastAsia="zh-CN"/>
        </w:rPr>
        <w:t>四</w:t>
      </w:r>
      <w:r>
        <w:rPr>
          <w:rFonts w:ascii="Times New Roman" w:hAnsi="Times New Roman" w:eastAsia="仿宋_GB2312"/>
          <w:sz w:val="30"/>
          <w:szCs w:val="30"/>
        </w:rPr>
        <w:t>、教育、医疗卫生、社会保障和就业、住房保障、涉农补贴等民生支出情况</w:t>
      </w:r>
      <w:r>
        <w:rPr>
          <w:rFonts w:hint="eastAsia" w:ascii="Times New Roman" w:hAnsi="Times New Roman" w:eastAsia="仿宋_GB2312"/>
          <w:sz w:val="30"/>
          <w:szCs w:val="30"/>
          <w:lang w:eastAsia="zh-CN"/>
        </w:rPr>
        <w:t>说明</w:t>
      </w:r>
      <w:r>
        <w:rPr>
          <w:rFonts w:ascii="Times New Roman" w:hAnsi="Times New Roman" w:eastAsia="仿宋_GB2312"/>
          <w:sz w:val="30"/>
          <w:szCs w:val="30"/>
        </w:rPr>
        <w:tab/>
      </w:r>
      <w:r>
        <w:rPr>
          <w:rFonts w:hint="eastAsia" w:ascii="Times New Roman" w:hAnsi="Times New Roman" w:eastAsia="仿宋_GB2312"/>
          <w:sz w:val="30"/>
          <w:szCs w:val="30"/>
          <w:lang w:val="en-US" w:eastAsia="zh-CN"/>
        </w:rPr>
        <w:t>8</w:t>
      </w:r>
      <w:r>
        <w:rPr>
          <w:rFonts w:ascii="Times New Roman" w:hAnsi="Times New Roman" w:eastAsia="仿宋_GB2312"/>
          <w:sz w:val="30"/>
          <w:szCs w:val="30"/>
        </w:rPr>
        <w:fldChar w:fldCharType="end"/>
      </w:r>
    </w:p>
    <w:p>
      <w:pPr>
        <w:pStyle w:val="9"/>
        <w:tabs>
          <w:tab w:val="right" w:leader="dot" w:pos="8306"/>
          <w:tab w:val="clear" w:pos="8296"/>
        </w:tabs>
        <w:spacing w:after="0" w:line="700" w:lineRule="exact"/>
        <w:rPr>
          <w:rFonts w:hint="eastAsia" w:ascii="Times New Roman" w:hAnsi="Times New Roman" w:eastAsia="仿宋_GB2312" w:cs="Times New Roman"/>
          <w:sz w:val="30"/>
          <w:szCs w:val="30"/>
          <w:lang w:val="en-US" w:eastAsia="zh-CN"/>
        </w:rPr>
      </w:pPr>
      <w:r>
        <w:rPr>
          <w:rFonts w:ascii="Times New Roman" w:hAnsi="Times New Roman" w:eastAsia="仿宋_GB2312" w:cs="Times New Roman"/>
          <w:sz w:val="30"/>
          <w:szCs w:val="30"/>
        </w:rPr>
        <w:fldChar w:fldCharType="begin"/>
      </w:r>
      <w:r>
        <w:rPr>
          <w:rFonts w:ascii="Times New Roman" w:hAnsi="Times New Roman" w:eastAsia="仿宋_GB2312" w:cs="Times New Roman"/>
          <w:sz w:val="30"/>
          <w:szCs w:val="30"/>
        </w:rPr>
        <w:instrText xml:space="preserve"> HYPERLINK \l _Toc18688 </w:instrText>
      </w:r>
      <w:r>
        <w:rPr>
          <w:rFonts w:ascii="Times New Roman" w:hAnsi="Times New Roman" w:eastAsia="仿宋_GB2312" w:cs="Times New Roman"/>
          <w:sz w:val="30"/>
          <w:szCs w:val="30"/>
        </w:rPr>
        <w:fldChar w:fldCharType="separate"/>
      </w:r>
      <w:r>
        <w:rPr>
          <w:rFonts w:ascii="Times New Roman" w:hAnsi="Times New Roman" w:eastAsia="方正小标宋简体" w:cs="Times New Roman"/>
          <w:sz w:val="30"/>
          <w:szCs w:val="30"/>
        </w:rPr>
        <w:t>第四部分  名词解释</w:t>
      </w:r>
      <w:r>
        <w:rPr>
          <w:rFonts w:ascii="Times New Roman" w:hAnsi="Times New Roman" w:cs="Times New Roman"/>
          <w:sz w:val="30"/>
          <w:szCs w:val="30"/>
        </w:rPr>
        <w:tab/>
      </w:r>
      <w:r>
        <w:rPr>
          <w:rFonts w:hint="eastAsia" w:ascii="Times New Roman" w:hAnsi="Times New Roman" w:cs="Times New Roman"/>
          <w:sz w:val="30"/>
          <w:szCs w:val="30"/>
          <w:lang w:val="en-US" w:eastAsia="zh-CN"/>
        </w:rPr>
        <w:t>1</w:t>
      </w:r>
      <w:r>
        <w:rPr>
          <w:rFonts w:ascii="Times New Roman" w:hAnsi="Times New Roman" w:eastAsia="仿宋_GB2312" w:cs="Times New Roman"/>
          <w:sz w:val="30"/>
          <w:szCs w:val="30"/>
        </w:rPr>
        <w:fldChar w:fldCharType="end"/>
      </w:r>
      <w:r>
        <w:rPr>
          <w:rFonts w:hint="eastAsia" w:ascii="Times New Roman" w:hAnsi="Times New Roman" w:eastAsia="仿宋_GB2312" w:cs="Times New Roman"/>
          <w:sz w:val="30"/>
          <w:szCs w:val="30"/>
          <w:lang w:val="en-US" w:eastAsia="zh-CN"/>
        </w:rPr>
        <w:t>0</w:t>
      </w:r>
    </w:p>
    <w:p>
      <w:pPr>
        <w:pStyle w:val="10"/>
        <w:tabs>
          <w:tab w:val="right" w:leader="dot" w:pos="8296"/>
        </w:tabs>
        <w:spacing w:after="0" w:line="600" w:lineRule="exact"/>
        <w:rPr>
          <w:rFonts w:ascii="Times New Roman" w:hAnsi="Times New Roman" w:eastAsia="仿宋_GB2312"/>
          <w:sz w:val="32"/>
          <w:szCs w:val="32"/>
        </w:rPr>
        <w:sectPr>
          <w:footerReference r:id="rId5" w:type="default"/>
          <w:pgSz w:w="11906" w:h="16838"/>
          <w:pgMar w:top="1440" w:right="1800" w:bottom="1440" w:left="1800" w:header="851" w:footer="992" w:gutter="0"/>
          <w:pgNumType w:fmt="decimal" w:start="1"/>
          <w:cols w:space="720" w:num="1"/>
          <w:docGrid w:type="lines" w:linePitch="312" w:charSpace="0"/>
        </w:sectPr>
      </w:pPr>
      <w:r>
        <w:rPr>
          <w:rFonts w:ascii="Times New Roman" w:hAnsi="Times New Roman" w:eastAsia="仿宋_GB2312"/>
          <w:sz w:val="30"/>
          <w:szCs w:val="30"/>
        </w:rPr>
        <w:fldChar w:fldCharType="end"/>
      </w:r>
    </w:p>
    <w:p>
      <w:pPr>
        <w:rPr>
          <w:rFonts w:hint="eastAsia"/>
        </w:rPr>
      </w:pPr>
    </w:p>
    <w:p>
      <w:pPr>
        <w:pStyle w:val="3"/>
        <w:spacing w:before="0" w:after="0" w:line="600" w:lineRule="exact"/>
        <w:jc w:val="center"/>
        <w:rPr>
          <w:rFonts w:hint="eastAsia" w:ascii="方正小标宋简体" w:hAnsi="方正小标宋简体" w:eastAsia="方正小标宋简体" w:cs="方正小标宋简体"/>
          <w:b w:val="0"/>
          <w:sz w:val="48"/>
          <w:szCs w:val="48"/>
        </w:rPr>
      </w:pPr>
      <w:bookmarkStart w:id="0" w:name="_Toc6506"/>
    </w:p>
    <w:p>
      <w:pPr>
        <w:pStyle w:val="3"/>
        <w:spacing w:before="0" w:after="0" w:line="600" w:lineRule="exact"/>
        <w:jc w:val="center"/>
        <w:rPr>
          <w:rFonts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第一部分  概 况</w:t>
      </w:r>
      <w:bookmarkEnd w:id="0"/>
    </w:p>
    <w:p>
      <w:pPr>
        <w:spacing w:line="600" w:lineRule="exact"/>
        <w:rPr>
          <w:rFonts w:hint="eastAsia"/>
        </w:rPr>
      </w:pPr>
    </w:p>
    <w:p>
      <w:pPr>
        <w:pStyle w:val="4"/>
        <w:spacing w:before="0" w:after="0" w:line="600" w:lineRule="exact"/>
        <w:ind w:firstLine="600" w:firstLineChars="200"/>
        <w:rPr>
          <w:rFonts w:hint="eastAsia" w:ascii="黑体" w:hAnsi="黑体" w:eastAsia="黑体"/>
          <w:b w:val="0"/>
          <w:bCs w:val="0"/>
          <w:sz w:val="30"/>
          <w:szCs w:val="30"/>
        </w:rPr>
      </w:pPr>
      <w:bookmarkStart w:id="1" w:name="_Toc9987"/>
      <w:r>
        <w:rPr>
          <w:rFonts w:hint="eastAsia" w:ascii="黑体" w:hAnsi="黑体" w:eastAsia="黑体"/>
          <w:b w:val="0"/>
          <w:bCs w:val="0"/>
          <w:sz w:val="30"/>
          <w:szCs w:val="30"/>
        </w:rPr>
        <w:t>一、主要职责</w:t>
      </w:r>
      <w:bookmarkEnd w:id="1"/>
    </w:p>
    <w:p>
      <w:pPr>
        <w:spacing w:line="600" w:lineRule="exact"/>
        <w:ind w:firstLine="640" w:firstLineChars="200"/>
        <w:rPr>
          <w:rFonts w:hint="eastAsia" w:ascii="仿宋_GB2312" w:eastAsia="仿宋_GB2312"/>
          <w:sz w:val="32"/>
          <w:szCs w:val="32"/>
          <w:u w:val="none"/>
          <w:lang w:eastAsia="zh-CN"/>
        </w:rPr>
      </w:pPr>
      <w:bookmarkStart w:id="2" w:name="_Toc26464"/>
      <w:r>
        <w:rPr>
          <w:rFonts w:hint="eastAsia" w:ascii="仿宋" w:hAnsi="仿宋" w:eastAsia="仿宋"/>
          <w:sz w:val="32"/>
          <w:szCs w:val="32"/>
          <w:u w:val="none"/>
          <w:lang w:val="en-US" w:eastAsia="zh-CN"/>
        </w:rPr>
        <w:t>1、</w:t>
      </w:r>
      <w:r>
        <w:rPr>
          <w:rFonts w:hint="eastAsia" w:ascii="仿宋" w:hAnsi="仿宋" w:eastAsia="仿宋"/>
          <w:sz w:val="32"/>
          <w:szCs w:val="32"/>
          <w:u w:val="none"/>
        </w:rPr>
        <w:t>负责区内物业管理活动的</w:t>
      </w:r>
      <w:r>
        <w:rPr>
          <w:rFonts w:hint="eastAsia" w:ascii="仿宋_GB2312" w:eastAsia="仿宋_GB2312"/>
          <w:sz w:val="32"/>
          <w:szCs w:val="32"/>
          <w:u w:val="none"/>
        </w:rPr>
        <w:t>业务指导及日常抽查检查</w:t>
      </w:r>
      <w:r>
        <w:rPr>
          <w:rFonts w:hint="eastAsia" w:ascii="仿宋_GB2312" w:eastAsia="仿宋_GB2312"/>
          <w:sz w:val="32"/>
          <w:szCs w:val="32"/>
          <w:u w:val="none"/>
          <w:lang w:eastAsia="zh-CN"/>
        </w:rPr>
        <w:t>；</w:t>
      </w:r>
    </w:p>
    <w:p>
      <w:pPr>
        <w:spacing w:line="600" w:lineRule="exact"/>
        <w:ind w:firstLine="640" w:firstLineChars="200"/>
        <w:rPr>
          <w:rFonts w:hint="eastAsia" w:ascii="仿宋_GB2312" w:eastAsia="仿宋_GB2312"/>
          <w:sz w:val="32"/>
          <w:szCs w:val="32"/>
          <w:u w:val="none"/>
        </w:rPr>
      </w:pPr>
      <w:r>
        <w:rPr>
          <w:rFonts w:hint="eastAsia" w:ascii="仿宋_GB2312" w:eastAsia="仿宋_GB2312"/>
          <w:sz w:val="32"/>
          <w:szCs w:val="32"/>
          <w:u w:val="none"/>
          <w:lang w:val="en-US" w:eastAsia="zh-CN"/>
        </w:rPr>
        <w:t>2、</w:t>
      </w:r>
      <w:r>
        <w:rPr>
          <w:rFonts w:hint="eastAsia" w:ascii="仿宋_GB2312" w:eastAsia="仿宋_GB2312"/>
          <w:sz w:val="32"/>
          <w:szCs w:val="32"/>
          <w:u w:val="none"/>
        </w:rPr>
        <w:t>业主大会以及业主委员会成立、换届、选举等工作的政策咨询及指导；</w:t>
      </w:r>
    </w:p>
    <w:p>
      <w:pPr>
        <w:spacing w:line="600" w:lineRule="exact"/>
        <w:ind w:firstLine="640" w:firstLineChars="200"/>
        <w:rPr>
          <w:rFonts w:hint="eastAsia" w:ascii="仿宋_GB2312" w:eastAsia="仿宋_GB2312"/>
          <w:sz w:val="32"/>
          <w:szCs w:val="32"/>
          <w:u w:val="none"/>
        </w:rPr>
      </w:pPr>
      <w:r>
        <w:rPr>
          <w:rFonts w:hint="eastAsia" w:ascii="仿宋_GB2312" w:eastAsia="仿宋_GB2312"/>
          <w:sz w:val="32"/>
          <w:szCs w:val="32"/>
          <w:u w:val="none"/>
          <w:lang w:val="en-US" w:eastAsia="zh-CN"/>
        </w:rPr>
        <w:t>3、</w:t>
      </w:r>
      <w:r>
        <w:rPr>
          <w:rFonts w:hint="eastAsia" w:ascii="仿宋_GB2312" w:eastAsia="仿宋_GB2312"/>
          <w:sz w:val="32"/>
          <w:szCs w:val="32"/>
          <w:u w:val="none"/>
        </w:rPr>
        <w:t>区内物业行业各类数据的统计分析；</w:t>
      </w:r>
    </w:p>
    <w:p>
      <w:pPr>
        <w:spacing w:line="600" w:lineRule="exact"/>
        <w:ind w:firstLine="640" w:firstLineChars="200"/>
        <w:rPr>
          <w:rFonts w:hint="eastAsia" w:ascii="仿宋_GB2312" w:eastAsia="仿宋_GB2312"/>
          <w:sz w:val="32"/>
          <w:szCs w:val="32"/>
          <w:u w:val="none"/>
        </w:rPr>
      </w:pPr>
      <w:r>
        <w:rPr>
          <w:rFonts w:hint="eastAsia" w:ascii="仿宋_GB2312" w:eastAsia="仿宋_GB2312"/>
          <w:sz w:val="32"/>
          <w:szCs w:val="32"/>
          <w:u w:val="none"/>
          <w:lang w:val="en-US" w:eastAsia="zh-CN"/>
        </w:rPr>
        <w:t>4、</w:t>
      </w:r>
      <w:r>
        <w:rPr>
          <w:rFonts w:hint="eastAsia" w:ascii="仿宋_GB2312" w:eastAsia="仿宋_GB2312"/>
          <w:sz w:val="32"/>
          <w:szCs w:val="32"/>
          <w:u w:val="none"/>
        </w:rPr>
        <w:t>推动利用人民调解化解物业管理矛盾纠纷；</w:t>
      </w:r>
    </w:p>
    <w:p>
      <w:pPr>
        <w:spacing w:line="600" w:lineRule="exact"/>
        <w:ind w:firstLine="640" w:firstLineChars="200"/>
        <w:rPr>
          <w:rFonts w:hint="eastAsia" w:ascii="仿宋_GB2312" w:eastAsia="仿宋_GB2312"/>
          <w:sz w:val="32"/>
          <w:szCs w:val="32"/>
          <w:u w:val="none"/>
        </w:rPr>
      </w:pPr>
      <w:r>
        <w:rPr>
          <w:rFonts w:hint="eastAsia" w:ascii="仿宋_GB2312" w:eastAsia="仿宋_GB2312"/>
          <w:sz w:val="32"/>
          <w:szCs w:val="32"/>
          <w:u w:val="none"/>
          <w:lang w:val="en-US" w:eastAsia="zh-CN"/>
        </w:rPr>
        <w:t>5、</w:t>
      </w:r>
      <w:r>
        <w:rPr>
          <w:rFonts w:hint="eastAsia" w:ascii="仿宋_GB2312" w:eastAsia="仿宋_GB2312"/>
          <w:sz w:val="32"/>
          <w:szCs w:val="32"/>
          <w:u w:val="none"/>
        </w:rPr>
        <w:t>有关物业服务企业诚信工作的具体事务性工作；</w:t>
      </w:r>
    </w:p>
    <w:p>
      <w:pPr>
        <w:spacing w:line="600" w:lineRule="exact"/>
        <w:ind w:firstLine="640" w:firstLineChars="200"/>
        <w:rPr>
          <w:rFonts w:hint="eastAsia" w:ascii="仿宋_GB2312" w:eastAsia="仿宋_GB2312"/>
          <w:sz w:val="32"/>
          <w:szCs w:val="32"/>
          <w:u w:val="none"/>
        </w:rPr>
      </w:pPr>
      <w:r>
        <w:rPr>
          <w:rFonts w:hint="eastAsia" w:ascii="仿宋_GB2312" w:eastAsia="仿宋_GB2312"/>
          <w:sz w:val="32"/>
          <w:szCs w:val="32"/>
          <w:u w:val="none"/>
          <w:lang w:val="en-US" w:eastAsia="zh-CN"/>
        </w:rPr>
        <w:t>6、</w:t>
      </w:r>
      <w:r>
        <w:rPr>
          <w:rFonts w:hint="eastAsia" w:ascii="仿宋_GB2312" w:eastAsia="仿宋_GB2312"/>
          <w:sz w:val="32"/>
          <w:szCs w:val="32"/>
          <w:u w:val="none"/>
        </w:rPr>
        <w:t>物业服务企业预警退出项目管理的协调、指导；</w:t>
      </w:r>
    </w:p>
    <w:p>
      <w:pPr>
        <w:spacing w:line="600" w:lineRule="exact"/>
        <w:ind w:firstLine="640" w:firstLineChars="200"/>
        <w:rPr>
          <w:rFonts w:hint="eastAsia" w:ascii="仿宋_GB2312" w:eastAsia="仿宋_GB2312"/>
          <w:sz w:val="32"/>
          <w:szCs w:val="32"/>
          <w:u w:val="none"/>
          <w:lang w:eastAsia="zh-CN"/>
        </w:rPr>
      </w:pPr>
      <w:r>
        <w:rPr>
          <w:rFonts w:hint="eastAsia" w:ascii="仿宋_GB2312" w:eastAsia="仿宋_GB2312"/>
          <w:sz w:val="32"/>
          <w:szCs w:val="32"/>
          <w:u w:val="none"/>
          <w:lang w:val="en-US" w:eastAsia="zh-CN"/>
        </w:rPr>
        <w:t>7、</w:t>
      </w:r>
      <w:r>
        <w:rPr>
          <w:rFonts w:hint="eastAsia" w:ascii="仿宋_GB2312" w:eastAsia="仿宋_GB2312"/>
          <w:sz w:val="32"/>
          <w:szCs w:val="32"/>
          <w:u w:val="none"/>
        </w:rPr>
        <w:t>《天津市物业管理行政监管信息系统》日常管理维护</w:t>
      </w:r>
      <w:r>
        <w:rPr>
          <w:rFonts w:hint="eastAsia" w:ascii="仿宋_GB2312" w:eastAsia="仿宋_GB2312"/>
          <w:sz w:val="32"/>
          <w:szCs w:val="32"/>
          <w:u w:val="none"/>
          <w:lang w:eastAsia="zh-CN"/>
        </w:rPr>
        <w:t>；</w:t>
      </w:r>
    </w:p>
    <w:p>
      <w:pPr>
        <w:spacing w:line="600" w:lineRule="exact"/>
        <w:ind w:firstLine="640" w:firstLineChars="200"/>
        <w:rPr>
          <w:rFonts w:hint="eastAsia" w:ascii="仿宋" w:hAnsi="仿宋" w:eastAsia="仿宋"/>
          <w:sz w:val="32"/>
          <w:szCs w:val="32"/>
          <w:u w:val="none"/>
        </w:rPr>
      </w:pPr>
      <w:r>
        <w:rPr>
          <w:rFonts w:hint="eastAsia" w:ascii="仿宋_GB2312" w:eastAsia="仿宋_GB2312"/>
          <w:sz w:val="32"/>
          <w:szCs w:val="32"/>
          <w:u w:val="none"/>
          <w:lang w:val="en-US" w:eastAsia="zh-CN"/>
        </w:rPr>
        <w:t>8、</w:t>
      </w:r>
      <w:r>
        <w:rPr>
          <w:rFonts w:hint="eastAsia" w:ascii="仿宋" w:hAnsi="仿宋" w:eastAsia="仿宋"/>
          <w:sz w:val="32"/>
          <w:szCs w:val="32"/>
          <w:u w:val="none"/>
        </w:rPr>
        <w:t>负责房屋共用部位、共用设施设备维修资金使用的管理工作；</w:t>
      </w:r>
    </w:p>
    <w:p>
      <w:pPr>
        <w:spacing w:line="600" w:lineRule="exact"/>
        <w:ind w:firstLine="640" w:firstLineChars="200"/>
        <w:rPr>
          <w:rFonts w:hint="eastAsia" w:ascii="仿宋_GB2312" w:eastAsia="仿宋_GB2312"/>
          <w:sz w:val="32"/>
          <w:szCs w:val="32"/>
          <w:u w:val="none"/>
        </w:rPr>
      </w:pPr>
      <w:r>
        <w:rPr>
          <w:rFonts w:hint="eastAsia" w:ascii="仿宋" w:hAnsi="仿宋" w:eastAsia="仿宋"/>
          <w:sz w:val="32"/>
          <w:szCs w:val="32"/>
          <w:u w:val="none"/>
          <w:lang w:val="en-US" w:eastAsia="zh-CN"/>
        </w:rPr>
        <w:t>9、</w:t>
      </w:r>
      <w:r>
        <w:rPr>
          <w:rFonts w:hint="eastAsia" w:ascii="仿宋_GB2312" w:eastAsia="仿宋_GB2312"/>
          <w:sz w:val="32"/>
          <w:szCs w:val="32"/>
          <w:u w:val="none"/>
        </w:rPr>
        <w:t>负责有关两会建议提案办理工作；</w:t>
      </w:r>
    </w:p>
    <w:p>
      <w:pPr>
        <w:spacing w:line="600" w:lineRule="exact"/>
        <w:ind w:firstLine="640" w:firstLineChars="200"/>
        <w:rPr>
          <w:rFonts w:hint="eastAsia" w:ascii="仿宋_GB2312" w:eastAsia="仿宋_GB2312"/>
          <w:sz w:val="32"/>
          <w:szCs w:val="32"/>
          <w:u w:val="none"/>
          <w:lang w:eastAsia="zh-CN"/>
        </w:rPr>
      </w:pPr>
      <w:r>
        <w:rPr>
          <w:rFonts w:hint="eastAsia" w:ascii="仿宋_GB2312" w:eastAsia="仿宋_GB2312"/>
          <w:sz w:val="32"/>
          <w:szCs w:val="32"/>
          <w:u w:val="none"/>
          <w:lang w:val="en-US" w:eastAsia="zh-CN"/>
        </w:rPr>
        <w:t>10、</w:t>
      </w:r>
      <w:r>
        <w:rPr>
          <w:rFonts w:hint="eastAsia" w:ascii="仿宋_GB2312" w:eastAsia="仿宋_GB2312"/>
          <w:sz w:val="32"/>
          <w:szCs w:val="32"/>
          <w:u w:val="none"/>
        </w:rPr>
        <w:t>部门工作制度的起草制定及档案归集整理工作</w:t>
      </w:r>
      <w:r>
        <w:rPr>
          <w:rFonts w:hint="eastAsia" w:ascii="仿宋_GB2312" w:eastAsia="仿宋_GB2312"/>
          <w:sz w:val="32"/>
          <w:szCs w:val="32"/>
          <w:u w:val="none"/>
          <w:lang w:eastAsia="zh-CN"/>
        </w:rPr>
        <w:t>；</w:t>
      </w:r>
    </w:p>
    <w:p>
      <w:pPr>
        <w:pStyle w:val="4"/>
        <w:spacing w:before="0" w:after="0" w:line="600" w:lineRule="exact"/>
        <w:ind w:firstLine="600" w:firstLineChars="200"/>
        <w:rPr>
          <w:rFonts w:hint="eastAsia" w:ascii="黑体" w:hAnsi="黑体" w:eastAsia="黑体"/>
          <w:b w:val="0"/>
          <w:bCs w:val="0"/>
          <w:sz w:val="30"/>
          <w:szCs w:val="30"/>
        </w:rPr>
      </w:pPr>
      <w:r>
        <w:rPr>
          <w:rFonts w:hint="eastAsia" w:ascii="黑体" w:hAnsi="黑体" w:eastAsia="黑体"/>
          <w:b w:val="0"/>
          <w:bCs w:val="0"/>
          <w:sz w:val="30"/>
          <w:szCs w:val="30"/>
        </w:rPr>
        <w:t>二、机构设置</w:t>
      </w:r>
      <w:bookmarkEnd w:id="2"/>
    </w:p>
    <w:p>
      <w:pPr>
        <w:spacing w:line="600" w:lineRule="exact"/>
        <w:ind w:firstLine="600" w:firstLineChars="200"/>
        <w:rPr>
          <w:rFonts w:hint="eastAsia" w:eastAsia="仿宋_GB2312"/>
          <w:sz w:val="30"/>
          <w:szCs w:val="30"/>
        </w:rPr>
      </w:pPr>
      <w:r>
        <w:rPr>
          <w:rFonts w:hint="eastAsia" w:eastAsia="仿宋_GB2312"/>
          <w:sz w:val="30"/>
          <w:szCs w:val="30"/>
          <w:lang w:val="en-US" w:eastAsia="zh-CN"/>
        </w:rPr>
        <w:t>天津市津南区物业服务中心</w:t>
      </w:r>
      <w:r>
        <w:rPr>
          <w:rFonts w:hint="eastAsia" w:eastAsia="仿宋_GB2312"/>
          <w:sz w:val="30"/>
          <w:szCs w:val="30"/>
        </w:rPr>
        <w:t>部门</w:t>
      </w:r>
      <w:r>
        <w:rPr>
          <w:rFonts w:eastAsia="仿宋_GB2312"/>
          <w:sz w:val="30"/>
          <w:szCs w:val="30"/>
        </w:rPr>
        <w:t>内设</w:t>
      </w:r>
      <w:r>
        <w:rPr>
          <w:rFonts w:hint="eastAsia" w:eastAsia="仿宋_GB2312"/>
          <w:sz w:val="30"/>
          <w:szCs w:val="30"/>
          <w:lang w:val="en-US" w:eastAsia="zh-CN"/>
        </w:rPr>
        <w:t>1</w:t>
      </w:r>
      <w:r>
        <w:rPr>
          <w:rFonts w:eastAsia="仿宋_GB2312"/>
          <w:sz w:val="30"/>
          <w:szCs w:val="30"/>
        </w:rPr>
        <w:t>个职能处室</w:t>
      </w:r>
      <w:r>
        <w:rPr>
          <w:rFonts w:hint="eastAsia" w:eastAsia="仿宋_GB2312"/>
          <w:sz w:val="30"/>
          <w:szCs w:val="30"/>
        </w:rPr>
        <w:t>；</w:t>
      </w:r>
      <w:r>
        <w:rPr>
          <w:rFonts w:eastAsia="仿宋_GB2312"/>
          <w:sz w:val="30"/>
          <w:szCs w:val="30"/>
        </w:rPr>
        <w:t>下辖</w:t>
      </w:r>
      <w:r>
        <w:rPr>
          <w:rFonts w:eastAsia="仿宋_GB2312"/>
          <w:sz w:val="30"/>
          <w:szCs w:val="30"/>
          <w:u w:val="single"/>
        </w:rPr>
        <w:t xml:space="preserve">   </w:t>
      </w:r>
      <w:r>
        <w:rPr>
          <w:rFonts w:hint="eastAsia" w:eastAsia="仿宋_GB2312"/>
          <w:sz w:val="30"/>
          <w:szCs w:val="30"/>
          <w:u w:val="single"/>
          <w:lang w:val="en-US" w:eastAsia="zh-CN"/>
        </w:rPr>
        <w:t>1</w:t>
      </w:r>
      <w:r>
        <w:rPr>
          <w:rFonts w:eastAsia="仿宋_GB2312"/>
          <w:sz w:val="30"/>
          <w:szCs w:val="30"/>
        </w:rPr>
        <w:t>个预算单位。纳入</w:t>
      </w:r>
      <w:r>
        <w:rPr>
          <w:rFonts w:hint="eastAsia" w:eastAsia="仿宋_GB2312"/>
          <w:sz w:val="30"/>
          <w:szCs w:val="30"/>
          <w:lang w:val="en-US" w:eastAsia="zh-CN"/>
        </w:rPr>
        <w:t>天津市津南区物业服务中心</w:t>
      </w:r>
      <w:r>
        <w:rPr>
          <w:rFonts w:hint="eastAsia" w:eastAsia="仿宋_GB2312"/>
          <w:sz w:val="30"/>
          <w:szCs w:val="30"/>
        </w:rPr>
        <w:t>2021</w:t>
      </w:r>
      <w:r>
        <w:rPr>
          <w:rFonts w:eastAsia="仿宋_GB2312"/>
          <w:sz w:val="30"/>
          <w:szCs w:val="30"/>
        </w:rPr>
        <w:t>年</w:t>
      </w:r>
      <w:r>
        <w:rPr>
          <w:rFonts w:hint="eastAsia" w:eastAsia="仿宋_GB2312"/>
          <w:sz w:val="30"/>
          <w:szCs w:val="30"/>
        </w:rPr>
        <w:t>度</w:t>
      </w:r>
      <w:r>
        <w:rPr>
          <w:rFonts w:eastAsia="仿宋_GB2312"/>
          <w:sz w:val="30"/>
          <w:szCs w:val="30"/>
        </w:rPr>
        <w:t>部门决算编</w:t>
      </w:r>
      <w:r>
        <w:rPr>
          <w:rFonts w:hint="eastAsia" w:eastAsia="仿宋_GB2312"/>
          <w:sz w:val="30"/>
          <w:szCs w:val="30"/>
        </w:rPr>
        <w:t>制</w:t>
      </w:r>
      <w:r>
        <w:rPr>
          <w:rFonts w:eastAsia="仿宋_GB2312"/>
          <w:sz w:val="30"/>
          <w:szCs w:val="30"/>
        </w:rPr>
        <w:t>范围</w:t>
      </w:r>
      <w:r>
        <w:rPr>
          <w:rFonts w:hint="eastAsia" w:eastAsia="仿宋_GB2312"/>
          <w:sz w:val="30"/>
          <w:szCs w:val="30"/>
        </w:rPr>
        <w:t>的单位</w:t>
      </w:r>
      <w:r>
        <w:rPr>
          <w:rFonts w:eastAsia="仿宋_GB2312"/>
          <w:sz w:val="30"/>
          <w:szCs w:val="30"/>
        </w:rPr>
        <w:t>包括</w:t>
      </w:r>
      <w:r>
        <w:rPr>
          <w:rFonts w:hint="eastAsia" w:eastAsia="仿宋_GB2312"/>
          <w:sz w:val="30"/>
          <w:szCs w:val="30"/>
        </w:rPr>
        <w:t>：</w:t>
      </w:r>
    </w:p>
    <w:p>
      <w:pPr>
        <w:numPr>
          <w:ilvl w:val="0"/>
          <w:numId w:val="1"/>
        </w:numPr>
        <w:spacing w:line="600" w:lineRule="exact"/>
        <w:ind w:firstLine="600" w:firstLineChars="200"/>
        <w:rPr>
          <w:rFonts w:hint="eastAsia" w:eastAsia="仿宋_GB2312"/>
          <w:sz w:val="30"/>
          <w:szCs w:val="30"/>
        </w:rPr>
      </w:pPr>
      <w:r>
        <w:rPr>
          <w:rFonts w:hint="eastAsia" w:eastAsia="仿宋_GB2312"/>
          <w:sz w:val="30"/>
          <w:szCs w:val="30"/>
          <w:lang w:val="en-US" w:eastAsia="zh-CN"/>
        </w:rPr>
        <w:t>天津市津南区物业服务中心</w:t>
      </w:r>
    </w:p>
    <w:p>
      <w:pPr>
        <w:pStyle w:val="3"/>
        <w:spacing w:before="0" w:after="0" w:line="600" w:lineRule="exact"/>
        <w:jc w:val="center"/>
        <w:rPr>
          <w:rFonts w:hint="eastAsia" w:ascii="方正小标宋简体" w:hAnsi="方正小标宋简体" w:eastAsia="方正小标宋简体" w:cs="方正小标宋简体"/>
          <w:b w:val="0"/>
          <w:sz w:val="44"/>
          <w:szCs w:val="44"/>
        </w:rPr>
      </w:pPr>
      <w:bookmarkStart w:id="3" w:name="_Toc30850"/>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二</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表</w:t>
      </w:r>
      <w:bookmarkEnd w:id="3"/>
    </w:p>
    <w:p>
      <w:pPr>
        <w:spacing w:line="600" w:lineRule="exact"/>
        <w:rPr>
          <w:rFonts w:hint="eastAsia"/>
        </w:rPr>
      </w:pPr>
    </w:p>
    <w:p>
      <w:pPr>
        <w:pStyle w:val="4"/>
        <w:spacing w:before="0" w:after="0" w:line="800" w:lineRule="exact"/>
        <w:ind w:firstLine="600" w:firstLineChars="200"/>
        <w:rPr>
          <w:rFonts w:hint="eastAsia" w:ascii="黑体" w:hAnsi="黑体" w:eastAsia="黑体"/>
          <w:b w:val="0"/>
          <w:sz w:val="30"/>
          <w:szCs w:val="30"/>
        </w:rPr>
      </w:pPr>
      <w:bookmarkStart w:id="4" w:name="_Toc25952"/>
      <w:r>
        <w:rPr>
          <w:rFonts w:ascii="黑体" w:hAnsi="黑体" w:eastAsia="黑体"/>
          <w:b w:val="0"/>
          <w:sz w:val="30"/>
          <w:szCs w:val="30"/>
        </w:rPr>
        <w:t>一</w:t>
      </w:r>
      <w:r>
        <w:rPr>
          <w:rFonts w:hint="eastAsia" w:ascii="黑体" w:hAnsi="黑体" w:eastAsia="黑体"/>
          <w:b w:val="0"/>
          <w:sz w:val="30"/>
          <w:szCs w:val="30"/>
        </w:rPr>
        <w:t>、</w:t>
      </w:r>
      <w:r>
        <w:rPr>
          <w:rFonts w:ascii="黑体" w:hAnsi="黑体" w:eastAsia="黑体"/>
          <w:b w:val="0"/>
          <w:sz w:val="30"/>
          <w:szCs w:val="30"/>
        </w:rPr>
        <w:t>《</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4"/>
    </w:p>
    <w:p>
      <w:pPr>
        <w:pStyle w:val="4"/>
        <w:spacing w:before="0" w:after="0" w:line="800" w:lineRule="exact"/>
        <w:ind w:firstLine="600" w:firstLineChars="200"/>
        <w:rPr>
          <w:rFonts w:hint="eastAsia" w:ascii="黑体" w:hAnsi="黑体" w:eastAsia="黑体"/>
          <w:b w:val="0"/>
          <w:sz w:val="30"/>
          <w:szCs w:val="30"/>
        </w:rPr>
      </w:pPr>
      <w:bookmarkStart w:id="5" w:name="_Toc14631"/>
      <w:r>
        <w:rPr>
          <w:rFonts w:ascii="黑体" w:hAnsi="黑体" w:eastAsia="黑体"/>
          <w:b w:val="0"/>
          <w:sz w:val="30"/>
          <w:szCs w:val="30"/>
        </w:rPr>
        <w:t>二、《收入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（按功能分类列示）</w:t>
      </w:r>
      <w:r>
        <w:rPr>
          <w:rFonts w:ascii="黑体" w:hAnsi="黑体" w:eastAsia="黑体"/>
          <w:b w:val="0"/>
          <w:sz w:val="30"/>
          <w:szCs w:val="30"/>
        </w:rPr>
        <w:t>》</w:t>
      </w:r>
      <w:bookmarkEnd w:id="5"/>
    </w:p>
    <w:p>
      <w:pPr>
        <w:pStyle w:val="4"/>
        <w:spacing w:before="0" w:after="0" w:line="800" w:lineRule="exact"/>
        <w:ind w:firstLine="600" w:firstLineChars="200"/>
        <w:rPr>
          <w:rFonts w:hint="eastAsia" w:ascii="黑体" w:hAnsi="黑体" w:eastAsia="黑体"/>
          <w:b w:val="0"/>
          <w:sz w:val="30"/>
          <w:szCs w:val="30"/>
        </w:rPr>
      </w:pPr>
      <w:bookmarkStart w:id="6" w:name="_Toc15648"/>
      <w:r>
        <w:rPr>
          <w:rFonts w:hint="eastAsia" w:ascii="黑体" w:hAnsi="黑体" w:eastAsia="黑体"/>
          <w:b w:val="0"/>
          <w:sz w:val="30"/>
          <w:szCs w:val="30"/>
        </w:rPr>
        <w:t>三</w:t>
      </w:r>
      <w:r>
        <w:rPr>
          <w:rFonts w:ascii="黑体" w:hAnsi="黑体" w:eastAsia="黑体"/>
          <w:b w:val="0"/>
          <w:sz w:val="30"/>
          <w:szCs w:val="30"/>
        </w:rPr>
        <w:t>、《收入</w:t>
      </w:r>
      <w:r>
        <w:rPr>
          <w:rFonts w:hint="eastAsia" w:ascii="黑体" w:hAnsi="黑体" w:eastAsia="黑体"/>
          <w:b w:val="0"/>
          <w:sz w:val="30"/>
          <w:szCs w:val="30"/>
        </w:rPr>
        <w:t>决算</w:t>
      </w:r>
      <w:r>
        <w:rPr>
          <w:rFonts w:ascii="黑体" w:hAnsi="黑体" w:eastAsia="黑体"/>
          <w:b w:val="0"/>
          <w:sz w:val="30"/>
          <w:szCs w:val="30"/>
        </w:rPr>
        <w:t>表</w:t>
      </w:r>
      <w:r>
        <w:rPr>
          <w:rFonts w:hint="eastAsia" w:ascii="黑体" w:hAnsi="黑体" w:eastAsia="黑体"/>
          <w:b w:val="0"/>
          <w:sz w:val="30"/>
          <w:szCs w:val="30"/>
        </w:rPr>
        <w:t>（按单位列示）</w:t>
      </w:r>
      <w:r>
        <w:rPr>
          <w:rFonts w:ascii="黑体" w:hAnsi="黑体" w:eastAsia="黑体"/>
          <w:b w:val="0"/>
          <w:sz w:val="30"/>
          <w:szCs w:val="30"/>
        </w:rPr>
        <w:t>》</w:t>
      </w:r>
      <w:bookmarkEnd w:id="6"/>
    </w:p>
    <w:p>
      <w:pPr>
        <w:pStyle w:val="4"/>
        <w:spacing w:before="0" w:after="0" w:line="800" w:lineRule="exact"/>
        <w:ind w:firstLine="600" w:firstLineChars="200"/>
        <w:rPr>
          <w:rFonts w:hint="eastAsia" w:ascii="黑体" w:hAnsi="黑体" w:eastAsia="黑体"/>
          <w:b w:val="0"/>
          <w:sz w:val="30"/>
          <w:szCs w:val="30"/>
        </w:rPr>
      </w:pPr>
      <w:bookmarkStart w:id="7" w:name="_Toc2044"/>
      <w:r>
        <w:rPr>
          <w:rFonts w:hint="eastAsia" w:ascii="黑体" w:hAnsi="黑体" w:eastAsia="黑体"/>
          <w:b w:val="0"/>
          <w:sz w:val="30"/>
          <w:szCs w:val="30"/>
        </w:rPr>
        <w:t>四、</w:t>
      </w:r>
      <w:r>
        <w:rPr>
          <w:rFonts w:ascii="黑体" w:hAnsi="黑体" w:eastAsia="黑体"/>
          <w:b w:val="0"/>
          <w:sz w:val="30"/>
          <w:szCs w:val="30"/>
        </w:rPr>
        <w:t>《支出</w:t>
      </w:r>
      <w:r>
        <w:rPr>
          <w:rFonts w:hint="eastAsia" w:ascii="黑体" w:hAnsi="黑体" w:eastAsia="黑体"/>
          <w:b w:val="0"/>
          <w:sz w:val="30"/>
          <w:szCs w:val="30"/>
        </w:rPr>
        <w:t>决算</w:t>
      </w:r>
      <w:r>
        <w:rPr>
          <w:rFonts w:ascii="黑体" w:hAnsi="黑体" w:eastAsia="黑体"/>
          <w:b w:val="0"/>
          <w:sz w:val="30"/>
          <w:szCs w:val="30"/>
        </w:rPr>
        <w:t>表》</w:t>
      </w:r>
      <w:bookmarkEnd w:id="7"/>
    </w:p>
    <w:p>
      <w:pPr>
        <w:pStyle w:val="4"/>
        <w:spacing w:before="0" w:after="0" w:line="800" w:lineRule="exact"/>
        <w:ind w:firstLine="600" w:firstLineChars="200"/>
        <w:rPr>
          <w:rFonts w:hint="eastAsia" w:ascii="黑体" w:hAnsi="黑体" w:eastAsia="黑体"/>
          <w:b w:val="0"/>
          <w:sz w:val="30"/>
          <w:szCs w:val="30"/>
        </w:rPr>
      </w:pPr>
      <w:bookmarkStart w:id="8" w:name="_Toc2585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《财政拨款</w:t>
      </w:r>
      <w:r>
        <w:rPr>
          <w:rFonts w:hint="eastAsia" w:ascii="黑体" w:hAnsi="黑体" w:eastAsia="黑体"/>
          <w:b w:val="0"/>
          <w:sz w:val="30"/>
          <w:szCs w:val="30"/>
        </w:rPr>
        <w:t>收入</w:t>
      </w:r>
      <w:r>
        <w:rPr>
          <w:rFonts w:ascii="黑体" w:hAnsi="黑体" w:eastAsia="黑体"/>
          <w:b w:val="0"/>
          <w:sz w:val="30"/>
          <w:szCs w:val="30"/>
        </w:rPr>
        <w:t>支出</w:t>
      </w:r>
      <w:r>
        <w:rPr>
          <w:rFonts w:hint="eastAsia" w:ascii="黑体" w:hAnsi="黑体" w:eastAsia="黑体"/>
          <w:b w:val="0"/>
          <w:sz w:val="30"/>
          <w:szCs w:val="30"/>
        </w:rPr>
        <w:t>决算总</w:t>
      </w:r>
      <w:r>
        <w:rPr>
          <w:rFonts w:ascii="黑体" w:hAnsi="黑体" w:eastAsia="黑体"/>
          <w:b w:val="0"/>
          <w:sz w:val="30"/>
          <w:szCs w:val="30"/>
        </w:rPr>
        <w:t>表》</w:t>
      </w:r>
      <w:bookmarkEnd w:id="8"/>
    </w:p>
    <w:p>
      <w:pPr>
        <w:pStyle w:val="4"/>
        <w:spacing w:before="0" w:after="0" w:line="800" w:lineRule="exact"/>
        <w:ind w:firstLine="600" w:firstLineChars="200"/>
        <w:rPr>
          <w:rFonts w:hint="eastAsia" w:ascii="黑体" w:hAnsi="黑体" w:eastAsia="黑体"/>
          <w:b w:val="0"/>
          <w:sz w:val="30"/>
          <w:szCs w:val="30"/>
        </w:rPr>
      </w:pPr>
      <w:bookmarkStart w:id="9" w:name="_Toc3929"/>
      <w:r>
        <w:rPr>
          <w:rFonts w:ascii="黑体" w:hAnsi="黑体" w:eastAsia="黑体"/>
          <w:b w:val="0"/>
          <w:sz w:val="30"/>
          <w:szCs w:val="30"/>
        </w:rPr>
        <w:t>六</w:t>
      </w:r>
      <w:r>
        <w:rPr>
          <w:rFonts w:hint="eastAsia" w:ascii="黑体" w:hAnsi="黑体" w:eastAsia="黑体"/>
          <w:b w:val="0"/>
          <w:sz w:val="30"/>
          <w:szCs w:val="30"/>
        </w:rPr>
        <w:t>、</w:t>
      </w:r>
      <w:r>
        <w:rPr>
          <w:rFonts w:ascii="黑体" w:hAnsi="黑体" w:eastAsia="黑体"/>
          <w:b w:val="0"/>
          <w:sz w:val="30"/>
          <w:szCs w:val="30"/>
        </w:rPr>
        <w:t>《一般公共预算财政拨款支出</w:t>
      </w:r>
      <w:r>
        <w:rPr>
          <w:rFonts w:hint="eastAsia" w:ascii="黑体" w:hAnsi="黑体" w:eastAsia="黑体"/>
          <w:b w:val="0"/>
          <w:sz w:val="30"/>
          <w:szCs w:val="30"/>
        </w:rPr>
        <w:t>决算</w:t>
      </w:r>
      <w:r>
        <w:rPr>
          <w:rFonts w:ascii="黑体" w:hAnsi="黑体" w:eastAsia="黑体"/>
          <w:b w:val="0"/>
          <w:sz w:val="30"/>
          <w:szCs w:val="30"/>
        </w:rPr>
        <w:t>表》</w:t>
      </w:r>
      <w:bookmarkEnd w:id="9"/>
    </w:p>
    <w:p>
      <w:pPr>
        <w:pStyle w:val="4"/>
        <w:spacing w:before="0" w:after="0" w:line="800" w:lineRule="exact"/>
        <w:ind w:firstLine="600" w:firstLineChars="200"/>
        <w:rPr>
          <w:rFonts w:ascii="黑体" w:hAnsi="黑体" w:eastAsia="黑体"/>
          <w:b w:val="0"/>
          <w:sz w:val="30"/>
          <w:szCs w:val="30"/>
        </w:rPr>
      </w:pPr>
      <w:bookmarkStart w:id="10" w:name="_Toc7568"/>
      <w:r>
        <w:rPr>
          <w:rFonts w:ascii="黑体" w:hAnsi="黑体" w:eastAsia="黑体"/>
          <w:b w:val="0"/>
          <w:sz w:val="30"/>
          <w:szCs w:val="30"/>
        </w:rPr>
        <w:t>七</w:t>
      </w:r>
      <w:r>
        <w:rPr>
          <w:rFonts w:hint="eastAsia" w:ascii="黑体" w:hAnsi="黑体" w:eastAsia="黑体"/>
          <w:b w:val="0"/>
          <w:sz w:val="30"/>
          <w:szCs w:val="30"/>
        </w:rPr>
        <w:t>、</w:t>
      </w:r>
      <w:r>
        <w:rPr>
          <w:rFonts w:ascii="黑体" w:hAnsi="黑体" w:eastAsia="黑体"/>
          <w:b w:val="0"/>
          <w:sz w:val="30"/>
          <w:szCs w:val="30"/>
        </w:rPr>
        <w:t>《一般公共预算财政拨款基本支出</w:t>
      </w:r>
      <w:r>
        <w:rPr>
          <w:rFonts w:hint="eastAsia" w:ascii="黑体" w:hAnsi="黑体" w:eastAsia="黑体"/>
          <w:b w:val="0"/>
          <w:sz w:val="30"/>
          <w:szCs w:val="30"/>
        </w:rPr>
        <w:t>决算</w:t>
      </w:r>
      <w:r>
        <w:rPr>
          <w:rFonts w:ascii="黑体" w:hAnsi="黑体" w:eastAsia="黑体"/>
          <w:b w:val="0"/>
          <w:sz w:val="30"/>
          <w:szCs w:val="30"/>
        </w:rPr>
        <w:t>表》</w:t>
      </w:r>
      <w:bookmarkEnd w:id="10"/>
    </w:p>
    <w:p>
      <w:pPr>
        <w:pStyle w:val="4"/>
        <w:spacing w:before="0" w:after="0" w:line="800" w:lineRule="exact"/>
        <w:ind w:firstLine="600" w:firstLineChars="200"/>
        <w:rPr>
          <w:rFonts w:hint="eastAsia" w:ascii="黑体" w:hAnsi="黑体" w:eastAsia="黑体"/>
          <w:b w:val="0"/>
          <w:sz w:val="30"/>
          <w:szCs w:val="30"/>
          <w:highlight w:val="none"/>
        </w:rPr>
      </w:pPr>
      <w:bookmarkStart w:id="11" w:name="_Toc7181"/>
      <w:r>
        <w:rPr>
          <w:rFonts w:hint="eastAsia" w:ascii="黑体" w:hAnsi="黑体" w:eastAsia="黑体"/>
          <w:b w:val="0"/>
          <w:sz w:val="30"/>
          <w:szCs w:val="30"/>
          <w:highlight w:val="none"/>
          <w:lang w:eastAsia="zh-CN"/>
        </w:rPr>
        <w:t>八</w:t>
      </w:r>
      <w:r>
        <w:rPr>
          <w:rFonts w:hint="eastAsia" w:ascii="黑体" w:hAnsi="黑体" w:eastAsia="黑体"/>
          <w:b w:val="0"/>
          <w:sz w:val="30"/>
          <w:szCs w:val="30"/>
          <w:highlight w:val="none"/>
        </w:rPr>
        <w:t>、</w:t>
      </w:r>
      <w:r>
        <w:rPr>
          <w:rFonts w:ascii="黑体" w:hAnsi="黑体" w:eastAsia="黑体"/>
          <w:b w:val="0"/>
          <w:sz w:val="30"/>
          <w:szCs w:val="30"/>
          <w:highlight w:val="none"/>
        </w:rPr>
        <w:t>《一般公共预算财政拨款“三公”经费支出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1"/>
    </w:p>
    <w:p>
      <w:pPr>
        <w:pStyle w:val="4"/>
        <w:spacing w:before="0" w:after="0" w:line="800" w:lineRule="exact"/>
        <w:ind w:firstLine="600" w:firstLineChars="200"/>
        <w:rPr>
          <w:rFonts w:hint="eastAsia" w:ascii="黑体" w:hAnsi="黑体" w:eastAsia="黑体"/>
          <w:b w:val="0"/>
          <w:sz w:val="30"/>
          <w:szCs w:val="30"/>
          <w:highlight w:val="none"/>
        </w:rPr>
      </w:pPr>
      <w:bookmarkStart w:id="12" w:name="_Toc25187"/>
      <w:r>
        <w:rPr>
          <w:rFonts w:hint="eastAsia" w:ascii="黑体" w:hAnsi="黑体" w:eastAsia="黑体"/>
          <w:b w:val="0"/>
          <w:sz w:val="30"/>
          <w:szCs w:val="30"/>
          <w:highlight w:val="none"/>
          <w:lang w:eastAsia="zh-CN"/>
        </w:rPr>
        <w:t>九</w:t>
      </w:r>
      <w:r>
        <w:rPr>
          <w:rFonts w:hint="eastAsia" w:ascii="黑体" w:hAnsi="黑体" w:eastAsia="黑体"/>
          <w:b w:val="0"/>
          <w:sz w:val="30"/>
          <w:szCs w:val="30"/>
          <w:highlight w:val="none"/>
        </w:rPr>
        <w:t>、</w:t>
      </w:r>
      <w:r>
        <w:rPr>
          <w:rFonts w:ascii="黑体" w:hAnsi="黑体" w:eastAsia="黑体"/>
          <w:b w:val="0"/>
          <w:sz w:val="30"/>
          <w:szCs w:val="30"/>
          <w:highlight w:val="none"/>
        </w:rPr>
        <w:t>《政府性基金预算财政拨款</w:t>
      </w:r>
      <w:r>
        <w:rPr>
          <w:rFonts w:hint="eastAsia" w:ascii="黑体" w:hAnsi="黑体" w:eastAsia="黑体"/>
          <w:b w:val="0"/>
          <w:sz w:val="30"/>
          <w:szCs w:val="30"/>
          <w:highlight w:val="none"/>
        </w:rPr>
        <w:t>收入</w:t>
      </w:r>
      <w:r>
        <w:rPr>
          <w:rFonts w:ascii="黑体" w:hAnsi="黑体" w:eastAsia="黑体"/>
          <w:b w:val="0"/>
          <w:sz w:val="30"/>
          <w:szCs w:val="30"/>
          <w:highlight w:val="none"/>
        </w:rPr>
        <w:t>支出</w:t>
      </w:r>
      <w:r>
        <w:rPr>
          <w:rFonts w:hint="eastAsia" w:ascii="黑体" w:hAnsi="黑体" w:eastAsia="黑体"/>
          <w:b w:val="0"/>
          <w:sz w:val="30"/>
          <w:szCs w:val="30"/>
          <w:highlight w:val="none"/>
        </w:rPr>
        <w:t>决算</w:t>
      </w:r>
      <w:r>
        <w:rPr>
          <w:rFonts w:ascii="黑体" w:hAnsi="黑体" w:eastAsia="黑体"/>
          <w:b w:val="0"/>
          <w:sz w:val="30"/>
          <w:szCs w:val="30"/>
          <w:highlight w:val="none"/>
        </w:rPr>
        <w:t>表》</w:t>
      </w:r>
      <w:bookmarkEnd w:id="12"/>
    </w:p>
    <w:p>
      <w:pPr>
        <w:pStyle w:val="4"/>
        <w:spacing w:before="0" w:after="0" w:line="800" w:lineRule="exact"/>
        <w:ind w:firstLine="600" w:firstLineChars="200"/>
        <w:rPr>
          <w:rFonts w:hint="eastAsia" w:ascii="黑体" w:hAnsi="黑体" w:eastAsia="黑体"/>
          <w:b w:val="0"/>
          <w:sz w:val="30"/>
          <w:szCs w:val="30"/>
          <w:highlight w:val="none"/>
        </w:rPr>
      </w:pPr>
      <w:bookmarkStart w:id="13" w:name="_Toc21022"/>
      <w:r>
        <w:rPr>
          <w:rFonts w:ascii="黑体" w:hAnsi="黑体" w:eastAsia="黑体"/>
          <w:b w:val="0"/>
          <w:sz w:val="30"/>
          <w:szCs w:val="30"/>
          <w:highlight w:val="none"/>
        </w:rPr>
        <w:t>十</w:t>
      </w:r>
      <w:r>
        <w:rPr>
          <w:rFonts w:hint="eastAsia" w:ascii="黑体" w:hAnsi="黑体" w:eastAsia="黑体"/>
          <w:b w:val="0"/>
          <w:sz w:val="30"/>
          <w:szCs w:val="30"/>
          <w:highlight w:val="none"/>
        </w:rPr>
        <w:t>、</w:t>
      </w:r>
      <w:r>
        <w:rPr>
          <w:rFonts w:ascii="黑体" w:hAnsi="黑体" w:eastAsia="黑体"/>
          <w:b w:val="0"/>
          <w:sz w:val="30"/>
          <w:szCs w:val="30"/>
          <w:highlight w:val="none"/>
        </w:rPr>
        <w:t>《国有资本经营预算财政拨款</w:t>
      </w:r>
      <w:r>
        <w:rPr>
          <w:rFonts w:hint="eastAsia" w:ascii="黑体" w:hAnsi="黑体" w:eastAsia="黑体"/>
          <w:b w:val="0"/>
          <w:sz w:val="30"/>
          <w:szCs w:val="30"/>
          <w:highlight w:val="none"/>
        </w:rPr>
        <w:t>收入支出决算</w:t>
      </w:r>
      <w:r>
        <w:rPr>
          <w:rFonts w:ascii="黑体" w:hAnsi="黑体" w:eastAsia="黑体"/>
          <w:b w:val="0"/>
          <w:sz w:val="30"/>
          <w:szCs w:val="30"/>
          <w:highlight w:val="none"/>
        </w:rPr>
        <w:t>表》</w:t>
      </w:r>
      <w:bookmarkEnd w:id="13"/>
    </w:p>
    <w:p>
      <w:pPr>
        <w:pStyle w:val="4"/>
        <w:spacing w:before="0" w:after="0" w:line="800" w:lineRule="exact"/>
        <w:ind w:firstLine="600" w:firstLineChars="200"/>
        <w:rPr>
          <w:rFonts w:hint="eastAsia" w:ascii="黑体" w:hAnsi="黑体" w:eastAsia="黑体"/>
          <w:b w:val="0"/>
          <w:sz w:val="30"/>
          <w:szCs w:val="30"/>
        </w:rPr>
      </w:pPr>
      <w:bookmarkStart w:id="14" w:name="_Toc11621"/>
      <w:r>
        <w:rPr>
          <w:rFonts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《项目支出决算表》</w:t>
      </w:r>
      <w:bookmarkEnd w:id="14"/>
    </w:p>
    <w:p>
      <w:pPr>
        <w:spacing w:line="800" w:lineRule="exact"/>
        <w:rPr>
          <w:rFonts w:hint="eastAsia" w:eastAsia="楷体"/>
          <w:sz w:val="30"/>
          <w:szCs w:val="30"/>
        </w:rPr>
      </w:pPr>
      <w:r>
        <w:rPr>
          <w:rFonts w:hint="eastAsia" w:eastAsia="楷体"/>
          <w:sz w:val="30"/>
          <w:szCs w:val="30"/>
        </w:rPr>
        <w:t>注：以上决算公开表均作为附表，附于决算公开说明文档后。</w:t>
      </w:r>
    </w:p>
    <w:p>
      <w:pPr>
        <w:pStyle w:val="4"/>
        <w:spacing w:before="0" w:after="0" w:line="800" w:lineRule="exact"/>
        <w:ind w:firstLine="600" w:firstLineChars="200"/>
        <w:rPr>
          <w:rFonts w:hint="eastAsia" w:ascii="黑体" w:hAnsi="黑体" w:eastAsia="黑体"/>
          <w:b w:val="0"/>
          <w:sz w:val="30"/>
          <w:szCs w:val="30"/>
        </w:rPr>
      </w:pPr>
      <w:bookmarkStart w:id="15" w:name="_Toc1045"/>
      <w:r>
        <w:rPr>
          <w:rFonts w:hint="eastAsia" w:ascii="黑体" w:hAnsi="黑体" w:eastAsia="黑体"/>
          <w:b w:val="0"/>
          <w:sz w:val="30"/>
          <w:szCs w:val="30"/>
        </w:rPr>
        <w:t>十</w:t>
      </w:r>
      <w:r>
        <w:rPr>
          <w:rFonts w:hint="eastAsia" w:ascii="黑体" w:hAnsi="黑体" w:eastAsia="黑体"/>
          <w:b w:val="0"/>
          <w:sz w:val="30"/>
          <w:szCs w:val="30"/>
          <w:lang w:val="en-US" w:eastAsia="zh-CN"/>
        </w:rPr>
        <w:t>二</w:t>
      </w:r>
      <w:r>
        <w:rPr>
          <w:rFonts w:hint="eastAsia" w:ascii="黑体" w:hAnsi="黑体" w:eastAsia="黑体"/>
          <w:b w:val="0"/>
          <w:sz w:val="30"/>
          <w:szCs w:val="30"/>
        </w:rPr>
        <w:t>、关于空表的说明</w:t>
      </w:r>
      <w:bookmarkEnd w:id="15"/>
    </w:p>
    <w:p>
      <w:pPr>
        <w:spacing w:line="600" w:lineRule="exact"/>
        <w:rPr>
          <w:rFonts w:hint="default" w:ascii="仿宋_GB2312" w:hAnsi="Times New Roman" w:eastAsia="仿宋_GB2312" w:cs="仿宋_GB2312"/>
          <w:sz w:val="30"/>
          <w:szCs w:val="30"/>
          <w:u w:val="none"/>
          <w:lang w:val="en-US" w:eastAsia="zh-CN"/>
        </w:rPr>
        <w:sectPr>
          <w:footerReference r:id="rId6" w:type="default"/>
          <w:pgSz w:w="11906" w:h="16838"/>
          <w:pgMar w:top="1440" w:right="1800" w:bottom="1440" w:left="1800" w:header="851" w:footer="992" w:gutter="0"/>
          <w:pgNumType w:fmt="decimal" w:start="1"/>
          <w:cols w:space="720" w:num="1"/>
          <w:docGrid w:type="lines" w:linePitch="312" w:charSpace="0"/>
        </w:sectPr>
      </w:pPr>
      <w:bookmarkStart w:id="16" w:name="_Toc20137"/>
      <w:r>
        <w:rPr>
          <w:rFonts w:hint="eastAsia" w:ascii="仿宋_GB2312" w:hAnsi="Times New Roman" w:eastAsia="仿宋_GB2312" w:cs="仿宋_GB2312"/>
          <w:sz w:val="30"/>
          <w:szCs w:val="30"/>
          <w:u w:val="none"/>
          <w:lang w:val="en-US" w:eastAsia="zh-CN"/>
        </w:rPr>
        <w:t xml:space="preserve">    天津市津南区物业服务中心2021年度一般公共预算财政拨款“三公”经费支出决算表为空表。</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天津市津南区物业服务中心2021年度政府性基金预算财政拨款收入支出决算表为空表。</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天津市津南区物业服务中心2021年度国有资本经营预算财政拨款收入支出决算表为空表。</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天津市津南区物业服务中心2021年度项目支出决算表为空表。</w:t>
      </w:r>
    </w:p>
    <w:p>
      <w:pPr>
        <w:pStyle w:val="3"/>
        <w:spacing w:before="0" w:after="0" w:line="600" w:lineRule="exact"/>
        <w:jc w:val="center"/>
        <w:rPr>
          <w:rFonts w:ascii="方正小标宋简体" w:hAnsi="方正小标宋简体" w:eastAsia="方正小标宋简体" w:cs="方正小标宋简体"/>
          <w:b w:val="0"/>
          <w:sz w:val="44"/>
          <w:szCs w:val="44"/>
        </w:rPr>
      </w:pPr>
      <w:r>
        <w:rPr>
          <w:rFonts w:ascii="方正小标宋简体" w:hAnsi="方正小标宋简体" w:eastAsia="方正小标宋简体" w:cs="方正小标宋简体"/>
          <w:b w:val="0"/>
          <w:sz w:val="44"/>
          <w:szCs w:val="44"/>
        </w:rPr>
        <w:t>第</w:t>
      </w:r>
      <w:r>
        <w:rPr>
          <w:rFonts w:hint="eastAsia" w:ascii="方正小标宋简体" w:hAnsi="方正小标宋简体" w:eastAsia="方正小标宋简体" w:cs="方正小标宋简体"/>
          <w:b w:val="0"/>
          <w:sz w:val="44"/>
          <w:szCs w:val="44"/>
        </w:rPr>
        <w:t>三</w:t>
      </w:r>
      <w:r>
        <w:rPr>
          <w:rFonts w:ascii="方正小标宋简体" w:hAnsi="方正小标宋简体" w:eastAsia="方正小标宋简体" w:cs="方正小标宋简体"/>
          <w:b w:val="0"/>
          <w:sz w:val="44"/>
          <w:szCs w:val="44"/>
        </w:rPr>
        <w:t xml:space="preserve">部分  </w:t>
      </w:r>
      <w:r>
        <w:rPr>
          <w:rFonts w:hint="eastAsia" w:ascii="方正小标宋简体" w:hAnsi="方正小标宋简体" w:eastAsia="方正小标宋简体" w:cs="方正小标宋简体"/>
          <w:b w:val="0"/>
          <w:sz w:val="44"/>
          <w:szCs w:val="44"/>
        </w:rPr>
        <w:t>2021</w:t>
      </w:r>
      <w:r>
        <w:rPr>
          <w:rFonts w:ascii="方正小标宋简体" w:hAnsi="方正小标宋简体" w:eastAsia="方正小标宋简体" w:cs="方正小标宋简体"/>
          <w:b w:val="0"/>
          <w:sz w:val="44"/>
          <w:szCs w:val="44"/>
        </w:rPr>
        <w:t>年度部门决算</w:t>
      </w:r>
      <w:r>
        <w:rPr>
          <w:rFonts w:hint="eastAsia" w:ascii="方正小标宋简体" w:hAnsi="方正小标宋简体" w:eastAsia="方正小标宋简体" w:cs="方正小标宋简体"/>
          <w:b w:val="0"/>
          <w:sz w:val="44"/>
          <w:szCs w:val="44"/>
        </w:rPr>
        <w:t>情况</w:t>
      </w:r>
      <w:r>
        <w:rPr>
          <w:rFonts w:ascii="方正小标宋简体" w:hAnsi="方正小标宋简体" w:eastAsia="方正小标宋简体" w:cs="方正小标宋简体"/>
          <w:b w:val="0"/>
          <w:sz w:val="44"/>
          <w:szCs w:val="44"/>
        </w:rPr>
        <w:t>说明</w:t>
      </w:r>
      <w:bookmarkEnd w:id="16"/>
    </w:p>
    <w:p>
      <w:pPr>
        <w:spacing w:line="600" w:lineRule="exact"/>
        <w:ind w:firstLine="600" w:firstLineChars="200"/>
        <w:rPr>
          <w:rFonts w:hint="eastAsia" w:ascii="黑体" w:eastAsia="黑体"/>
          <w:sz w:val="30"/>
          <w:szCs w:val="30"/>
        </w:rPr>
      </w:pPr>
    </w:p>
    <w:p>
      <w:pPr>
        <w:pStyle w:val="4"/>
        <w:spacing w:before="0" w:after="0" w:line="600" w:lineRule="exact"/>
        <w:ind w:firstLine="600" w:firstLineChars="200"/>
        <w:rPr>
          <w:rFonts w:hint="eastAsia" w:ascii="黑体" w:hAnsi="黑体" w:eastAsia="黑体"/>
          <w:b w:val="0"/>
          <w:sz w:val="30"/>
          <w:szCs w:val="30"/>
        </w:rPr>
      </w:pPr>
      <w:bookmarkStart w:id="17" w:name="_Toc10868"/>
      <w:r>
        <w:rPr>
          <w:rFonts w:hint="eastAsia" w:ascii="黑体" w:hAnsi="黑体" w:eastAsia="黑体"/>
          <w:b w:val="0"/>
          <w:sz w:val="30"/>
          <w:szCs w:val="30"/>
        </w:rPr>
        <w:t>一、收入支出决算总体情况</w:t>
      </w:r>
      <w:bookmarkEnd w:id="17"/>
      <w:r>
        <w:rPr>
          <w:rFonts w:hint="eastAsia" w:ascii="黑体" w:hAnsi="黑体" w:eastAsia="黑体"/>
          <w:b w:val="0"/>
          <w:sz w:val="30"/>
          <w:szCs w:val="30"/>
        </w:rPr>
        <w:t>说明</w:t>
      </w:r>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 xml:space="preserve"> 天津市津南区物业服务中心2021年度收入、支出决算总计2984559.75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。与2020年度相比，收、支总计各增加2984559.75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，增加100.00%，</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p>
    <w:p>
      <w:pPr>
        <w:pStyle w:val="4"/>
        <w:spacing w:before="0" w:after="0" w:line="600" w:lineRule="exact"/>
        <w:ind w:firstLine="600" w:firstLineChars="200"/>
        <w:rPr>
          <w:rFonts w:hint="eastAsia" w:ascii="黑体" w:hAnsi="黑体" w:eastAsia="黑体" w:cs="仿宋_GB2312"/>
          <w:b w:val="0"/>
          <w:sz w:val="30"/>
          <w:szCs w:val="30"/>
        </w:rPr>
      </w:pPr>
      <w:bookmarkStart w:id="18" w:name="_Toc11824"/>
      <w:r>
        <w:rPr>
          <w:rFonts w:hint="eastAsia" w:ascii="黑体" w:hAnsi="黑体" w:eastAsia="黑体" w:cs="仿宋_GB2312"/>
          <w:b w:val="0"/>
          <w:sz w:val="30"/>
          <w:szCs w:val="30"/>
        </w:rPr>
        <w:t>二、收入决算情况</w:t>
      </w:r>
      <w:bookmarkEnd w:id="18"/>
      <w:r>
        <w:rPr>
          <w:rFonts w:hint="eastAsia" w:ascii="黑体" w:hAnsi="黑体" w:eastAsia="黑体" w:cs="仿宋_GB2312"/>
          <w:b w:val="0"/>
          <w:sz w:val="30"/>
          <w:szCs w:val="30"/>
        </w:rPr>
        <w:t>说明</w:t>
      </w:r>
    </w:p>
    <w:p>
      <w:pPr>
        <w:spacing w:line="600" w:lineRule="exact"/>
        <w:rPr>
          <w:rFonts w:eastAsia="仿宋_GB2312"/>
          <w:sz w:val="30"/>
          <w:szCs w:val="30"/>
        </w:rPr>
      </w:pPr>
      <w:r>
        <w:rPr>
          <w:rFonts w:hint="eastAsia" w:ascii="仿宋_GB2312" w:hAnsi="Times New Roman" w:eastAsia="仿宋_GB2312" w:cs="仿宋_GB2312"/>
          <w:sz w:val="30"/>
          <w:szCs w:val="30"/>
          <w:u w:val="none"/>
          <w:lang w:val="en-US" w:eastAsia="zh-CN"/>
        </w:rPr>
        <w:t>天津市津南区物业服务中心2021年度本年收入合计2984559.75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，与2020年度相比增加2984559.75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r>
        <w:rPr>
          <w:rFonts w:eastAsia="仿宋_GB2312"/>
          <w:sz w:val="30"/>
          <w:szCs w:val="30"/>
        </w:rPr>
        <w:t>其中：一般公共预算财政拨款收</w:t>
      </w:r>
      <w:r>
        <w:rPr>
          <w:rFonts w:hint="eastAsia" w:ascii="仿宋_GB2312" w:hAnsi="Times New Roman" w:eastAsia="仿宋_GB2312" w:cs="仿宋_GB2312"/>
          <w:sz w:val="30"/>
          <w:szCs w:val="30"/>
          <w:u w:val="none"/>
          <w:lang w:val="en-US" w:eastAsia="zh-CN"/>
        </w:rPr>
        <w:t>入2984559.75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，占100.00%；政府性基金预算财政拨款收入0.00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 0.00%；国有资本经营预算财政拨款收入0.00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，占0.00%；财政专户管理资金收入0.00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，占0.00%；事业单位经营收入0.00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 xml:space="preserve">，占0.00%；上级补助收入0.00 </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，占0.00%；附属单位上缴收入0.00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，占0.00%；其他收入 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w:t>
      </w:r>
    </w:p>
    <w:p>
      <w:pPr>
        <w:pStyle w:val="4"/>
        <w:spacing w:before="0" w:after="0" w:line="600" w:lineRule="exact"/>
        <w:ind w:firstLine="600" w:firstLineChars="200"/>
        <w:rPr>
          <w:rFonts w:hint="eastAsia" w:ascii="黑体" w:hAnsi="黑体" w:eastAsia="黑体" w:cs="仿宋_GB2312"/>
          <w:b w:val="0"/>
          <w:sz w:val="30"/>
          <w:szCs w:val="30"/>
        </w:rPr>
      </w:pPr>
      <w:bookmarkStart w:id="19" w:name="_Toc16536"/>
      <w:r>
        <w:rPr>
          <w:rFonts w:hint="eastAsia" w:ascii="黑体" w:hAnsi="黑体" w:eastAsia="黑体" w:cs="仿宋_GB2312"/>
          <w:b w:val="0"/>
          <w:sz w:val="30"/>
          <w:szCs w:val="30"/>
        </w:rPr>
        <w:t>三、</w:t>
      </w:r>
      <w:r>
        <w:rPr>
          <w:rFonts w:ascii="黑体" w:hAnsi="黑体" w:eastAsia="黑体" w:cs="仿宋_GB2312"/>
          <w:b w:val="0"/>
          <w:sz w:val="30"/>
          <w:szCs w:val="30"/>
        </w:rPr>
        <w:t>支出</w:t>
      </w:r>
      <w:r>
        <w:rPr>
          <w:rFonts w:hint="eastAsia" w:ascii="黑体" w:hAnsi="黑体" w:eastAsia="黑体" w:cs="仿宋_GB2312"/>
          <w:b w:val="0"/>
          <w:sz w:val="30"/>
          <w:szCs w:val="30"/>
        </w:rPr>
        <w:t>决算</w:t>
      </w:r>
      <w:r>
        <w:rPr>
          <w:rFonts w:ascii="黑体" w:hAnsi="黑体" w:eastAsia="黑体" w:cs="仿宋_GB2312"/>
          <w:b w:val="0"/>
          <w:sz w:val="30"/>
          <w:szCs w:val="30"/>
        </w:rPr>
        <w:t>情况</w:t>
      </w:r>
      <w:bookmarkEnd w:id="19"/>
      <w:r>
        <w:rPr>
          <w:rFonts w:hint="eastAsia" w:ascii="黑体" w:hAnsi="黑体" w:eastAsia="黑体" w:cs="仿宋_GB2312"/>
          <w:b w:val="0"/>
          <w:sz w:val="30"/>
          <w:szCs w:val="30"/>
        </w:rPr>
        <w:t>说明</w:t>
      </w:r>
    </w:p>
    <w:p>
      <w:pPr>
        <w:spacing w:line="600" w:lineRule="exact"/>
        <w:rPr>
          <w:rFonts w:eastAsia="仿宋_GB2312"/>
          <w:sz w:val="30"/>
          <w:szCs w:val="30"/>
        </w:rPr>
      </w:pPr>
      <w:r>
        <w:rPr>
          <w:rFonts w:hint="eastAsia" w:ascii="仿宋_GB2312" w:hAnsi="Times New Roman" w:eastAsia="仿宋_GB2312" w:cs="仿宋_GB2312"/>
          <w:sz w:val="30"/>
          <w:szCs w:val="30"/>
          <w:u w:val="none"/>
          <w:lang w:val="en-US" w:eastAsia="zh-CN"/>
        </w:rPr>
        <w:t>天津市津南区物业服务中心2021年度本年支出合计2981448.71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，与2020年度相比增加2981448.71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r>
        <w:rPr>
          <w:rFonts w:eastAsia="仿宋_GB2312"/>
          <w:sz w:val="30"/>
          <w:szCs w:val="30"/>
        </w:rPr>
        <w:t>其中：</w:t>
      </w:r>
      <w:r>
        <w:rPr>
          <w:rFonts w:hint="eastAsia" w:ascii="仿宋_GB2312" w:hAnsi="Times New Roman" w:eastAsia="仿宋_GB2312" w:cs="仿宋_GB2312"/>
          <w:sz w:val="30"/>
          <w:szCs w:val="30"/>
          <w:u w:val="none"/>
          <w:lang w:val="en-US" w:eastAsia="zh-CN"/>
        </w:rPr>
        <w:t>基本支出2981448.71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，占100.00%；项目支出0.00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，占0.00%；上缴上级支出0.00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，占0.00%；经营支出0.00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，占0.00%；对附属单位补助支出0.00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，占0.00%。</w:t>
      </w:r>
    </w:p>
    <w:p>
      <w:pPr>
        <w:pStyle w:val="4"/>
        <w:spacing w:before="0" w:after="0" w:line="600" w:lineRule="exact"/>
        <w:ind w:firstLine="600" w:firstLineChars="200"/>
        <w:rPr>
          <w:rFonts w:hint="eastAsia" w:ascii="黑体" w:hAnsi="黑体" w:eastAsia="黑体"/>
          <w:b w:val="0"/>
          <w:sz w:val="30"/>
          <w:szCs w:val="30"/>
        </w:rPr>
      </w:pPr>
      <w:bookmarkStart w:id="20" w:name="_Toc18362"/>
      <w:r>
        <w:rPr>
          <w:rFonts w:hint="eastAsia" w:ascii="黑体" w:hAnsi="黑体" w:eastAsia="黑体"/>
          <w:b w:val="0"/>
          <w:sz w:val="30"/>
          <w:szCs w:val="30"/>
        </w:rPr>
        <w:t>四、财政拨款收支决算总体情况</w:t>
      </w:r>
      <w:bookmarkEnd w:id="20"/>
      <w:r>
        <w:rPr>
          <w:rFonts w:hint="eastAsia" w:ascii="黑体" w:hAnsi="黑体" w:eastAsia="黑体"/>
          <w:b w:val="0"/>
          <w:sz w:val="30"/>
          <w:szCs w:val="30"/>
        </w:rPr>
        <w:t>说明</w:t>
      </w:r>
    </w:p>
    <w:p>
      <w:pPr>
        <w:spacing w:line="600" w:lineRule="exact"/>
        <w:rPr>
          <w:rFonts w:hint="eastAsia" w:eastAsia="楷体_GB2312"/>
          <w:b/>
          <w:sz w:val="30"/>
          <w:szCs w:val="30"/>
        </w:rPr>
      </w:pPr>
      <w:r>
        <w:rPr>
          <w:rFonts w:hint="eastAsia" w:eastAsia="仿宋_GB2312"/>
          <w:sz w:val="30"/>
          <w:szCs w:val="30"/>
        </w:rPr>
        <w:t xml:space="preserve">    </w:t>
      </w:r>
      <w:r>
        <w:rPr>
          <w:rFonts w:hint="eastAsia" w:ascii="仿宋_GB2312" w:hAnsi="Times New Roman" w:eastAsia="仿宋_GB2312" w:cs="仿宋_GB2312"/>
          <w:sz w:val="30"/>
          <w:szCs w:val="30"/>
          <w:u w:val="none"/>
          <w:lang w:val="en-US" w:eastAsia="zh-CN"/>
        </w:rPr>
        <w:t>天津市津南区物业服务中心2021年度财政拨款收入、支出决算总计2984559.75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。与2020年度相比，财政拨款收、支总计各增加2984559.75</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，增加100.00%，</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p>
    <w:p>
      <w:pPr>
        <w:pStyle w:val="4"/>
        <w:spacing w:before="0" w:after="0" w:line="600" w:lineRule="exact"/>
        <w:ind w:firstLine="600" w:firstLineChars="200"/>
        <w:rPr>
          <w:rFonts w:hint="eastAsia" w:ascii="黑体" w:hAnsi="黑体" w:eastAsia="黑体"/>
          <w:b w:val="0"/>
          <w:sz w:val="30"/>
          <w:szCs w:val="30"/>
        </w:rPr>
      </w:pPr>
      <w:bookmarkStart w:id="21" w:name="_Toc29106"/>
      <w:r>
        <w:rPr>
          <w:rFonts w:ascii="黑体" w:hAnsi="黑体" w:eastAsia="黑体"/>
          <w:b w:val="0"/>
          <w:sz w:val="30"/>
          <w:szCs w:val="30"/>
        </w:rPr>
        <w:t>五</w:t>
      </w:r>
      <w:r>
        <w:rPr>
          <w:rFonts w:hint="eastAsia" w:ascii="黑体" w:hAnsi="黑体" w:eastAsia="黑体"/>
          <w:b w:val="0"/>
          <w:sz w:val="30"/>
          <w:szCs w:val="30"/>
        </w:rPr>
        <w:t>、</w:t>
      </w:r>
      <w:r>
        <w:rPr>
          <w:rFonts w:ascii="黑体" w:hAnsi="黑体" w:eastAsia="黑体"/>
          <w:b w:val="0"/>
          <w:sz w:val="30"/>
          <w:szCs w:val="30"/>
        </w:rPr>
        <w:t>一般公共预算财政拨款支出决算情况</w:t>
      </w:r>
      <w:bookmarkEnd w:id="21"/>
      <w:r>
        <w:rPr>
          <w:rFonts w:hint="eastAsia" w:ascii="黑体" w:hAnsi="黑体" w:eastAsia="黑体"/>
          <w:b w:val="0"/>
          <w:sz w:val="30"/>
          <w:szCs w:val="30"/>
        </w:rPr>
        <w:t>说明</w:t>
      </w:r>
    </w:p>
    <w:p>
      <w:pPr>
        <w:spacing w:line="600" w:lineRule="exact"/>
        <w:ind w:left="480" w:leftChars="200"/>
        <w:rPr>
          <w:rFonts w:hint="eastAsia" w:ascii="楷体" w:hAnsi="楷体" w:eastAsia="楷体" w:cs="仿宋_GB2312"/>
          <w:b/>
          <w:sz w:val="30"/>
          <w:szCs w:val="30"/>
        </w:rPr>
      </w:pPr>
      <w:r>
        <w:rPr>
          <w:rFonts w:hint="eastAsia" w:ascii="楷体" w:hAnsi="楷体" w:eastAsia="楷体" w:cs="仿宋_GB2312"/>
          <w:b/>
          <w:sz w:val="30"/>
          <w:szCs w:val="30"/>
        </w:rPr>
        <w:t>（一）总体情况</w:t>
      </w:r>
    </w:p>
    <w:p>
      <w:pPr>
        <w:spacing w:line="600" w:lineRule="exact"/>
        <w:ind w:firstLine="600" w:firstLineChars="200"/>
        <w:rPr>
          <w:rFonts w:hint="eastAsia" w:eastAsia="仿宋_GB2312"/>
          <w:sz w:val="30"/>
          <w:szCs w:val="30"/>
        </w:rPr>
      </w:pPr>
      <w:r>
        <w:rPr>
          <w:rFonts w:hint="eastAsia" w:ascii="仿宋_GB2312" w:hAnsi="Times New Roman" w:eastAsia="仿宋_GB2312" w:cs="仿宋_GB2312"/>
          <w:sz w:val="30"/>
          <w:szCs w:val="30"/>
          <w:u w:val="none"/>
          <w:lang w:val="en-US" w:eastAsia="zh-CN"/>
        </w:rPr>
        <w:t>天津市津南区物业服务中心2021年度部门决算一般公共预算财政拨款支出合计2981448.71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，占本年支出合计的99.90%。与2020年度相比，一般公共预算财政拨款支出增加2981448.71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，增加100.00%，</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p>
    <w:p>
      <w:pPr>
        <w:spacing w:line="600" w:lineRule="exact"/>
        <w:ind w:firstLine="602" w:firstLineChars="200"/>
        <w:rPr>
          <w:rFonts w:hint="eastAsia" w:ascii="楷体" w:hAnsi="楷体" w:eastAsia="楷体" w:cs="仿宋_GB2312"/>
          <w:b/>
          <w:sz w:val="30"/>
          <w:szCs w:val="30"/>
        </w:rPr>
      </w:pPr>
      <w:r>
        <w:rPr>
          <w:rFonts w:hint="eastAsia" w:ascii="楷体" w:hAnsi="楷体" w:eastAsia="楷体" w:cs="仿宋_GB2312"/>
          <w:b/>
          <w:sz w:val="30"/>
          <w:szCs w:val="30"/>
        </w:rPr>
        <w:t>（二）支出结构情况</w:t>
      </w:r>
    </w:p>
    <w:p>
      <w:pPr>
        <w:spacing w:line="600" w:lineRule="exact"/>
        <w:ind w:firstLine="600" w:firstLineChars="200"/>
        <w:rPr>
          <w:rFonts w:hint="default" w:eastAsia="仿宋_GB2312"/>
          <w:sz w:val="30"/>
          <w:szCs w:val="30"/>
          <w:lang w:val="en-US" w:eastAsia="zh-CN"/>
        </w:rPr>
      </w:pPr>
      <w:r>
        <w:rPr>
          <w:rFonts w:hint="eastAsia" w:eastAsia="仿宋_GB2312"/>
          <w:sz w:val="30"/>
          <w:szCs w:val="30"/>
        </w:rPr>
        <w:t>2021年度一般公共预算财政</w:t>
      </w:r>
      <w:r>
        <w:rPr>
          <w:rFonts w:hint="eastAsia" w:ascii="仿宋_GB2312" w:hAnsi="Times New Roman" w:eastAsia="仿宋_GB2312" w:cs="仿宋_GB2312"/>
          <w:sz w:val="30"/>
          <w:szCs w:val="30"/>
          <w:u w:val="none"/>
          <w:lang w:val="en-US" w:eastAsia="zh-CN"/>
        </w:rPr>
        <w:t>拨款支出2981448.71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，主要用于以下方面：</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一般公共服务支出（类）支出2496737.83元，占83.74%；</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社会保障和就业支出（类）支出242047.68元，占8.12%；</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卫生健康支出（类）支出100853.20元，占3.38%；</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住房保障支出（类）支出141810.00元，占4.76%。</w:t>
      </w:r>
    </w:p>
    <w:p>
      <w:pPr>
        <w:numPr>
          <w:ilvl w:val="0"/>
          <w:numId w:val="2"/>
        </w:numPr>
        <w:spacing w:line="600" w:lineRule="exact"/>
        <w:ind w:firstLine="602" w:firstLineChars="200"/>
        <w:rPr>
          <w:rFonts w:ascii="楷体" w:hAnsi="楷体" w:eastAsia="楷体" w:cs="仿宋_GB2312"/>
          <w:b/>
          <w:sz w:val="30"/>
          <w:szCs w:val="30"/>
        </w:rPr>
      </w:pPr>
      <w:r>
        <w:rPr>
          <w:rFonts w:ascii="楷体" w:hAnsi="楷体" w:eastAsia="楷体" w:cs="仿宋_GB2312"/>
          <w:b/>
          <w:sz w:val="30"/>
          <w:szCs w:val="30"/>
        </w:rPr>
        <w:t>具体情况</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2021年度一般公共预算财政拨款支出年初预算为3060152.17</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，支出决算为2981448.71</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，完成年初预算的97.43%。其中：</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一般公共服务支出（类）政府办公厅（室）及相关机构事务（款）事业运行（项）年初预算为3680832</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1</w:t>
      </w:r>
      <w:r>
        <w:rPr>
          <w:rFonts w:hint="eastAsia" w:ascii="仿宋_GB2312" w:eastAsia="仿宋_GB2312" w:cs="仿宋_GB2312"/>
          <w:sz w:val="30"/>
          <w:szCs w:val="30"/>
          <w:u w:val="none"/>
          <w:lang w:val="en-US" w:eastAsia="zh-CN"/>
        </w:rPr>
        <w:t>0</w:t>
      </w:r>
      <w:r>
        <w:rPr>
          <w:rFonts w:hint="eastAsia" w:ascii="仿宋_GB2312" w:hAnsi="Times New Roman" w:eastAsia="仿宋_GB2312" w:cs="仿宋_GB2312"/>
          <w:sz w:val="30"/>
          <w:szCs w:val="30"/>
          <w:u w:val="none"/>
          <w:lang w:val="en-US" w:eastAsia="zh-CN"/>
        </w:rPr>
        <w:t>元，支出决算为2496737.83元，完成年初预算数的</w:t>
      </w:r>
      <w:r>
        <w:rPr>
          <w:rFonts w:hint="eastAsia" w:ascii="仿宋_GB2312" w:eastAsia="仿宋_GB2312" w:cs="仿宋_GB2312"/>
          <w:sz w:val="30"/>
          <w:szCs w:val="30"/>
          <w:u w:val="none"/>
          <w:lang w:val="en-US" w:eastAsia="zh-CN"/>
        </w:rPr>
        <w:t>67.83</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年初退休补贴录入金额大于实际数值两倍</w:t>
      </w:r>
      <w:r>
        <w:rPr>
          <w:rFonts w:hint="eastAsia" w:ascii="仿宋_GB2312" w:hAnsi="Times New Roman"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社会保障和就业支出（类）行政事业单位养老支出（款）机关事业单位基本养老保险缴费支出（项）年初预算为170077</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2</w:t>
      </w:r>
      <w:r>
        <w:rPr>
          <w:rFonts w:hint="eastAsia" w:ascii="仿宋_GB2312" w:eastAsia="仿宋_GB2312" w:cs="仿宋_GB2312"/>
          <w:sz w:val="30"/>
          <w:szCs w:val="30"/>
          <w:u w:val="none"/>
          <w:lang w:val="en-US" w:eastAsia="zh-CN"/>
        </w:rPr>
        <w:t>0</w:t>
      </w:r>
      <w:r>
        <w:rPr>
          <w:rFonts w:hint="eastAsia" w:ascii="仿宋_GB2312" w:hAnsi="Times New Roman" w:eastAsia="仿宋_GB2312" w:cs="仿宋_GB2312"/>
          <w:sz w:val="30"/>
          <w:szCs w:val="30"/>
          <w:u w:val="none"/>
          <w:lang w:val="en-US" w:eastAsia="zh-CN"/>
        </w:rPr>
        <w:t xml:space="preserve">   元，支出决算为161365.12元，完成年初预算数的</w:t>
      </w:r>
      <w:r>
        <w:rPr>
          <w:rFonts w:hint="eastAsia" w:ascii="仿宋_GB2312" w:eastAsia="仿宋_GB2312" w:cs="仿宋_GB2312"/>
          <w:sz w:val="30"/>
          <w:szCs w:val="30"/>
          <w:u w:val="none"/>
          <w:lang w:val="en-US" w:eastAsia="zh-CN"/>
        </w:rPr>
        <w:t>94.88</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2021年3月一名在编职工退休。</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社会保障和就业支出（类）行政事业单位养老支出（款）机关事业单位职业年金缴费支出（项）年初预算为85038</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48元，支出决算为80682.56元，完成年初预算数的</w:t>
      </w:r>
      <w:r>
        <w:rPr>
          <w:rFonts w:hint="eastAsia" w:ascii="仿宋_GB2312" w:eastAsia="仿宋_GB2312" w:cs="仿宋_GB2312"/>
          <w:sz w:val="30"/>
          <w:szCs w:val="30"/>
          <w:u w:val="none"/>
          <w:lang w:val="en-US" w:eastAsia="zh-CN"/>
        </w:rPr>
        <w:t>94.88</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2021年3月一名在编职工退休。</w:t>
      </w:r>
      <w:r>
        <w:rPr>
          <w:rFonts w:hint="eastAsia" w:ascii="仿宋_GB2312" w:hAnsi="Times New Roman" w:eastAsia="仿宋_GB2312" w:cs="仿宋_GB2312"/>
          <w:sz w:val="30"/>
          <w:szCs w:val="30"/>
          <w:u w:val="none"/>
          <w:lang w:val="en-US" w:eastAsia="zh-CN"/>
        </w:rPr>
        <w:br w:type="textWrapping"/>
      </w:r>
      <w:r>
        <w:rPr>
          <w:rFonts w:hint="eastAsia" w:ascii="仿宋_GB2312" w:eastAsia="仿宋_GB2312" w:cs="仿宋_GB2312"/>
          <w:sz w:val="30"/>
          <w:szCs w:val="30"/>
          <w:u w:val="none"/>
          <w:lang w:val="en-US" w:eastAsia="zh-CN"/>
        </w:rPr>
        <w:t xml:space="preserve">     </w:t>
      </w:r>
      <w:r>
        <w:rPr>
          <w:rFonts w:hint="eastAsia" w:ascii="仿宋_GB2312" w:hAnsi="Times New Roman" w:eastAsia="仿宋_GB2312" w:cs="仿宋_GB2312"/>
          <w:sz w:val="30"/>
          <w:szCs w:val="30"/>
          <w:u w:val="none"/>
          <w:lang w:val="en-US" w:eastAsia="zh-CN"/>
        </w:rPr>
        <w:t>卫生健康支出（类）行政事业单位医疗（款）事业单位医疗（项）年初预算为106298</w:t>
      </w:r>
      <w:r>
        <w:rPr>
          <w:rFonts w:hint="eastAsia" w:ascii="仿宋_GB2312"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t>16元，支出决算为100853.20元，完成年初预算数的</w:t>
      </w:r>
      <w:r>
        <w:rPr>
          <w:rFonts w:hint="eastAsia" w:ascii="仿宋_GB2312" w:eastAsia="仿宋_GB2312" w:cs="仿宋_GB2312"/>
          <w:sz w:val="30"/>
          <w:szCs w:val="30"/>
          <w:u w:val="none"/>
          <w:lang w:val="en-US" w:eastAsia="zh-CN"/>
        </w:rPr>
        <w:t>94.88</w:t>
      </w:r>
      <w:r>
        <w:rPr>
          <w:rFonts w:hint="eastAsia" w:ascii="仿宋_GB2312" w:hAnsi="Times New Roman" w:eastAsia="仿宋_GB2312" w:cs="仿宋_GB2312"/>
          <w:sz w:val="30"/>
          <w:szCs w:val="30"/>
          <w:u w:val="none"/>
          <w:lang w:val="en-US" w:eastAsia="zh-CN"/>
        </w:rPr>
        <w:t>%，决算数小于年初预算数的主要原因是</w:t>
      </w:r>
      <w:r>
        <w:rPr>
          <w:rFonts w:hint="eastAsia" w:ascii="仿宋_GB2312" w:eastAsia="仿宋_GB2312" w:cs="仿宋_GB2312"/>
          <w:sz w:val="30"/>
          <w:szCs w:val="30"/>
          <w:u w:val="none"/>
          <w:lang w:val="en-US" w:eastAsia="zh-CN"/>
        </w:rPr>
        <w:t>2021年3月一名在编职工退休</w:t>
      </w:r>
      <w:r>
        <w:rPr>
          <w:rFonts w:hint="eastAsia" w:ascii="仿宋_GB2312" w:hAnsi="Times New Roman"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br w:type="textWrapping"/>
      </w:r>
      <w:r>
        <w:rPr>
          <w:rFonts w:hint="eastAsia" w:ascii="仿宋_GB2312" w:hAnsi="Times New Roman" w:eastAsia="仿宋_GB2312" w:cs="仿宋_GB2312"/>
          <w:sz w:val="30"/>
          <w:szCs w:val="30"/>
          <w:u w:val="none"/>
          <w:lang w:val="en-US" w:eastAsia="zh-CN"/>
        </w:rPr>
        <w:t xml:space="preserve">    住房保障支出（类）住房改革支出（款）住房公积金（项）年初预算为132948元，支出决算为141810.00元，完成年初预算数的</w:t>
      </w:r>
      <w:r>
        <w:rPr>
          <w:rFonts w:hint="eastAsia" w:ascii="仿宋_GB2312" w:eastAsia="仿宋_GB2312" w:cs="仿宋_GB2312"/>
          <w:sz w:val="30"/>
          <w:szCs w:val="30"/>
          <w:u w:val="none"/>
          <w:lang w:val="en-US" w:eastAsia="zh-CN"/>
        </w:rPr>
        <w:t>1.0667</w:t>
      </w:r>
      <w:r>
        <w:rPr>
          <w:rFonts w:hint="eastAsia" w:ascii="仿宋_GB2312" w:hAnsi="Times New Roman" w:eastAsia="仿宋_GB2312" w:cs="仿宋_GB2312"/>
          <w:sz w:val="30"/>
          <w:szCs w:val="30"/>
          <w:u w:val="none"/>
          <w:lang w:val="en-US" w:eastAsia="zh-CN"/>
        </w:rPr>
        <w:t>%，决算数大于年初预算数的主要原因</w:t>
      </w:r>
      <w:r>
        <w:rPr>
          <w:rFonts w:hint="eastAsia" w:ascii="仿宋_GB2312" w:eastAsia="仿宋_GB2312" w:cs="仿宋_GB2312"/>
          <w:sz w:val="30"/>
          <w:szCs w:val="30"/>
          <w:u w:val="none"/>
          <w:lang w:val="en-US" w:eastAsia="zh-CN"/>
        </w:rPr>
        <w:t>是2021年7月份公积金调整</w:t>
      </w:r>
      <w:r>
        <w:rPr>
          <w:rFonts w:hint="eastAsia" w:ascii="仿宋_GB2312" w:hAnsi="Times New Roman" w:eastAsia="仿宋_GB2312" w:cs="仿宋_GB2312"/>
          <w:sz w:val="30"/>
          <w:szCs w:val="30"/>
          <w:u w:val="none"/>
          <w:lang w:val="en-US" w:eastAsia="zh-CN"/>
        </w:rPr>
        <w:t>。</w:t>
      </w:r>
      <w:r>
        <w:rPr>
          <w:rFonts w:hint="eastAsia" w:ascii="仿宋_GB2312" w:hAnsi="Times New Roman" w:eastAsia="仿宋_GB2312" w:cs="仿宋_GB2312"/>
          <w:sz w:val="30"/>
          <w:szCs w:val="30"/>
          <w:u w:val="none"/>
          <w:lang w:val="en-US" w:eastAsia="zh-CN"/>
        </w:rPr>
        <w:br w:type="textWrapping"/>
      </w:r>
    </w:p>
    <w:p>
      <w:pPr>
        <w:pStyle w:val="4"/>
        <w:spacing w:before="0" w:after="0" w:line="600" w:lineRule="exact"/>
        <w:ind w:firstLine="600" w:firstLineChars="200"/>
        <w:rPr>
          <w:rFonts w:ascii="黑体" w:hAnsi="黑体" w:eastAsia="黑体"/>
          <w:b w:val="0"/>
          <w:sz w:val="30"/>
          <w:szCs w:val="30"/>
        </w:rPr>
      </w:pPr>
      <w:bookmarkStart w:id="22" w:name="_Toc1636"/>
      <w:r>
        <w:rPr>
          <w:rFonts w:ascii="黑体" w:hAnsi="黑体" w:eastAsia="黑体"/>
          <w:b w:val="0"/>
          <w:sz w:val="30"/>
          <w:szCs w:val="30"/>
        </w:rPr>
        <w:t>六、一般公共预算财政拨款基本支出决算情况</w:t>
      </w:r>
      <w:bookmarkEnd w:id="22"/>
      <w:r>
        <w:rPr>
          <w:rFonts w:hint="eastAsia" w:ascii="黑体" w:hAnsi="黑体" w:eastAsia="黑体"/>
          <w:b w:val="0"/>
          <w:sz w:val="30"/>
          <w:szCs w:val="30"/>
          <w:lang w:eastAsia="zh-CN"/>
        </w:rPr>
        <w:t>说明</w:t>
      </w:r>
    </w:p>
    <w:p>
      <w:pPr>
        <w:spacing w:line="600" w:lineRule="exact"/>
        <w:ind w:firstLine="600" w:firstLineChars="200"/>
        <w:rPr>
          <w:rFonts w:hint="default" w:eastAsia="仿宋_GB2312"/>
          <w:sz w:val="30"/>
          <w:szCs w:val="30"/>
          <w:lang w:val="en-US" w:eastAsia="zh-CN"/>
        </w:rPr>
      </w:pPr>
      <w:r>
        <w:rPr>
          <w:rFonts w:hint="eastAsia" w:ascii="仿宋_GB2312" w:hAnsi="Times New Roman" w:eastAsia="仿宋_GB2312" w:cs="仿宋_GB2312"/>
          <w:sz w:val="30"/>
          <w:szCs w:val="30"/>
          <w:u w:val="none"/>
          <w:lang w:val="en-US" w:eastAsia="zh-CN"/>
        </w:rPr>
        <w:t>天津市津南区物业服务中心2021年</w:t>
      </w:r>
      <w:r>
        <w:rPr>
          <w:rFonts w:eastAsia="仿宋_GB2312"/>
          <w:sz w:val="30"/>
          <w:szCs w:val="30"/>
        </w:rPr>
        <w:t>度部门决算一般公共预算财政拨款基本支出</w:t>
      </w:r>
      <w:r>
        <w:rPr>
          <w:rFonts w:hint="eastAsia" w:eastAsia="仿宋_GB2312"/>
          <w:sz w:val="30"/>
          <w:szCs w:val="30"/>
        </w:rPr>
        <w:t>合计</w:t>
      </w:r>
      <w:r>
        <w:rPr>
          <w:rFonts w:hint="eastAsia" w:ascii="仿宋_GB2312" w:hAnsi="Times New Roman" w:eastAsia="仿宋_GB2312" w:cs="仿宋_GB2312"/>
          <w:sz w:val="30"/>
          <w:szCs w:val="30"/>
          <w:u w:val="none"/>
          <w:lang w:val="en-US" w:eastAsia="zh-CN"/>
        </w:rPr>
        <w:t>2981448.71</w:t>
      </w:r>
      <w:r>
        <w:rPr>
          <w:rFonts w:hint="eastAsia" w:ascii="仿宋_GB2312" w:eastAsia="仿宋_GB2312" w:cs="仿宋_GB2312"/>
          <w:sz w:val="30"/>
          <w:szCs w:val="30"/>
          <w:u w:val="none"/>
          <w:lang w:val="en-US" w:eastAsia="zh-CN"/>
        </w:rPr>
        <w:t>元</w:t>
      </w:r>
      <w:r>
        <w:rPr>
          <w:rFonts w:eastAsia="仿宋_GB2312"/>
          <w:sz w:val="30"/>
          <w:szCs w:val="30"/>
        </w:rPr>
        <w:t>，</w:t>
      </w:r>
      <w:r>
        <w:rPr>
          <w:rFonts w:hint="eastAsia" w:eastAsia="仿宋_GB2312"/>
          <w:sz w:val="30"/>
          <w:szCs w:val="30"/>
        </w:rPr>
        <w:t>与2020年</w:t>
      </w:r>
      <w:r>
        <w:rPr>
          <w:rFonts w:hint="eastAsia" w:ascii="仿宋_GB2312" w:hAnsi="Times New Roman" w:eastAsia="仿宋_GB2312" w:cs="仿宋_GB2312"/>
          <w:sz w:val="30"/>
          <w:szCs w:val="30"/>
          <w:u w:val="none"/>
          <w:lang w:val="en-US" w:eastAsia="zh-CN"/>
        </w:rPr>
        <w:t>度相比增加2981448.71</w:t>
      </w:r>
      <w:r>
        <w:rPr>
          <w:rFonts w:hint="eastAsia" w:ascii="仿宋_GB2312" w:eastAsia="仿宋_GB2312" w:cs="仿宋_GB2312"/>
          <w:sz w:val="30"/>
          <w:szCs w:val="30"/>
          <w:u w:val="none"/>
          <w:lang w:val="en-US" w:eastAsia="zh-CN"/>
        </w:rPr>
        <w:t>元</w:t>
      </w:r>
      <w:r>
        <w:rPr>
          <w:rFonts w:hint="eastAsia" w:eastAsia="仿宋_GB2312"/>
          <w:sz w:val="30"/>
          <w:szCs w:val="30"/>
        </w:rPr>
        <w:t>，主要原因是</w:t>
      </w:r>
      <w:r>
        <w:rPr>
          <w:rFonts w:hint="eastAsia" w:eastAsia="仿宋_GB2312"/>
          <w:sz w:val="30"/>
          <w:szCs w:val="30"/>
          <w:lang w:eastAsia="zh-CN"/>
        </w:rPr>
        <w:t>本单位为</w:t>
      </w:r>
      <w:r>
        <w:rPr>
          <w:rFonts w:hint="eastAsia" w:eastAsia="仿宋_GB2312"/>
          <w:sz w:val="30"/>
          <w:szCs w:val="30"/>
          <w:lang w:val="en-US" w:eastAsia="zh-CN"/>
        </w:rPr>
        <w:t>2021年新增单位，2020年无决算安排</w:t>
      </w:r>
      <w:r>
        <w:rPr>
          <w:rFonts w:hint="eastAsia" w:eastAsia="仿宋_GB2312"/>
          <w:sz w:val="30"/>
          <w:szCs w:val="30"/>
        </w:rPr>
        <w:t>。</w:t>
      </w:r>
      <w:r>
        <w:rPr>
          <w:rFonts w:hint="eastAsia" w:ascii="仿宋_GB2312" w:hAnsi="Times New Roman" w:eastAsia="仿宋_GB2312" w:cs="仿宋_GB2312"/>
          <w:sz w:val="30"/>
          <w:szCs w:val="30"/>
          <w:u w:val="none"/>
          <w:lang w:val="en-US" w:eastAsia="zh-CN"/>
        </w:rPr>
        <w:t>其中：人员经费2814559.76元，主要包括基本工资、津贴补贴、绩效工资、机关事业单位养老保险缴费、职业年金缴费、职工基本医疗保险缴费、其他社会保障缴费、住房公积金、其他工资福利支出、退休费、抚恤金；公用经费166888.95元，主要包括办公费、邮电费、维修（护）费、工会经费、福利费、其他交通费用。</w:t>
      </w:r>
    </w:p>
    <w:p>
      <w:pPr>
        <w:pStyle w:val="4"/>
        <w:spacing w:before="0" w:after="0" w:line="600" w:lineRule="exact"/>
        <w:ind w:firstLine="600" w:firstLineChars="200"/>
        <w:rPr>
          <w:rFonts w:ascii="黑体" w:hAnsi="黑体" w:eastAsia="黑体"/>
          <w:b w:val="0"/>
          <w:sz w:val="30"/>
          <w:szCs w:val="30"/>
        </w:rPr>
      </w:pPr>
      <w:bookmarkStart w:id="23" w:name="_Toc27173"/>
      <w:r>
        <w:rPr>
          <w:rFonts w:hint="eastAsia" w:ascii="黑体" w:hAnsi="黑体" w:eastAsia="黑体"/>
          <w:b w:val="0"/>
          <w:sz w:val="30"/>
          <w:szCs w:val="30"/>
          <w:lang w:eastAsia="zh-CN"/>
        </w:rPr>
        <w:t>七</w:t>
      </w:r>
      <w:r>
        <w:rPr>
          <w:rFonts w:hint="eastAsia" w:ascii="黑体" w:hAnsi="黑体" w:eastAsia="黑体"/>
          <w:b w:val="0"/>
          <w:sz w:val="30"/>
          <w:szCs w:val="30"/>
        </w:rPr>
        <w:t>、</w:t>
      </w:r>
      <w:r>
        <w:rPr>
          <w:rFonts w:ascii="黑体" w:hAnsi="黑体" w:eastAsia="黑体"/>
          <w:b w:val="0"/>
          <w:sz w:val="30"/>
          <w:szCs w:val="30"/>
        </w:rPr>
        <w:t>一般公共预算财政拨款“三公”经费</w:t>
      </w:r>
      <w:r>
        <w:rPr>
          <w:rFonts w:hint="eastAsia" w:ascii="黑体" w:hAnsi="黑体" w:eastAsia="黑体"/>
          <w:b w:val="0"/>
          <w:sz w:val="30"/>
          <w:szCs w:val="30"/>
        </w:rPr>
        <w:t>支出决算</w:t>
      </w:r>
      <w:r>
        <w:rPr>
          <w:rFonts w:ascii="黑体" w:hAnsi="黑体" w:eastAsia="黑体"/>
          <w:b w:val="0"/>
          <w:sz w:val="30"/>
          <w:szCs w:val="30"/>
        </w:rPr>
        <w:t>情况</w:t>
      </w:r>
      <w:bookmarkEnd w:id="23"/>
      <w:r>
        <w:rPr>
          <w:rFonts w:hint="eastAsia" w:ascii="黑体" w:hAnsi="黑体" w:eastAsia="黑体"/>
          <w:b w:val="0"/>
          <w:bCs w:val="0"/>
          <w:sz w:val="30"/>
          <w:szCs w:val="30"/>
          <w:lang w:eastAsia="zh-CN"/>
        </w:rPr>
        <w:t>说明</w:t>
      </w:r>
    </w:p>
    <w:p>
      <w:pPr>
        <w:spacing w:line="600" w:lineRule="exact"/>
        <w:ind w:firstLine="600" w:firstLineChars="200"/>
        <w:rPr>
          <w:rFonts w:eastAsia="仿宋_GB2312"/>
          <w:sz w:val="30"/>
          <w:szCs w:val="30"/>
        </w:rPr>
      </w:pPr>
      <w:r>
        <w:rPr>
          <w:rFonts w:hint="eastAsia" w:eastAsia="仿宋_GB2312"/>
          <w:sz w:val="30"/>
          <w:szCs w:val="30"/>
        </w:rPr>
        <w:t>2021</w:t>
      </w:r>
      <w:r>
        <w:rPr>
          <w:rFonts w:eastAsia="仿宋_GB2312"/>
          <w:sz w:val="30"/>
          <w:szCs w:val="30"/>
        </w:rPr>
        <w:t>年</w:t>
      </w:r>
      <w:r>
        <w:rPr>
          <w:rFonts w:hint="eastAsia" w:eastAsia="仿宋_GB2312"/>
          <w:sz w:val="30"/>
          <w:szCs w:val="30"/>
        </w:rPr>
        <w:t>一般公共预算</w:t>
      </w:r>
      <w:r>
        <w:rPr>
          <w:rFonts w:eastAsia="仿宋_GB2312"/>
          <w:sz w:val="30"/>
          <w:szCs w:val="30"/>
        </w:rPr>
        <w:t>财政拨款</w:t>
      </w:r>
      <w:r>
        <w:rPr>
          <w:rFonts w:hint="eastAsia" w:eastAsia="仿宋_GB2312"/>
          <w:sz w:val="30"/>
          <w:szCs w:val="30"/>
          <w:lang w:eastAsia="zh-CN"/>
        </w:rPr>
        <w:t>“</w:t>
      </w:r>
      <w:r>
        <w:rPr>
          <w:rFonts w:eastAsia="仿宋_GB2312"/>
          <w:sz w:val="30"/>
          <w:szCs w:val="30"/>
        </w:rPr>
        <w:t>三公</w:t>
      </w:r>
      <w:r>
        <w:rPr>
          <w:rFonts w:hint="eastAsia" w:eastAsia="仿宋_GB2312"/>
          <w:sz w:val="30"/>
          <w:szCs w:val="30"/>
          <w:lang w:eastAsia="zh-CN"/>
        </w:rPr>
        <w:t>”</w:t>
      </w:r>
      <w:r>
        <w:rPr>
          <w:rFonts w:eastAsia="仿宋_GB2312"/>
          <w:sz w:val="30"/>
          <w:szCs w:val="30"/>
        </w:rPr>
        <w:t>经费</w:t>
      </w:r>
      <w:r>
        <w:rPr>
          <w:rFonts w:hint="eastAsia" w:eastAsia="仿宋_GB2312"/>
          <w:sz w:val="30"/>
          <w:szCs w:val="30"/>
        </w:rPr>
        <w:t>决算</w:t>
      </w:r>
      <w:r>
        <w:rPr>
          <w:rFonts w:hint="eastAsia" w:ascii="仿宋_GB2312" w:hAnsi="Times New Roman" w:eastAsia="仿宋_GB2312" w:cs="仿宋_GB2312"/>
          <w:sz w:val="30"/>
          <w:szCs w:val="30"/>
          <w:u w:val="none"/>
          <w:lang w:val="en-US" w:eastAsia="zh-CN"/>
        </w:rPr>
        <w:t>0.00</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2021</w:t>
      </w:r>
      <w:r>
        <w:rPr>
          <w:rFonts w:eastAsia="仿宋_GB2312"/>
          <w:sz w:val="30"/>
          <w:szCs w:val="30"/>
        </w:rPr>
        <w:t>年</w:t>
      </w:r>
      <w:r>
        <w:rPr>
          <w:rFonts w:hint="eastAsia" w:eastAsia="仿宋_GB2312"/>
          <w:sz w:val="30"/>
          <w:szCs w:val="30"/>
        </w:rPr>
        <w:t>预算</w:t>
      </w:r>
      <w:r>
        <w:rPr>
          <w:rFonts w:eastAsia="仿宋_GB2312"/>
          <w:sz w:val="30"/>
          <w:szCs w:val="30"/>
        </w:rPr>
        <w:t>相比</w:t>
      </w:r>
      <w:r>
        <w:rPr>
          <w:rFonts w:hint="eastAsia" w:ascii="仿宋_GB2312" w:hAnsi="Times New Roman" w:eastAsia="仿宋_GB2312" w:cs="仿宋_GB2312"/>
          <w:sz w:val="30"/>
          <w:szCs w:val="30"/>
          <w:u w:val="none"/>
          <w:lang w:val="en-US" w:eastAsia="zh-CN"/>
        </w:rPr>
        <w:t>持平</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是本年度未用一般公共预算列支“三公”经费。</w:t>
      </w:r>
      <w:r>
        <w:rPr>
          <w:rFonts w:eastAsia="仿宋_GB2312"/>
          <w:sz w:val="30"/>
          <w:szCs w:val="30"/>
        </w:rPr>
        <w:t>具体情况：</w:t>
      </w:r>
    </w:p>
    <w:p>
      <w:pPr>
        <w:spacing w:line="600" w:lineRule="exact"/>
        <w:ind w:firstLine="600" w:firstLineChars="200"/>
        <w:rPr>
          <w:rFonts w:eastAsia="仿宋_GB2312"/>
          <w:sz w:val="30"/>
          <w:szCs w:val="30"/>
        </w:rPr>
      </w:pPr>
      <w:r>
        <w:rPr>
          <w:rFonts w:hint="eastAsia" w:eastAsia="仿宋_GB2312"/>
          <w:sz w:val="30"/>
          <w:szCs w:val="30"/>
        </w:rPr>
        <w:t>（一）2021年因公出国（境）费决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eastAsia="仿宋_GB2312"/>
          <w:sz w:val="30"/>
          <w:szCs w:val="30"/>
        </w:rPr>
        <w:t>，与预算相</w:t>
      </w:r>
      <w:r>
        <w:rPr>
          <w:rFonts w:hint="eastAsia" w:ascii="仿宋_GB2312" w:hAnsi="Times New Roman" w:eastAsia="仿宋_GB2312" w:cs="仿宋_GB2312"/>
          <w:sz w:val="30"/>
          <w:szCs w:val="30"/>
          <w:u w:val="none"/>
          <w:lang w:val="en-US" w:eastAsia="zh-CN"/>
        </w:rPr>
        <w:t>比持平</w:t>
      </w:r>
      <w:r>
        <w:rPr>
          <w:rFonts w:hint="eastAsia"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hint="eastAsia" w:eastAsia="仿宋_GB2312"/>
          <w:sz w:val="30"/>
          <w:szCs w:val="30"/>
        </w:rPr>
        <w:t>。2021年本单位组织的出国团</w:t>
      </w:r>
      <w:r>
        <w:rPr>
          <w:rFonts w:hint="eastAsia" w:ascii="仿宋_GB2312" w:hAnsi="Times New Roman" w:eastAsia="仿宋_GB2312" w:cs="仿宋_GB2312"/>
          <w:sz w:val="30"/>
          <w:szCs w:val="30"/>
          <w:u w:val="none"/>
          <w:lang w:val="en-US" w:eastAsia="zh-CN"/>
        </w:rPr>
        <w:t>组 0</w:t>
      </w:r>
      <w:r>
        <w:rPr>
          <w:rFonts w:hint="eastAsia" w:eastAsia="仿宋_GB2312"/>
          <w:sz w:val="30"/>
          <w:szCs w:val="30"/>
          <w:lang w:val="en-US" w:eastAsia="zh-CN"/>
        </w:rPr>
        <w:t>个</w:t>
      </w:r>
      <w:r>
        <w:rPr>
          <w:rFonts w:hint="eastAsia" w:eastAsia="仿宋_GB2312"/>
          <w:sz w:val="30"/>
          <w:szCs w:val="30"/>
        </w:rPr>
        <w:t>，</w:t>
      </w:r>
      <w:r>
        <w:rPr>
          <w:rFonts w:hint="eastAsia" w:ascii="仿宋_GB2312" w:hAnsi="Times New Roman" w:eastAsia="仿宋_GB2312" w:cs="仿宋_GB2312"/>
          <w:sz w:val="30"/>
          <w:szCs w:val="30"/>
          <w:u w:val="none"/>
          <w:lang w:val="en-US" w:eastAsia="zh-CN"/>
        </w:rPr>
        <w:t>出国0人</w:t>
      </w:r>
      <w:r>
        <w:rPr>
          <w:rFonts w:hint="eastAsia" w:eastAsia="仿宋_GB2312"/>
          <w:sz w:val="30"/>
          <w:szCs w:val="30"/>
        </w:rPr>
        <w:t>次。</w:t>
      </w:r>
    </w:p>
    <w:p>
      <w:pPr>
        <w:spacing w:line="600" w:lineRule="exact"/>
        <w:ind w:firstLine="600" w:firstLineChars="200"/>
        <w:jc w:val="both"/>
        <w:rPr>
          <w:rFonts w:hint="eastAsia" w:eastAsia="仿宋_GB2312"/>
          <w:sz w:val="30"/>
          <w:szCs w:val="30"/>
        </w:rPr>
      </w:pPr>
      <w:r>
        <w:rPr>
          <w:rFonts w:hint="eastAsia" w:eastAsia="仿宋_GB2312"/>
          <w:sz w:val="30"/>
          <w:szCs w:val="30"/>
        </w:rPr>
        <w:t>（二）</w:t>
      </w:r>
      <w:r>
        <w:rPr>
          <w:rFonts w:hint="eastAsia" w:ascii="Times New Roman" w:hAnsi="Times New Roman" w:eastAsia="仿宋_GB2312" w:cs="Times New Roman"/>
          <w:sz w:val="30"/>
          <w:szCs w:val="30"/>
        </w:rPr>
        <w:t>2021年公务用车购置及运行维护费</w:t>
      </w:r>
      <w:r>
        <w:rPr>
          <w:rFonts w:hint="eastAsia" w:ascii="仿宋_GB2312" w:hAnsi="Times New Roman" w:eastAsia="仿宋_GB2312" w:cs="仿宋_GB2312"/>
          <w:sz w:val="30"/>
          <w:szCs w:val="30"/>
          <w:u w:val="none"/>
          <w:lang w:val="en-US" w:eastAsia="zh-CN"/>
        </w:rPr>
        <w:t>决算0.00</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，其中公务用车运行</w:t>
      </w:r>
      <w:r>
        <w:rPr>
          <w:rFonts w:hint="eastAsia" w:ascii="仿宋_GB2312" w:hAnsi="Times New Roman" w:eastAsia="仿宋_GB2312" w:cs="仿宋_GB2312"/>
          <w:sz w:val="30"/>
          <w:szCs w:val="30"/>
          <w:u w:val="none"/>
          <w:lang w:val="en-US" w:eastAsia="zh-CN"/>
        </w:rPr>
        <w:t>维护费0.00</w:t>
      </w:r>
      <w:r>
        <w:rPr>
          <w:rFonts w:hint="eastAsia" w:ascii="仿宋_GB2312" w:eastAsia="仿宋_GB2312" w:cs="仿宋_GB2312"/>
          <w:sz w:val="30"/>
          <w:szCs w:val="30"/>
          <w:u w:val="none"/>
          <w:lang w:val="en-US" w:eastAsia="zh-CN"/>
        </w:rPr>
        <w:t>元</w:t>
      </w:r>
      <w:r>
        <w:rPr>
          <w:rFonts w:hint="eastAsia" w:ascii="Times New Roman" w:hAnsi="Times New Roman" w:eastAsia="仿宋_GB2312" w:cs="Times New Roman"/>
          <w:sz w:val="30"/>
          <w:szCs w:val="30"/>
        </w:rPr>
        <w:t>，与预算相</w:t>
      </w:r>
      <w:r>
        <w:rPr>
          <w:rFonts w:hint="eastAsia" w:ascii="仿宋_GB2312" w:hAnsi="Times New Roman" w:eastAsia="仿宋_GB2312" w:cs="仿宋_GB2312"/>
          <w:sz w:val="30"/>
          <w:szCs w:val="30"/>
          <w:u w:val="none"/>
          <w:lang w:val="en-US" w:eastAsia="zh-CN"/>
        </w:rPr>
        <w:t>比持平</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eastAsia="仿宋_GB2312"/>
          <w:sz w:val="30"/>
          <w:szCs w:val="30"/>
        </w:rPr>
        <w:t>公务用车购置</w:t>
      </w:r>
      <w:r>
        <w:rPr>
          <w:rFonts w:hint="eastAsia" w:ascii="仿宋_GB2312" w:hAnsi="Times New Roman" w:eastAsia="仿宋_GB2312" w:cs="仿宋_GB2312"/>
          <w:sz w:val="30"/>
          <w:szCs w:val="30"/>
          <w:u w:val="none"/>
          <w:lang w:val="en-US" w:eastAsia="zh-CN"/>
        </w:rPr>
        <w:t>费0.00</w:t>
      </w:r>
      <w:r>
        <w:rPr>
          <w:rFonts w:hint="eastAsia" w:ascii="仿宋_GB2312" w:eastAsia="仿宋_GB2312" w:cs="仿宋_GB2312"/>
          <w:sz w:val="30"/>
          <w:szCs w:val="30"/>
          <w:u w:val="none"/>
          <w:lang w:val="en-US" w:eastAsia="zh-CN"/>
        </w:rPr>
        <w:t>元</w:t>
      </w:r>
      <w:r>
        <w:rPr>
          <w:rFonts w:eastAsia="仿宋_GB2312"/>
          <w:sz w:val="30"/>
          <w:szCs w:val="30"/>
        </w:rPr>
        <w:t>，与</w:t>
      </w:r>
      <w:r>
        <w:rPr>
          <w:rFonts w:hint="eastAsia" w:eastAsia="仿宋_GB2312"/>
          <w:sz w:val="30"/>
          <w:szCs w:val="30"/>
        </w:rPr>
        <w:t>预算</w:t>
      </w:r>
      <w:r>
        <w:rPr>
          <w:rFonts w:hint="eastAsia" w:ascii="仿宋_GB2312" w:hAnsi="Times New Roman" w:eastAsia="仿宋_GB2312" w:cs="仿宋_GB2312"/>
          <w:sz w:val="30"/>
          <w:szCs w:val="30"/>
          <w:u w:val="none"/>
          <w:lang w:val="en-US" w:eastAsia="zh-CN"/>
        </w:rPr>
        <w:t>相比持平</w:t>
      </w:r>
      <w:r>
        <w:rPr>
          <w:rFonts w:eastAsia="仿宋_GB2312"/>
          <w:sz w:val="30"/>
          <w:szCs w:val="30"/>
        </w:rPr>
        <w:t>，主要原因</w:t>
      </w:r>
      <w:r>
        <w:rPr>
          <w:rFonts w:hint="eastAsia" w:ascii="仿宋_GB2312" w:hAnsi="Times New Roman" w:eastAsia="仿宋_GB2312" w:cs="仿宋_GB2312"/>
          <w:sz w:val="30"/>
          <w:szCs w:val="30"/>
          <w:u w:val="none"/>
          <w:lang w:val="en-US" w:eastAsia="zh-CN"/>
        </w:rPr>
        <w:t>是本年未使用一般公共预算资金列支相关经费</w:t>
      </w:r>
      <w:r>
        <w:rPr>
          <w:rFonts w:eastAsia="仿宋_GB2312"/>
          <w:sz w:val="30"/>
          <w:szCs w:val="30"/>
        </w:rPr>
        <w:t>。</w:t>
      </w:r>
      <w:r>
        <w:rPr>
          <w:rFonts w:hint="eastAsia" w:eastAsia="仿宋_GB2312"/>
          <w:sz w:val="30"/>
          <w:szCs w:val="30"/>
        </w:rPr>
        <w:t>2021</w:t>
      </w:r>
      <w:r>
        <w:rPr>
          <w:rFonts w:hint="eastAsia" w:ascii="仿宋_GB2312" w:eastAsia="仿宋_GB2312" w:cs="仿宋_GB2312"/>
          <w:sz w:val="30"/>
          <w:szCs w:val="30"/>
        </w:rPr>
        <w:t>年本单位公务用车保</w:t>
      </w:r>
      <w:r>
        <w:rPr>
          <w:rFonts w:hint="eastAsia" w:ascii="仿宋_GB2312" w:hAnsi="Times New Roman" w:eastAsia="仿宋_GB2312" w:cs="仿宋_GB2312"/>
          <w:sz w:val="30"/>
          <w:szCs w:val="30"/>
          <w:u w:val="none"/>
          <w:lang w:val="en-US" w:eastAsia="zh-CN"/>
        </w:rPr>
        <w:t>有0辆</w:t>
      </w:r>
      <w:r>
        <w:rPr>
          <w:rFonts w:hint="eastAsia" w:ascii="仿宋_GB2312" w:eastAsia="仿宋_GB2312" w:cs="仿宋_GB2312"/>
          <w:sz w:val="30"/>
          <w:szCs w:val="30"/>
        </w:rPr>
        <w:t>，购置公务</w:t>
      </w:r>
      <w:r>
        <w:rPr>
          <w:rFonts w:hint="eastAsia" w:ascii="仿宋_GB2312" w:hAnsi="Times New Roman" w:eastAsia="仿宋_GB2312" w:cs="仿宋_GB2312"/>
          <w:sz w:val="30"/>
          <w:szCs w:val="30"/>
          <w:u w:val="none"/>
          <w:lang w:val="en-US" w:eastAsia="zh-CN"/>
        </w:rPr>
        <w:t>用车0</w:t>
      </w:r>
      <w:r>
        <w:rPr>
          <w:rFonts w:hint="eastAsia" w:ascii="仿宋_GB2312" w:eastAsia="仿宋_GB2312" w:cs="仿宋_GB2312"/>
          <w:sz w:val="30"/>
          <w:szCs w:val="30"/>
        </w:rPr>
        <w:t>辆。</w:t>
      </w:r>
    </w:p>
    <w:p>
      <w:pPr>
        <w:spacing w:line="600" w:lineRule="exact"/>
        <w:ind w:firstLine="645"/>
        <w:rPr>
          <w:rFonts w:hint="eastAsia" w:eastAsia="仿宋_GB2312" w:cs="仿宋_GB2312"/>
          <w:sz w:val="30"/>
          <w:szCs w:val="30"/>
        </w:rPr>
      </w:pPr>
      <w:r>
        <w:rPr>
          <w:rFonts w:hint="eastAsia" w:eastAsia="仿宋_GB2312"/>
          <w:sz w:val="30"/>
          <w:szCs w:val="30"/>
        </w:rPr>
        <w:t>（三）2021</w:t>
      </w:r>
      <w:r>
        <w:rPr>
          <w:rFonts w:eastAsia="仿宋_GB2312"/>
          <w:sz w:val="30"/>
          <w:szCs w:val="30"/>
        </w:rPr>
        <w:t>年公务接待费</w:t>
      </w:r>
      <w:r>
        <w:rPr>
          <w:rFonts w:hint="eastAsia" w:eastAsia="仿宋_GB2312"/>
          <w:sz w:val="30"/>
          <w:szCs w:val="30"/>
        </w:rPr>
        <w:t>决</w:t>
      </w:r>
      <w:r>
        <w:rPr>
          <w:rFonts w:hint="eastAsia" w:ascii="仿宋_GB2312" w:hAnsi="Times New Roman" w:eastAsia="仿宋_GB2312" w:cs="仿宋_GB2312"/>
          <w:sz w:val="30"/>
          <w:szCs w:val="30"/>
          <w:u w:val="none"/>
          <w:lang w:val="en-US" w:eastAsia="zh-CN"/>
        </w:rPr>
        <w:t>算0.00</w:t>
      </w:r>
      <w:r>
        <w:rPr>
          <w:rFonts w:hint="eastAsia" w:ascii="仿宋_GB2312" w:eastAsia="仿宋_GB2312" w:cs="仿宋_GB2312"/>
          <w:sz w:val="30"/>
          <w:szCs w:val="30"/>
          <w:u w:val="none"/>
          <w:lang w:val="en-US" w:eastAsia="zh-CN"/>
        </w:rPr>
        <w:t>元</w:t>
      </w:r>
      <w:r>
        <w:rPr>
          <w:rFonts w:hint="eastAsia" w:ascii="仿宋_GB2312" w:hAnsi="Times New Roman" w:eastAsia="仿宋_GB2312" w:cs="仿宋_GB2312"/>
          <w:sz w:val="30"/>
          <w:szCs w:val="30"/>
          <w:u w:val="none"/>
          <w:lang w:val="en-US" w:eastAsia="zh-CN"/>
        </w:rPr>
        <w:t>，与预算相比持平</w:t>
      </w:r>
      <w:r>
        <w:rPr>
          <w:rFonts w:eastAsia="仿宋_GB2312"/>
          <w:sz w:val="30"/>
          <w:szCs w:val="30"/>
        </w:rPr>
        <w:t>，</w:t>
      </w:r>
      <w:r>
        <w:rPr>
          <w:rFonts w:hint="eastAsia" w:ascii="仿宋_GB2312" w:hAnsi="Times New Roman" w:eastAsia="仿宋_GB2312" w:cs="仿宋_GB2312"/>
          <w:sz w:val="30"/>
          <w:szCs w:val="30"/>
          <w:u w:val="none"/>
          <w:lang w:val="en-US" w:eastAsia="zh-CN"/>
        </w:rPr>
        <w:t>主要原因是本年未使用一般公共预算资金列支相关经费。2</w:t>
      </w:r>
      <w:r>
        <w:rPr>
          <w:rFonts w:hint="eastAsia" w:eastAsia="仿宋_GB2312"/>
          <w:sz w:val="30"/>
          <w:szCs w:val="30"/>
        </w:rPr>
        <w:t>021</w:t>
      </w:r>
      <w:r>
        <w:rPr>
          <w:rFonts w:hint="eastAsia" w:eastAsia="仿宋_GB2312" w:cs="仿宋_GB2312"/>
          <w:sz w:val="30"/>
          <w:szCs w:val="30"/>
        </w:rPr>
        <w:t>年本单位国内公务接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w:t>
      </w:r>
      <w:r>
        <w:rPr>
          <w:rFonts w:hint="eastAsia" w:eastAsia="仿宋_GB2312" w:cs="仿宋_GB2312"/>
          <w:sz w:val="30"/>
          <w:szCs w:val="30"/>
        </w:rPr>
        <w:t>次；其中，外事接</w:t>
      </w:r>
      <w:r>
        <w:rPr>
          <w:rFonts w:hint="eastAsia" w:ascii="仿宋_GB2312" w:hAnsi="Times New Roman" w:eastAsia="仿宋_GB2312" w:cs="仿宋_GB2312"/>
          <w:sz w:val="30"/>
          <w:szCs w:val="30"/>
          <w:u w:val="none"/>
          <w:lang w:val="en-US" w:eastAsia="zh-CN"/>
        </w:rPr>
        <w:t>待0批</w:t>
      </w:r>
      <w:r>
        <w:rPr>
          <w:rFonts w:hint="eastAsia" w:eastAsia="仿宋_GB2312" w:cs="仿宋_GB2312"/>
          <w:sz w:val="30"/>
          <w:szCs w:val="30"/>
        </w:rPr>
        <w:t>次，</w:t>
      </w:r>
      <w:r>
        <w:rPr>
          <w:rFonts w:hint="eastAsia" w:ascii="仿宋_GB2312" w:hAnsi="Times New Roman" w:eastAsia="仿宋_GB2312" w:cs="仿宋_GB2312"/>
          <w:sz w:val="30"/>
          <w:szCs w:val="30"/>
          <w:u w:val="none"/>
          <w:lang w:val="en-US" w:eastAsia="zh-CN"/>
        </w:rPr>
        <w:t>0人次</w:t>
      </w:r>
      <w:r>
        <w:rPr>
          <w:rFonts w:hint="eastAsia" w:eastAsia="仿宋_GB2312" w:cs="仿宋_GB2312"/>
          <w:sz w:val="30"/>
          <w:szCs w:val="30"/>
        </w:rPr>
        <w:t>。</w:t>
      </w:r>
    </w:p>
    <w:p>
      <w:pPr>
        <w:pStyle w:val="4"/>
        <w:spacing w:before="0" w:after="0" w:line="600" w:lineRule="exact"/>
        <w:ind w:firstLine="600" w:firstLineChars="200"/>
        <w:rPr>
          <w:rFonts w:hint="eastAsia" w:ascii="楷体" w:hAnsi="楷体" w:eastAsia="楷体" w:cs="仿宋_GB2312"/>
          <w:b w:val="0"/>
          <w:sz w:val="30"/>
          <w:szCs w:val="30"/>
        </w:rPr>
      </w:pPr>
      <w:bookmarkStart w:id="24" w:name="_Toc18682"/>
      <w:r>
        <w:rPr>
          <w:rFonts w:hint="eastAsia" w:ascii="黑体" w:hAnsi="黑体" w:eastAsia="黑体"/>
          <w:b w:val="0"/>
          <w:sz w:val="30"/>
          <w:szCs w:val="30"/>
          <w:lang w:eastAsia="zh-CN"/>
        </w:rPr>
        <w:t>八</w:t>
      </w:r>
      <w:r>
        <w:rPr>
          <w:rFonts w:ascii="黑体" w:hAnsi="黑体" w:eastAsia="黑体"/>
          <w:b w:val="0"/>
          <w:sz w:val="30"/>
          <w:szCs w:val="30"/>
        </w:rPr>
        <w:t>、政府性基金预算财政拨款</w:t>
      </w:r>
      <w:r>
        <w:rPr>
          <w:rFonts w:hint="eastAsia" w:ascii="黑体" w:hAnsi="黑体" w:eastAsia="黑体"/>
          <w:b w:val="0"/>
          <w:sz w:val="30"/>
          <w:szCs w:val="30"/>
        </w:rPr>
        <w:t>收支决算</w:t>
      </w:r>
      <w:r>
        <w:rPr>
          <w:rFonts w:ascii="黑体" w:hAnsi="黑体" w:eastAsia="黑体"/>
          <w:b w:val="0"/>
          <w:sz w:val="30"/>
          <w:szCs w:val="30"/>
        </w:rPr>
        <w:t>情况</w:t>
      </w:r>
      <w:bookmarkEnd w:id="24"/>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天津市津南区物业服务中心2021年度无政府性基金预算财政拨款收入、支出和结转结余。</w:t>
      </w:r>
    </w:p>
    <w:p>
      <w:pPr>
        <w:pStyle w:val="4"/>
        <w:spacing w:before="0" w:after="0" w:line="600" w:lineRule="exact"/>
        <w:ind w:firstLine="600" w:firstLineChars="200"/>
        <w:rPr>
          <w:rFonts w:hint="eastAsia" w:eastAsia="黑体"/>
          <w:b w:val="0"/>
          <w:sz w:val="30"/>
          <w:szCs w:val="30"/>
        </w:rPr>
      </w:pPr>
      <w:bookmarkStart w:id="25" w:name="_Toc11823"/>
      <w:r>
        <w:rPr>
          <w:rFonts w:hint="eastAsia" w:eastAsia="黑体"/>
          <w:b w:val="0"/>
          <w:sz w:val="30"/>
          <w:szCs w:val="30"/>
          <w:lang w:eastAsia="zh-CN"/>
        </w:rPr>
        <w:t>九</w:t>
      </w:r>
      <w:r>
        <w:rPr>
          <w:rFonts w:hint="eastAsia" w:eastAsia="黑体"/>
          <w:b w:val="0"/>
          <w:sz w:val="30"/>
          <w:szCs w:val="30"/>
        </w:rPr>
        <w:t>、国有资本经营预算财政拨款收支决算情况</w:t>
      </w:r>
      <w:bookmarkEnd w:id="25"/>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天津市津南区物业服务中心2021年度无国有资本经营预算财政拨款收入、支出和结转结余。</w:t>
      </w:r>
    </w:p>
    <w:p>
      <w:pPr>
        <w:pStyle w:val="4"/>
        <w:spacing w:before="0" w:after="0" w:line="600" w:lineRule="exact"/>
        <w:ind w:firstLine="600" w:firstLineChars="200"/>
        <w:rPr>
          <w:rFonts w:ascii="黑体" w:hAnsi="黑体" w:eastAsia="黑体"/>
          <w:b w:val="0"/>
          <w:sz w:val="30"/>
          <w:szCs w:val="30"/>
        </w:rPr>
      </w:pPr>
      <w:bookmarkStart w:id="26" w:name="_Toc8800"/>
      <w:r>
        <w:rPr>
          <w:rFonts w:hint="eastAsia" w:ascii="黑体" w:hAnsi="黑体" w:eastAsia="黑体"/>
          <w:b w:val="0"/>
          <w:sz w:val="30"/>
          <w:szCs w:val="30"/>
        </w:rPr>
        <w:t>十、</w:t>
      </w:r>
      <w:r>
        <w:rPr>
          <w:rFonts w:ascii="黑体" w:hAnsi="黑体" w:eastAsia="黑体"/>
          <w:b w:val="0"/>
          <w:sz w:val="30"/>
          <w:szCs w:val="30"/>
        </w:rPr>
        <w:t>机关运行经费</w:t>
      </w:r>
      <w:r>
        <w:rPr>
          <w:rFonts w:hint="eastAsia" w:ascii="黑体" w:hAnsi="黑体" w:eastAsia="黑体"/>
          <w:b w:val="0"/>
          <w:sz w:val="30"/>
          <w:szCs w:val="30"/>
        </w:rPr>
        <w:t>支出情况</w:t>
      </w:r>
      <w:bookmarkEnd w:id="26"/>
      <w:r>
        <w:rPr>
          <w:rFonts w:hint="eastAsia" w:ascii="黑体" w:hAnsi="黑体" w:eastAsia="黑体"/>
          <w:b w:val="0"/>
          <w:bCs w:val="0"/>
          <w:sz w:val="30"/>
          <w:szCs w:val="30"/>
          <w:lang w:eastAsia="zh-CN"/>
        </w:rPr>
        <w:t>说明</w:t>
      </w:r>
    </w:p>
    <w:p>
      <w:pPr>
        <w:spacing w:line="600" w:lineRule="exact"/>
        <w:ind w:firstLine="600" w:firstLineChars="200"/>
        <w:jc w:val="both"/>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天津市津南区物业服务中心2021年度无机关运行经费。</w:t>
      </w:r>
    </w:p>
    <w:p>
      <w:pPr>
        <w:pStyle w:val="4"/>
        <w:spacing w:before="0" w:after="0" w:line="600" w:lineRule="exact"/>
        <w:ind w:firstLine="600" w:firstLineChars="200"/>
        <w:rPr>
          <w:rFonts w:ascii="黑体" w:hAnsi="黑体" w:eastAsia="黑体"/>
          <w:b w:val="0"/>
          <w:sz w:val="30"/>
          <w:szCs w:val="30"/>
        </w:rPr>
      </w:pPr>
      <w:bookmarkStart w:id="27" w:name="_Toc8078"/>
      <w:r>
        <w:rPr>
          <w:rFonts w:hint="eastAsia" w:ascii="黑体" w:hAnsi="黑体" w:eastAsia="黑体"/>
          <w:b w:val="0"/>
          <w:sz w:val="30"/>
          <w:szCs w:val="30"/>
        </w:rPr>
        <w:t>十</w:t>
      </w:r>
      <w:r>
        <w:rPr>
          <w:rFonts w:hint="eastAsia" w:ascii="黑体" w:hAnsi="黑体" w:eastAsia="黑体"/>
          <w:b w:val="0"/>
          <w:sz w:val="30"/>
          <w:szCs w:val="30"/>
          <w:lang w:eastAsia="zh-CN"/>
        </w:rPr>
        <w:t>一</w:t>
      </w:r>
      <w:r>
        <w:rPr>
          <w:rFonts w:hint="eastAsia" w:ascii="黑体" w:hAnsi="黑体" w:eastAsia="黑体"/>
          <w:b w:val="0"/>
          <w:sz w:val="30"/>
          <w:szCs w:val="30"/>
        </w:rPr>
        <w:t>、</w:t>
      </w:r>
      <w:r>
        <w:rPr>
          <w:rFonts w:ascii="黑体" w:hAnsi="黑体" w:eastAsia="黑体"/>
          <w:b w:val="0"/>
          <w:sz w:val="30"/>
          <w:szCs w:val="30"/>
        </w:rPr>
        <w:t>政府采购</w:t>
      </w:r>
      <w:r>
        <w:rPr>
          <w:rFonts w:hint="eastAsia" w:ascii="黑体" w:hAnsi="黑体" w:eastAsia="黑体"/>
          <w:b w:val="0"/>
          <w:sz w:val="30"/>
          <w:szCs w:val="30"/>
        </w:rPr>
        <w:t>支出</w:t>
      </w:r>
      <w:r>
        <w:rPr>
          <w:rFonts w:ascii="黑体" w:hAnsi="黑体" w:eastAsia="黑体"/>
          <w:b w:val="0"/>
          <w:sz w:val="30"/>
          <w:szCs w:val="30"/>
        </w:rPr>
        <w:t>情况</w:t>
      </w:r>
      <w:bookmarkEnd w:id="27"/>
      <w:r>
        <w:rPr>
          <w:rFonts w:hint="eastAsia" w:ascii="黑体" w:hAnsi="黑体" w:eastAsia="黑体"/>
          <w:b w:val="0"/>
          <w:bCs w:val="0"/>
          <w:sz w:val="30"/>
          <w:szCs w:val="30"/>
          <w:lang w:eastAsia="zh-CN"/>
        </w:rPr>
        <w:t>说明</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天津市津南区物业服务中心2021年度无政府采购支出。</w:t>
      </w:r>
    </w:p>
    <w:p>
      <w:pPr>
        <w:pStyle w:val="4"/>
        <w:spacing w:before="0" w:after="0" w:line="600" w:lineRule="exact"/>
        <w:ind w:firstLine="600" w:firstLineChars="200"/>
        <w:rPr>
          <w:rFonts w:hint="eastAsia" w:ascii="黑体" w:hAnsi="黑体" w:eastAsia="黑体"/>
          <w:b w:val="0"/>
          <w:sz w:val="30"/>
          <w:szCs w:val="30"/>
        </w:rPr>
      </w:pPr>
      <w:bookmarkStart w:id="28" w:name="_Toc2866"/>
      <w:r>
        <w:rPr>
          <w:rFonts w:hint="eastAsia" w:ascii="黑体" w:hAnsi="黑体" w:eastAsia="黑体"/>
          <w:b w:val="0"/>
          <w:sz w:val="30"/>
          <w:szCs w:val="30"/>
        </w:rPr>
        <w:t>十</w:t>
      </w:r>
      <w:r>
        <w:rPr>
          <w:rFonts w:hint="eastAsia" w:ascii="黑体" w:hAnsi="黑体" w:eastAsia="黑体"/>
          <w:b w:val="0"/>
          <w:sz w:val="30"/>
          <w:szCs w:val="30"/>
          <w:lang w:eastAsia="zh-CN"/>
        </w:rPr>
        <w:t>二</w:t>
      </w:r>
      <w:r>
        <w:rPr>
          <w:rFonts w:hint="eastAsia" w:ascii="黑体" w:hAnsi="黑体" w:eastAsia="黑体"/>
          <w:b w:val="0"/>
          <w:sz w:val="30"/>
          <w:szCs w:val="30"/>
        </w:rPr>
        <w:t>、国有资产占有使用情况</w:t>
      </w:r>
      <w:bookmarkEnd w:id="28"/>
      <w:r>
        <w:rPr>
          <w:rFonts w:hint="eastAsia" w:ascii="黑体" w:hAnsi="黑体" w:eastAsia="黑体"/>
          <w:b w:val="0"/>
          <w:bCs w:val="0"/>
          <w:sz w:val="30"/>
          <w:szCs w:val="30"/>
          <w:lang w:eastAsia="zh-CN"/>
        </w:rPr>
        <w:t>说明</w:t>
      </w:r>
    </w:p>
    <w:p>
      <w:pPr>
        <w:spacing w:line="600" w:lineRule="exact"/>
        <w:ind w:firstLine="600" w:firstLineChars="200"/>
        <w:rPr>
          <w:rFonts w:hint="eastAsia" w:ascii="仿宋_GB2312" w:hAnsi="Times New Roman" w:eastAsia="仿宋_GB2312" w:cs="仿宋_GB2312"/>
          <w:sz w:val="30"/>
          <w:szCs w:val="30"/>
          <w:u w:val="none"/>
          <w:lang w:val="en-US" w:eastAsia="zh-CN"/>
        </w:rPr>
      </w:pPr>
      <w:r>
        <w:rPr>
          <w:rFonts w:hint="eastAsia" w:ascii="仿宋_GB2312" w:hAnsi="Times New Roman" w:eastAsia="仿宋_GB2312" w:cs="仿宋_GB2312"/>
          <w:sz w:val="30"/>
          <w:szCs w:val="30"/>
          <w:u w:val="none"/>
          <w:lang w:val="en-US" w:eastAsia="zh-CN"/>
        </w:rPr>
        <w:t>天津市津南区物业服务中心2021年度无国有资产占有使用情况。</w:t>
      </w:r>
    </w:p>
    <w:p>
      <w:pPr>
        <w:pStyle w:val="4"/>
        <w:spacing w:before="0" w:after="0" w:line="600" w:lineRule="exact"/>
        <w:ind w:firstLine="600" w:firstLineChars="200"/>
        <w:rPr>
          <w:rFonts w:hint="eastAsia" w:ascii="黑体" w:hAnsi="黑体" w:eastAsia="黑体"/>
          <w:b w:val="0"/>
          <w:bCs w:val="0"/>
          <w:sz w:val="30"/>
          <w:szCs w:val="30"/>
        </w:rPr>
      </w:pPr>
      <w:bookmarkStart w:id="29" w:name="_Toc3441"/>
      <w:r>
        <w:rPr>
          <w:rFonts w:hint="eastAsia" w:ascii="黑体" w:hAnsi="黑体" w:eastAsia="黑体"/>
          <w:b w:val="0"/>
          <w:bCs w:val="0"/>
          <w:sz w:val="30"/>
          <w:szCs w:val="30"/>
        </w:rPr>
        <w:t>十</w:t>
      </w:r>
      <w:r>
        <w:rPr>
          <w:rFonts w:hint="eastAsia" w:ascii="黑体" w:hAnsi="黑体" w:eastAsia="黑体"/>
          <w:b w:val="0"/>
          <w:bCs w:val="0"/>
          <w:sz w:val="30"/>
          <w:szCs w:val="30"/>
          <w:lang w:eastAsia="zh-CN"/>
        </w:rPr>
        <w:t>三</w:t>
      </w:r>
      <w:r>
        <w:rPr>
          <w:rFonts w:hint="eastAsia" w:ascii="黑体" w:hAnsi="黑体" w:eastAsia="黑体"/>
          <w:b w:val="0"/>
          <w:bCs w:val="0"/>
          <w:sz w:val="30"/>
          <w:szCs w:val="30"/>
        </w:rPr>
        <w:t>、预算绩效情况说明</w:t>
      </w:r>
      <w:bookmarkEnd w:id="29"/>
    </w:p>
    <w:p>
      <w:pPr>
        <w:spacing w:line="600" w:lineRule="exact"/>
        <w:ind w:firstLine="600" w:firstLineChars="200"/>
        <w:jc w:val="both"/>
        <w:rPr>
          <w:rFonts w:hint="default" w:eastAsia="楷体"/>
          <w:sz w:val="30"/>
          <w:szCs w:val="30"/>
          <w:highlight w:val="none"/>
          <w:lang w:val="en-US" w:eastAsia="zh-CN"/>
        </w:rPr>
      </w:pPr>
      <w:bookmarkStart w:id="30" w:name="_Toc11040"/>
      <w:r>
        <w:rPr>
          <w:rFonts w:hint="eastAsia" w:ascii="仿宋_GB2312" w:hAnsi="Times New Roman" w:eastAsia="仿宋_GB2312" w:cs="仿宋_GB2312"/>
          <w:sz w:val="30"/>
          <w:szCs w:val="30"/>
          <w:u w:val="none"/>
          <w:lang w:val="en-US" w:eastAsia="zh-CN"/>
        </w:rPr>
        <w:t>天津市津南区物业服务中心</w:t>
      </w:r>
      <w:r>
        <w:rPr>
          <w:rFonts w:hint="eastAsia" w:eastAsia="楷体"/>
          <w:sz w:val="30"/>
          <w:szCs w:val="30"/>
          <w:highlight w:val="none"/>
          <w:lang w:val="en-US" w:eastAsia="zh-CN"/>
        </w:rPr>
        <w:t>2021年度无需公开项目支出绩效自评结果。</w:t>
      </w:r>
    </w:p>
    <w:p>
      <w:pPr>
        <w:pStyle w:val="4"/>
        <w:spacing w:before="0" w:after="0" w:line="600" w:lineRule="exact"/>
        <w:ind w:firstLine="600" w:firstLineChars="200"/>
        <w:rPr>
          <w:rFonts w:ascii="Times New Roman" w:hAnsi="Times New Roman" w:eastAsia="黑体"/>
          <w:b w:val="0"/>
          <w:sz w:val="30"/>
          <w:szCs w:val="30"/>
        </w:rPr>
      </w:pPr>
      <w:r>
        <w:rPr>
          <w:rFonts w:hint="eastAsia" w:ascii="Times New Roman" w:hAnsi="Times New Roman" w:eastAsia="黑体"/>
          <w:b w:val="0"/>
          <w:sz w:val="30"/>
          <w:szCs w:val="30"/>
        </w:rPr>
        <w:t>十</w:t>
      </w:r>
      <w:r>
        <w:rPr>
          <w:rFonts w:hint="eastAsia" w:ascii="Times New Roman" w:hAnsi="Times New Roman" w:eastAsia="黑体"/>
          <w:b w:val="0"/>
          <w:sz w:val="30"/>
          <w:szCs w:val="30"/>
          <w:lang w:eastAsia="zh-CN"/>
        </w:rPr>
        <w:t>四</w:t>
      </w:r>
      <w:r>
        <w:rPr>
          <w:rFonts w:hint="eastAsia" w:ascii="Times New Roman" w:hAnsi="Times New Roman" w:eastAsia="黑体"/>
          <w:b w:val="0"/>
          <w:sz w:val="30"/>
          <w:szCs w:val="30"/>
        </w:rPr>
        <w:t>、</w:t>
      </w:r>
      <w:r>
        <w:rPr>
          <w:rFonts w:ascii="Times New Roman" w:hAnsi="Times New Roman" w:eastAsia="黑体"/>
          <w:b w:val="0"/>
          <w:sz w:val="30"/>
          <w:szCs w:val="30"/>
        </w:rPr>
        <w:t>教育、医疗卫生、社会保障和就业、住房保障、涉农补贴等民生支出情况</w:t>
      </w:r>
      <w:bookmarkEnd w:id="30"/>
      <w:r>
        <w:rPr>
          <w:rFonts w:hint="eastAsia" w:ascii="黑体" w:hAnsi="黑体" w:eastAsia="黑体"/>
          <w:b w:val="0"/>
          <w:bCs w:val="0"/>
          <w:sz w:val="30"/>
          <w:szCs w:val="30"/>
          <w:lang w:eastAsia="zh-CN"/>
        </w:rPr>
        <w:t>说明</w:t>
      </w:r>
    </w:p>
    <w:p>
      <w:pPr>
        <w:spacing w:line="600" w:lineRule="exact"/>
        <w:ind w:firstLine="645"/>
        <w:rPr>
          <w:rFonts w:hint="eastAsia" w:ascii="Times New Roman" w:hAnsi="Times New Roman" w:eastAsia="仿宋_GB2312" w:cs="仿宋_GB2312"/>
          <w:sz w:val="30"/>
          <w:szCs w:val="30"/>
          <w:lang w:val="en-US" w:eastAsia="zh-CN"/>
        </w:rPr>
        <w:sectPr>
          <w:pgSz w:w="11906" w:h="16838"/>
          <w:pgMar w:top="1440" w:right="1800" w:bottom="1440" w:left="1800" w:header="851" w:footer="992" w:gutter="0"/>
          <w:pgNumType w:fmt="decimal"/>
          <w:cols w:space="720" w:num="1"/>
          <w:docGrid w:type="lines" w:linePitch="312" w:charSpace="0"/>
        </w:sectPr>
      </w:pPr>
      <w:r>
        <w:rPr>
          <w:rFonts w:hint="eastAsia" w:ascii="Times New Roman" w:hAnsi="Times New Roman" w:eastAsia="仿宋_GB2312" w:cs="仿宋_GB2312"/>
          <w:sz w:val="30"/>
          <w:szCs w:val="30"/>
          <w:lang w:val="en-US" w:eastAsia="zh-CN"/>
        </w:rPr>
        <w:t>天津市津南区物业服务中心2021年度无教育、医疗卫生、社会保障和就业、住房保障、涉农补贴等民生支出情况。</w:t>
      </w:r>
      <w:bookmarkStart w:id="31" w:name="_Toc18688"/>
    </w:p>
    <w:p>
      <w:pPr>
        <w:spacing w:line="600" w:lineRule="exact"/>
        <w:ind w:firstLine="645"/>
        <w:rPr>
          <w:rFonts w:hint="eastAsia" w:ascii="Times New Roman" w:hAnsi="Times New Roman" w:eastAsia="仿宋_GB2312" w:cs="仿宋_GB2312"/>
          <w:sz w:val="30"/>
          <w:szCs w:val="30"/>
          <w:lang w:val="en-US" w:eastAsia="zh-CN"/>
        </w:rPr>
      </w:pPr>
    </w:p>
    <w:p>
      <w:pPr>
        <w:pStyle w:val="3"/>
        <w:spacing w:before="0" w:after="0" w:line="600" w:lineRule="exact"/>
        <w:jc w:val="center"/>
        <w:rPr>
          <w:rFonts w:hint="eastAsia" w:ascii="方正小标宋简体" w:hAnsi="方正小标宋简体" w:eastAsia="方正小标宋简体" w:cs="方正小标宋简体"/>
          <w:b w:val="0"/>
          <w:sz w:val="44"/>
          <w:szCs w:val="44"/>
        </w:rPr>
      </w:pPr>
      <w:r>
        <w:rPr>
          <w:rFonts w:hint="eastAsia" w:ascii="方正小标宋简体" w:hAnsi="方正小标宋简体" w:eastAsia="方正小标宋简体" w:cs="方正小标宋简体"/>
          <w:b w:val="0"/>
          <w:sz w:val="44"/>
          <w:szCs w:val="44"/>
        </w:rPr>
        <w:t>第四部分  名词解释</w:t>
      </w:r>
      <w:bookmarkEnd w:id="31"/>
    </w:p>
    <w:p>
      <w:pPr>
        <w:spacing w:line="600" w:lineRule="exact"/>
        <w:ind w:firstLine="600" w:firstLineChars="200"/>
        <w:rPr>
          <w:rFonts w:hint="eastAsia" w:ascii="仿宋_GB2312" w:eastAsia="仿宋_GB2312"/>
          <w:sz w:val="30"/>
          <w:szCs w:val="30"/>
        </w:rPr>
      </w:pPr>
    </w:p>
    <w:p>
      <w:pPr>
        <w:numPr>
          <w:ilvl w:val="0"/>
          <w:numId w:val="3"/>
        </w:numPr>
        <w:spacing w:line="600" w:lineRule="exact"/>
        <w:ind w:firstLine="600" w:firstLineChars="200"/>
        <w:rPr>
          <w:rFonts w:hint="eastAsia" w:eastAsia="仿宋_GB2312"/>
          <w:sz w:val="30"/>
          <w:szCs w:val="30"/>
        </w:rPr>
      </w:pPr>
      <w:r>
        <w:rPr>
          <w:rFonts w:hint="eastAsia" w:eastAsia="仿宋_GB2312"/>
          <w:sz w:val="30"/>
          <w:szCs w:val="30"/>
        </w:rPr>
        <w:t>部门决算。是指各部门依据国家有关法律法规规定及其履行职能情况编制，反映部门所有预算收支和结余执行结果及绩效等情况的综合性年度报告，是改进部门预算执行以及编制后续年度部门预算的参考和依据。</w:t>
      </w:r>
    </w:p>
    <w:p>
      <w:pPr>
        <w:spacing w:line="600" w:lineRule="exact"/>
        <w:ind w:firstLine="600" w:firstLineChars="200"/>
        <w:rPr>
          <w:rFonts w:hint="eastAsia" w:eastAsia="仿宋_GB2312"/>
          <w:sz w:val="30"/>
          <w:szCs w:val="30"/>
        </w:rPr>
      </w:pPr>
      <w:r>
        <w:rPr>
          <w:rFonts w:hint="eastAsia" w:eastAsia="仿宋_GB2312"/>
          <w:sz w:val="30"/>
          <w:szCs w:val="30"/>
        </w:rPr>
        <w:t>2.机关运行经费。反映为保障行政单位（含参照公务员管理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spacing w:line="600" w:lineRule="exact"/>
        <w:ind w:firstLine="600" w:firstLineChars="200"/>
        <w:rPr>
          <w:rFonts w:hint="eastAsia" w:eastAsia="仿宋_GB2312"/>
          <w:sz w:val="30"/>
          <w:szCs w:val="30"/>
        </w:rPr>
      </w:pPr>
      <w:r>
        <w:rPr>
          <w:rFonts w:hint="eastAsia" w:eastAsia="仿宋_GB2312"/>
          <w:sz w:val="30"/>
          <w:szCs w:val="30"/>
        </w:rPr>
        <w:t>3.“三公”经费。是指各部门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燃料费、维修费、过桥过路费、保险费、安全奖励费用等支出；公务接待费反映单位按规定开支的各类公务接待（含外宾接待）支出。</w:t>
      </w:r>
    </w:p>
    <w:p>
      <w:pPr>
        <w:spacing w:line="600" w:lineRule="exact"/>
        <w:ind w:firstLine="600" w:firstLineChars="200"/>
        <w:rPr>
          <w:rFonts w:hint="eastAsia" w:eastAsia="仿宋_GB2312"/>
          <w:sz w:val="30"/>
          <w:szCs w:val="30"/>
          <w:highlight w:val="yellow"/>
        </w:rPr>
      </w:pPr>
    </w:p>
    <w:sectPr>
      <w:pgSz w:w="11906" w:h="16838"/>
      <w:pgMar w:top="1440" w:right="1800" w:bottom="1440" w:left="1800" w:header="851" w:footer="992" w:gutter="0"/>
      <w:pgNumType w:fmt="decimal"/>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方正小标宋简体">
    <w:panose1 w:val="02000000000000000000"/>
    <w:charset w:val="86"/>
    <w:family w:val="auto"/>
    <w:pitch w:val="default"/>
    <w:sig w:usb0="A00002BF" w:usb1="184F6CFA"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2</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2632075</wp:posOffset>
              </wp:positionH>
              <wp:positionV relativeFrom="paragraph">
                <wp:posOffset>0</wp:posOffset>
              </wp:positionV>
              <wp:extent cx="1828800" cy="1828800"/>
              <wp:effectExtent l="0" t="0" r="0" b="0"/>
              <wp:wrapNone/>
              <wp:docPr id="1"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pPr>
                            <w:snapToGrid w:val="0"/>
                            <w:rPr>
                              <w:rFonts w:hint="eastAsia" w:eastAsia="宋体"/>
                              <w:szCs w:val="24"/>
                              <w:lang w:eastAsia="zh-CN"/>
                            </w:rPr>
                          </w:pPr>
                        </w:p>
                      </w:txbxContent>
                    </wps:txbx>
                    <wps:bodyPr wrap="none" lIns="0" tIns="0" rIns="0" bIns="0" upright="0">
                      <a:spAutoFit/>
                    </wps:bodyPr>
                  </wps:wsp>
                </a:graphicData>
              </a:graphic>
            </wp:anchor>
          </w:drawing>
        </mc:Choice>
        <mc:Fallback>
          <w:pict>
            <v:shape id="文本框 6" o:spid="_x0000_s1026" o:spt="202" type="#_x0000_t202" style="position:absolute;left:0pt;margin-left:207.25pt;margin-top:0pt;height:144pt;width:144pt;mso-position-horizontal-relative:margin;mso-wrap-style:none;z-index:251659264;mso-width-relative:page;mso-height-relative:page;" filled="f" stroked="f" coordsize="21600,21600" o:gfxdata="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">
              <v:fill on="f" focussize="0,0"/>
              <v:stroke on="f" weight="1.25pt"/>
              <v:imagedata o:title=""/>
              <o:lock v:ext="edit" aspectratio="f"/>
              <v:textbox inset="0mm,0mm,0mm,0mm" style="mso-fit-shape-to-text:t;">
                <w:txbxContent>
                  <w:p>
                    <w:pPr>
                      <w:snapToGrid w:val="0"/>
                      <w:rPr>
                        <w:rFonts w:hint="eastAsia" w:eastAsia="宋体"/>
                        <w:szCs w:val="24"/>
                        <w:lang w:eastAsia="zh-CN"/>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F85A04"/>
    <w:multiLevelType w:val="singleLevel"/>
    <w:tmpl w:val="5EF85A04"/>
    <w:lvl w:ilvl="0" w:tentative="0">
      <w:start w:val="1"/>
      <w:numFmt w:val="decimal"/>
      <w:suff w:val="nothing"/>
      <w:lvlText w:val="%1."/>
      <w:lvlJc w:val="left"/>
    </w:lvl>
  </w:abstractNum>
  <w:abstractNum w:abstractNumId="1">
    <w:nsid w:val="62CB79B7"/>
    <w:multiLevelType w:val="singleLevel"/>
    <w:tmpl w:val="62CB79B7"/>
    <w:lvl w:ilvl="0" w:tentative="0">
      <w:start w:val="3"/>
      <w:numFmt w:val="chineseCounting"/>
      <w:suff w:val="nothing"/>
      <w:lvlText w:val="（%1）"/>
      <w:lvlJc w:val="left"/>
    </w:lvl>
  </w:abstractNum>
  <w:abstractNum w:abstractNumId="2">
    <w:nsid w:val="62CB88B4"/>
    <w:multiLevelType w:val="singleLevel"/>
    <w:tmpl w:val="62CB88B4"/>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FhNDk5Y2Y2ZTlkZTE5ZjBhZWM3OTdjOTE5NTc5ZjAifQ=="/>
  </w:docVars>
  <w:rsids>
    <w:rsidRoot w:val="11D802DB"/>
    <w:rsid w:val="00015911"/>
    <w:rsid w:val="00046E1C"/>
    <w:rsid w:val="00053901"/>
    <w:rsid w:val="000864BF"/>
    <w:rsid w:val="00092AB8"/>
    <w:rsid w:val="000B4E39"/>
    <w:rsid w:val="00112C55"/>
    <w:rsid w:val="001179AF"/>
    <w:rsid w:val="0012059C"/>
    <w:rsid w:val="00124993"/>
    <w:rsid w:val="0012531C"/>
    <w:rsid w:val="00126E2D"/>
    <w:rsid w:val="001829A0"/>
    <w:rsid w:val="00186ED8"/>
    <w:rsid w:val="001F61CD"/>
    <w:rsid w:val="00241712"/>
    <w:rsid w:val="002532F7"/>
    <w:rsid w:val="002566ED"/>
    <w:rsid w:val="00257643"/>
    <w:rsid w:val="002912A7"/>
    <w:rsid w:val="002D2BBE"/>
    <w:rsid w:val="002E091E"/>
    <w:rsid w:val="002F00A9"/>
    <w:rsid w:val="003365DD"/>
    <w:rsid w:val="003714D5"/>
    <w:rsid w:val="00381206"/>
    <w:rsid w:val="0038216E"/>
    <w:rsid w:val="003942CD"/>
    <w:rsid w:val="003A4529"/>
    <w:rsid w:val="004040D1"/>
    <w:rsid w:val="00432D37"/>
    <w:rsid w:val="00464079"/>
    <w:rsid w:val="00465602"/>
    <w:rsid w:val="004918AD"/>
    <w:rsid w:val="004A1361"/>
    <w:rsid w:val="0050332F"/>
    <w:rsid w:val="00532C4C"/>
    <w:rsid w:val="00570354"/>
    <w:rsid w:val="005B60DB"/>
    <w:rsid w:val="005C22AF"/>
    <w:rsid w:val="005F2510"/>
    <w:rsid w:val="00676A5E"/>
    <w:rsid w:val="006A54BF"/>
    <w:rsid w:val="006D05B2"/>
    <w:rsid w:val="00727434"/>
    <w:rsid w:val="00734D29"/>
    <w:rsid w:val="0077787E"/>
    <w:rsid w:val="0079348B"/>
    <w:rsid w:val="007A3491"/>
    <w:rsid w:val="007B4B58"/>
    <w:rsid w:val="007F3679"/>
    <w:rsid w:val="007F448B"/>
    <w:rsid w:val="007F718E"/>
    <w:rsid w:val="00801B2B"/>
    <w:rsid w:val="00803B43"/>
    <w:rsid w:val="00817AE2"/>
    <w:rsid w:val="0085671E"/>
    <w:rsid w:val="00876FA4"/>
    <w:rsid w:val="00893EAC"/>
    <w:rsid w:val="008A6092"/>
    <w:rsid w:val="008C3474"/>
    <w:rsid w:val="008C677C"/>
    <w:rsid w:val="008D2605"/>
    <w:rsid w:val="008D64CE"/>
    <w:rsid w:val="009142B8"/>
    <w:rsid w:val="00915276"/>
    <w:rsid w:val="00936468"/>
    <w:rsid w:val="009371C3"/>
    <w:rsid w:val="0098387F"/>
    <w:rsid w:val="009E0EF5"/>
    <w:rsid w:val="009E5A61"/>
    <w:rsid w:val="009F18E1"/>
    <w:rsid w:val="009F712F"/>
    <w:rsid w:val="00A12C57"/>
    <w:rsid w:val="00A557F8"/>
    <w:rsid w:val="00AA676A"/>
    <w:rsid w:val="00B13870"/>
    <w:rsid w:val="00B14558"/>
    <w:rsid w:val="00B17258"/>
    <w:rsid w:val="00B210F5"/>
    <w:rsid w:val="00B53416"/>
    <w:rsid w:val="00B807AE"/>
    <w:rsid w:val="00BA3182"/>
    <w:rsid w:val="00BB0047"/>
    <w:rsid w:val="00BB051A"/>
    <w:rsid w:val="00BD343E"/>
    <w:rsid w:val="00BE682B"/>
    <w:rsid w:val="00C0672E"/>
    <w:rsid w:val="00C33362"/>
    <w:rsid w:val="00C47864"/>
    <w:rsid w:val="00C528B3"/>
    <w:rsid w:val="00C52B2B"/>
    <w:rsid w:val="00C53602"/>
    <w:rsid w:val="00C77332"/>
    <w:rsid w:val="00C83F29"/>
    <w:rsid w:val="00CA5CD5"/>
    <w:rsid w:val="00CE4C80"/>
    <w:rsid w:val="00CE7A0E"/>
    <w:rsid w:val="00CF0671"/>
    <w:rsid w:val="00CF4ADE"/>
    <w:rsid w:val="00D20562"/>
    <w:rsid w:val="00D56FBF"/>
    <w:rsid w:val="00DA3A83"/>
    <w:rsid w:val="00DB0D2B"/>
    <w:rsid w:val="00DC0D31"/>
    <w:rsid w:val="00E21DD7"/>
    <w:rsid w:val="00E4337C"/>
    <w:rsid w:val="00E56EBF"/>
    <w:rsid w:val="00E56F06"/>
    <w:rsid w:val="00E576CC"/>
    <w:rsid w:val="00E8795B"/>
    <w:rsid w:val="00EB277E"/>
    <w:rsid w:val="00EB7B3B"/>
    <w:rsid w:val="00F14DB8"/>
    <w:rsid w:val="00F3454D"/>
    <w:rsid w:val="00F3737B"/>
    <w:rsid w:val="00F6315A"/>
    <w:rsid w:val="00FF6CDB"/>
    <w:rsid w:val="01582EB3"/>
    <w:rsid w:val="021D09AE"/>
    <w:rsid w:val="02317CA1"/>
    <w:rsid w:val="02C26D17"/>
    <w:rsid w:val="032B2B72"/>
    <w:rsid w:val="03633F1C"/>
    <w:rsid w:val="03877CF5"/>
    <w:rsid w:val="03971CD2"/>
    <w:rsid w:val="03A73B20"/>
    <w:rsid w:val="04DA6E85"/>
    <w:rsid w:val="054E0E8D"/>
    <w:rsid w:val="059D199E"/>
    <w:rsid w:val="065A73D7"/>
    <w:rsid w:val="068D56CD"/>
    <w:rsid w:val="068F1656"/>
    <w:rsid w:val="06AF696F"/>
    <w:rsid w:val="06CE3C39"/>
    <w:rsid w:val="070745F4"/>
    <w:rsid w:val="0750320D"/>
    <w:rsid w:val="07AC189B"/>
    <w:rsid w:val="080C427F"/>
    <w:rsid w:val="082A228F"/>
    <w:rsid w:val="08496DC5"/>
    <w:rsid w:val="08601190"/>
    <w:rsid w:val="08610C17"/>
    <w:rsid w:val="08AB76E6"/>
    <w:rsid w:val="08B17C7F"/>
    <w:rsid w:val="09794F69"/>
    <w:rsid w:val="09BC7107"/>
    <w:rsid w:val="09C86481"/>
    <w:rsid w:val="09CD6F6A"/>
    <w:rsid w:val="0ABD2EA9"/>
    <w:rsid w:val="0AF02B7A"/>
    <w:rsid w:val="0B0C0657"/>
    <w:rsid w:val="0B2F7E6E"/>
    <w:rsid w:val="0B7057C8"/>
    <w:rsid w:val="0BF51CAC"/>
    <w:rsid w:val="0C327E5C"/>
    <w:rsid w:val="0D66464C"/>
    <w:rsid w:val="0DCA24E7"/>
    <w:rsid w:val="0E1905E8"/>
    <w:rsid w:val="0E6B081A"/>
    <w:rsid w:val="0E812A35"/>
    <w:rsid w:val="0F3A7BBE"/>
    <w:rsid w:val="0FB146BC"/>
    <w:rsid w:val="10557D85"/>
    <w:rsid w:val="10D0376E"/>
    <w:rsid w:val="11D75F2F"/>
    <w:rsid w:val="11D802DB"/>
    <w:rsid w:val="121401BA"/>
    <w:rsid w:val="122B009F"/>
    <w:rsid w:val="135D03D9"/>
    <w:rsid w:val="13A17616"/>
    <w:rsid w:val="149264E6"/>
    <w:rsid w:val="14D34118"/>
    <w:rsid w:val="14F31DE2"/>
    <w:rsid w:val="15127621"/>
    <w:rsid w:val="156A2C3E"/>
    <w:rsid w:val="157A3189"/>
    <w:rsid w:val="15E37C52"/>
    <w:rsid w:val="169221B4"/>
    <w:rsid w:val="16EA0A1B"/>
    <w:rsid w:val="181D0AF6"/>
    <w:rsid w:val="18E12A26"/>
    <w:rsid w:val="1A2F34CF"/>
    <w:rsid w:val="1AB904EF"/>
    <w:rsid w:val="1B0B6786"/>
    <w:rsid w:val="1C2E1750"/>
    <w:rsid w:val="1C8A5079"/>
    <w:rsid w:val="1DA340AC"/>
    <w:rsid w:val="1E2F4E67"/>
    <w:rsid w:val="1E506972"/>
    <w:rsid w:val="1E652469"/>
    <w:rsid w:val="1E8146FC"/>
    <w:rsid w:val="1EC8639D"/>
    <w:rsid w:val="1EC97805"/>
    <w:rsid w:val="1EFB07B0"/>
    <w:rsid w:val="1F6101B7"/>
    <w:rsid w:val="1FABD71D"/>
    <w:rsid w:val="20505929"/>
    <w:rsid w:val="2093268B"/>
    <w:rsid w:val="228770CD"/>
    <w:rsid w:val="236906A5"/>
    <w:rsid w:val="23BA0D09"/>
    <w:rsid w:val="24BA0C0F"/>
    <w:rsid w:val="259F5563"/>
    <w:rsid w:val="25AD749C"/>
    <w:rsid w:val="25AE4162"/>
    <w:rsid w:val="261B2634"/>
    <w:rsid w:val="26872640"/>
    <w:rsid w:val="26C653DA"/>
    <w:rsid w:val="26DF31AA"/>
    <w:rsid w:val="26EC5D21"/>
    <w:rsid w:val="27A13E6E"/>
    <w:rsid w:val="286034B8"/>
    <w:rsid w:val="28863E70"/>
    <w:rsid w:val="28994B2A"/>
    <w:rsid w:val="28CD1B01"/>
    <w:rsid w:val="290441D9"/>
    <w:rsid w:val="292E4395"/>
    <w:rsid w:val="29867FF5"/>
    <w:rsid w:val="29A35B39"/>
    <w:rsid w:val="29D72E63"/>
    <w:rsid w:val="29F01BC9"/>
    <w:rsid w:val="2A1248CB"/>
    <w:rsid w:val="2A24302B"/>
    <w:rsid w:val="2A7456B8"/>
    <w:rsid w:val="2BDE345F"/>
    <w:rsid w:val="2CB024EC"/>
    <w:rsid w:val="2D2B1A30"/>
    <w:rsid w:val="2D5BB7F4"/>
    <w:rsid w:val="2DA87FE3"/>
    <w:rsid w:val="2DAB1C1C"/>
    <w:rsid w:val="2DFD2D30"/>
    <w:rsid w:val="2E6455AA"/>
    <w:rsid w:val="2E6E5875"/>
    <w:rsid w:val="2E8231D4"/>
    <w:rsid w:val="2EAA1E45"/>
    <w:rsid w:val="2EBA2F30"/>
    <w:rsid w:val="2F8573F4"/>
    <w:rsid w:val="2FFD4B55"/>
    <w:rsid w:val="31647FEC"/>
    <w:rsid w:val="31F32BCC"/>
    <w:rsid w:val="322D5537"/>
    <w:rsid w:val="32500429"/>
    <w:rsid w:val="329120FA"/>
    <w:rsid w:val="32B00783"/>
    <w:rsid w:val="33987EA4"/>
    <w:rsid w:val="33E55770"/>
    <w:rsid w:val="34091C64"/>
    <w:rsid w:val="34E404B6"/>
    <w:rsid w:val="353874A5"/>
    <w:rsid w:val="356C4B0F"/>
    <w:rsid w:val="357756D0"/>
    <w:rsid w:val="35CF63ED"/>
    <w:rsid w:val="35F83418"/>
    <w:rsid w:val="36433E0B"/>
    <w:rsid w:val="3685618C"/>
    <w:rsid w:val="36DF7E92"/>
    <w:rsid w:val="37210A48"/>
    <w:rsid w:val="37C605ED"/>
    <w:rsid w:val="37EC07D4"/>
    <w:rsid w:val="39054161"/>
    <w:rsid w:val="395157DA"/>
    <w:rsid w:val="39D81DB4"/>
    <w:rsid w:val="39DD1F63"/>
    <w:rsid w:val="3A875795"/>
    <w:rsid w:val="3B3A6848"/>
    <w:rsid w:val="3C7702D9"/>
    <w:rsid w:val="3C822FFF"/>
    <w:rsid w:val="3C987755"/>
    <w:rsid w:val="3D1712DB"/>
    <w:rsid w:val="3D6E4CFB"/>
    <w:rsid w:val="3DB948D9"/>
    <w:rsid w:val="3DED19CC"/>
    <w:rsid w:val="3E551C1D"/>
    <w:rsid w:val="3EAA16DD"/>
    <w:rsid w:val="3EE7006C"/>
    <w:rsid w:val="3F043070"/>
    <w:rsid w:val="3F397145"/>
    <w:rsid w:val="419141BF"/>
    <w:rsid w:val="41C515FE"/>
    <w:rsid w:val="436E1D48"/>
    <w:rsid w:val="44FC0AD9"/>
    <w:rsid w:val="464311BD"/>
    <w:rsid w:val="46762869"/>
    <w:rsid w:val="46800ECA"/>
    <w:rsid w:val="46D65DFF"/>
    <w:rsid w:val="46ED43C8"/>
    <w:rsid w:val="47655748"/>
    <w:rsid w:val="48CD0FB1"/>
    <w:rsid w:val="48E65506"/>
    <w:rsid w:val="495C5AA2"/>
    <w:rsid w:val="49A95325"/>
    <w:rsid w:val="49C60D15"/>
    <w:rsid w:val="4C72500A"/>
    <w:rsid w:val="4E470451"/>
    <w:rsid w:val="4E5A4E46"/>
    <w:rsid w:val="4E776E4B"/>
    <w:rsid w:val="4EBE5040"/>
    <w:rsid w:val="4EC635D4"/>
    <w:rsid w:val="4EF42DDE"/>
    <w:rsid w:val="4F021DFD"/>
    <w:rsid w:val="4FA93361"/>
    <w:rsid w:val="50491464"/>
    <w:rsid w:val="50EB4351"/>
    <w:rsid w:val="516E5D30"/>
    <w:rsid w:val="519A61B8"/>
    <w:rsid w:val="529328AD"/>
    <w:rsid w:val="52A26688"/>
    <w:rsid w:val="52C3106D"/>
    <w:rsid w:val="532D1C0A"/>
    <w:rsid w:val="54D72BF4"/>
    <w:rsid w:val="54EC4449"/>
    <w:rsid w:val="54F6709D"/>
    <w:rsid w:val="56F540E8"/>
    <w:rsid w:val="574477F3"/>
    <w:rsid w:val="57814C22"/>
    <w:rsid w:val="579303E0"/>
    <w:rsid w:val="57BD125F"/>
    <w:rsid w:val="59005937"/>
    <w:rsid w:val="596D5572"/>
    <w:rsid w:val="5A106A61"/>
    <w:rsid w:val="5B012DD6"/>
    <w:rsid w:val="5B4A303E"/>
    <w:rsid w:val="5B867F38"/>
    <w:rsid w:val="5B8904A5"/>
    <w:rsid w:val="5BBF1EDC"/>
    <w:rsid w:val="5C0D5EDF"/>
    <w:rsid w:val="5CCB520D"/>
    <w:rsid w:val="5CDE5F6B"/>
    <w:rsid w:val="5CE729B2"/>
    <w:rsid w:val="5D072615"/>
    <w:rsid w:val="5D820B03"/>
    <w:rsid w:val="5DDC291B"/>
    <w:rsid w:val="5DE919D2"/>
    <w:rsid w:val="5DE96BF2"/>
    <w:rsid w:val="5E3B56D9"/>
    <w:rsid w:val="5E7F01AB"/>
    <w:rsid w:val="5E910416"/>
    <w:rsid w:val="5FC652D8"/>
    <w:rsid w:val="6043407E"/>
    <w:rsid w:val="60537C99"/>
    <w:rsid w:val="605F74B4"/>
    <w:rsid w:val="607B68FE"/>
    <w:rsid w:val="617007B5"/>
    <w:rsid w:val="618243B1"/>
    <w:rsid w:val="61E56E86"/>
    <w:rsid w:val="621870FC"/>
    <w:rsid w:val="622C2A35"/>
    <w:rsid w:val="62DA2A3D"/>
    <w:rsid w:val="637B3A8F"/>
    <w:rsid w:val="63967323"/>
    <w:rsid w:val="65737FA2"/>
    <w:rsid w:val="65D920E1"/>
    <w:rsid w:val="65D9655D"/>
    <w:rsid w:val="6656630C"/>
    <w:rsid w:val="66EC0C69"/>
    <w:rsid w:val="6791428C"/>
    <w:rsid w:val="67AD24B8"/>
    <w:rsid w:val="67F5DAB5"/>
    <w:rsid w:val="68261741"/>
    <w:rsid w:val="693E2FAD"/>
    <w:rsid w:val="698062FC"/>
    <w:rsid w:val="69BD5EE8"/>
    <w:rsid w:val="6ABD46BF"/>
    <w:rsid w:val="6AF730BD"/>
    <w:rsid w:val="6B526288"/>
    <w:rsid w:val="6B617BE2"/>
    <w:rsid w:val="6BA66029"/>
    <w:rsid w:val="6DDD5EBF"/>
    <w:rsid w:val="6E2E2D6D"/>
    <w:rsid w:val="6E460B96"/>
    <w:rsid w:val="6EA82131"/>
    <w:rsid w:val="6F046708"/>
    <w:rsid w:val="6F5D5CEF"/>
    <w:rsid w:val="6FB410D2"/>
    <w:rsid w:val="6FC54BEF"/>
    <w:rsid w:val="706921FA"/>
    <w:rsid w:val="70B22C23"/>
    <w:rsid w:val="71411B5D"/>
    <w:rsid w:val="719931E1"/>
    <w:rsid w:val="7240055A"/>
    <w:rsid w:val="728E0BA0"/>
    <w:rsid w:val="736064A7"/>
    <w:rsid w:val="73F71039"/>
    <w:rsid w:val="73F91498"/>
    <w:rsid w:val="74D975E2"/>
    <w:rsid w:val="74EE3AC7"/>
    <w:rsid w:val="756B7D6A"/>
    <w:rsid w:val="759455DB"/>
    <w:rsid w:val="75D160D9"/>
    <w:rsid w:val="762914BB"/>
    <w:rsid w:val="763074E0"/>
    <w:rsid w:val="773A73AB"/>
    <w:rsid w:val="775767BB"/>
    <w:rsid w:val="7779068F"/>
    <w:rsid w:val="77B92148"/>
    <w:rsid w:val="77FFE39F"/>
    <w:rsid w:val="781B1736"/>
    <w:rsid w:val="78F051A8"/>
    <w:rsid w:val="79EF18A6"/>
    <w:rsid w:val="7A903B21"/>
    <w:rsid w:val="7CF2196B"/>
    <w:rsid w:val="7D2E7430"/>
    <w:rsid w:val="7D9A013D"/>
    <w:rsid w:val="7E9160CF"/>
    <w:rsid w:val="7FDC2489"/>
    <w:rsid w:val="7FFDEEFD"/>
    <w:rsid w:val="D74FDF30"/>
    <w:rsid w:val="DEAEE68D"/>
    <w:rsid w:val="F7F97754"/>
    <w:rsid w:val="FB7FC3E7"/>
    <w:rsid w:val="FF39CB78"/>
    <w:rsid w:val="FF3F61B6"/>
    <w:rsid w:val="FFC7ECE8"/>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360" w:lineRule="atLeast"/>
      <w:textAlignment w:val="baseline"/>
    </w:pPr>
    <w:rPr>
      <w:rFonts w:ascii="Times New Roman" w:hAnsi="Times New Roman" w:eastAsia="宋体" w:cs="Times New Roman"/>
      <w:sz w:val="24"/>
      <w:lang w:val="en-US" w:eastAsia="zh-CN" w:bidi="ar-SA"/>
    </w:rPr>
  </w:style>
  <w:style w:type="paragraph" w:styleId="3">
    <w:name w:val="heading 1"/>
    <w:basedOn w:val="1"/>
    <w:next w:val="1"/>
    <w:link w:val="14"/>
    <w:qFormat/>
    <w:uiPriority w:val="9"/>
    <w:pPr>
      <w:keepNext/>
      <w:keepLines/>
      <w:spacing w:before="340" w:after="330" w:line="578" w:lineRule="atLeast"/>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tLeast"/>
      <w:outlineLvl w:val="1"/>
    </w:pPr>
    <w:rPr>
      <w:rFonts w:ascii="Cambria" w:hAnsi="Cambria" w:eastAsia="宋体" w:cs="Times New Roman"/>
      <w:b/>
      <w:bCs/>
      <w:sz w:val="32"/>
      <w:szCs w:val="32"/>
    </w:rPr>
  </w:style>
  <w:style w:type="paragraph" w:styleId="5">
    <w:name w:val="heading 3"/>
    <w:basedOn w:val="1"/>
    <w:next w:val="1"/>
    <w:link w:val="16"/>
    <w:unhideWhenUsed/>
    <w:qFormat/>
    <w:uiPriority w:val="9"/>
    <w:pPr>
      <w:keepNext/>
      <w:keepLines/>
      <w:spacing w:before="260" w:after="260" w:line="416" w:lineRule="atLeast"/>
      <w:outlineLvl w:val="2"/>
    </w:pPr>
    <w:rPr>
      <w:b/>
      <w:bCs/>
      <w:sz w:val="32"/>
      <w:szCs w:val="32"/>
    </w:rPr>
  </w:style>
  <w:style w:type="character" w:default="1" w:styleId="12">
    <w:name w:val="Default Paragraph Font"/>
    <w:unhideWhenUsed/>
    <w:qFormat/>
    <w:uiPriority w:val="0"/>
  </w:style>
  <w:style w:type="table" w:default="1" w:styleId="1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CellMar>
        <w:top w:w="0" w:type="dxa"/>
        <w:left w:w="108" w:type="dxa"/>
        <w:bottom w:w="0" w:type="dxa"/>
        <w:right w:w="108" w:type="dxa"/>
      </w:tblCellMar>
    </w:tblPr>
  </w:style>
  <w:style w:type="paragraph" w:styleId="2">
    <w:name w:val="footer"/>
    <w:basedOn w:val="1"/>
    <w:link w:val="18"/>
    <w:unhideWhenUsed/>
    <w:qFormat/>
    <w:uiPriority w:val="0"/>
    <w:pPr>
      <w:tabs>
        <w:tab w:val="center" w:pos="4153"/>
        <w:tab w:val="right" w:pos="8306"/>
      </w:tabs>
      <w:snapToGrid w:val="0"/>
      <w:spacing w:line="240" w:lineRule="atLeast"/>
    </w:pPr>
    <w:rPr>
      <w:sz w:val="18"/>
      <w:szCs w:val="18"/>
    </w:rPr>
  </w:style>
  <w:style w:type="paragraph" w:styleId="6">
    <w:name w:val="toc 3"/>
    <w:basedOn w:val="1"/>
    <w:next w:val="1"/>
    <w:unhideWhenUsed/>
    <w:qFormat/>
    <w:uiPriority w:val="39"/>
    <w:pPr>
      <w:widowControl/>
      <w:adjustRightInd/>
      <w:spacing w:after="100" w:line="276" w:lineRule="auto"/>
      <w:ind w:left="440"/>
      <w:textAlignment w:val="auto"/>
    </w:pPr>
    <w:rPr>
      <w:rFonts w:ascii="Calibri" w:hAnsi="Calibri" w:eastAsia="宋体" w:cs="Times New Roman"/>
      <w:sz w:val="22"/>
      <w:szCs w:val="22"/>
    </w:rPr>
  </w:style>
  <w:style w:type="paragraph" w:styleId="7">
    <w:name w:val="Balloon Text"/>
    <w:basedOn w:val="1"/>
    <w:link w:val="17"/>
    <w:unhideWhenUsed/>
    <w:qFormat/>
    <w:uiPriority w:val="99"/>
    <w:pPr>
      <w:spacing w:line="240" w:lineRule="auto"/>
    </w:pPr>
    <w:rPr>
      <w:sz w:val="18"/>
      <w:szCs w:val="18"/>
    </w:rPr>
  </w:style>
  <w:style w:type="paragraph" w:styleId="8">
    <w:name w:val="header"/>
    <w:basedOn w:val="1"/>
    <w:link w:val="19"/>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toc 1"/>
    <w:basedOn w:val="1"/>
    <w:next w:val="1"/>
    <w:unhideWhenUsed/>
    <w:qFormat/>
    <w:uiPriority w:val="39"/>
    <w:pPr>
      <w:widowControl/>
      <w:tabs>
        <w:tab w:val="right" w:leader="dot" w:pos="8296"/>
      </w:tabs>
      <w:adjustRightInd/>
      <w:spacing w:after="100" w:line="276" w:lineRule="auto"/>
      <w:textAlignment w:val="auto"/>
    </w:pPr>
    <w:rPr>
      <w:rFonts w:ascii="黑体" w:hAnsi="黑体" w:eastAsia="黑体" w:cs="方正小标宋简体"/>
      <w:sz w:val="22"/>
      <w:szCs w:val="22"/>
    </w:rPr>
  </w:style>
  <w:style w:type="paragraph" w:styleId="10">
    <w:name w:val="toc 2"/>
    <w:basedOn w:val="1"/>
    <w:next w:val="1"/>
    <w:unhideWhenUsed/>
    <w:qFormat/>
    <w:uiPriority w:val="39"/>
    <w:pPr>
      <w:widowControl/>
      <w:adjustRightInd/>
      <w:spacing w:after="100" w:line="276" w:lineRule="auto"/>
      <w:ind w:left="220"/>
      <w:textAlignment w:val="auto"/>
    </w:pPr>
    <w:rPr>
      <w:rFonts w:ascii="Calibri" w:hAnsi="Calibri" w:eastAsia="宋体" w:cs="Times New Roman"/>
      <w:sz w:val="22"/>
      <w:szCs w:val="22"/>
    </w:rPr>
  </w:style>
  <w:style w:type="character" w:styleId="13">
    <w:name w:val="Hyperlink"/>
    <w:unhideWhenUsed/>
    <w:qFormat/>
    <w:uiPriority w:val="99"/>
    <w:rPr>
      <w:color w:val="0000FF"/>
      <w:u w:val="single"/>
    </w:rPr>
  </w:style>
  <w:style w:type="character" w:customStyle="1" w:styleId="14">
    <w:name w:val="标题 1 Char"/>
    <w:link w:val="3"/>
    <w:qFormat/>
    <w:uiPriority w:val="9"/>
    <w:rPr>
      <w:b/>
      <w:bCs/>
      <w:kern w:val="44"/>
      <w:sz w:val="44"/>
      <w:szCs w:val="44"/>
    </w:rPr>
  </w:style>
  <w:style w:type="character" w:customStyle="1" w:styleId="15">
    <w:name w:val="标题 2 Char"/>
    <w:link w:val="4"/>
    <w:semiHidden/>
    <w:qFormat/>
    <w:uiPriority w:val="9"/>
    <w:rPr>
      <w:rFonts w:ascii="Cambria" w:hAnsi="Cambria" w:eastAsia="宋体" w:cs="Times New Roman"/>
      <w:b/>
      <w:bCs/>
      <w:sz w:val="32"/>
      <w:szCs w:val="32"/>
    </w:rPr>
  </w:style>
  <w:style w:type="character" w:customStyle="1" w:styleId="16">
    <w:name w:val="标题 3 Char"/>
    <w:link w:val="5"/>
    <w:semiHidden/>
    <w:qFormat/>
    <w:uiPriority w:val="9"/>
    <w:rPr>
      <w:b/>
      <w:bCs/>
      <w:sz w:val="32"/>
      <w:szCs w:val="32"/>
    </w:rPr>
  </w:style>
  <w:style w:type="character" w:customStyle="1" w:styleId="17">
    <w:name w:val="批注框文本 Char"/>
    <w:link w:val="7"/>
    <w:semiHidden/>
    <w:qFormat/>
    <w:uiPriority w:val="99"/>
    <w:rPr>
      <w:sz w:val="18"/>
      <w:szCs w:val="18"/>
    </w:rPr>
  </w:style>
  <w:style w:type="character" w:customStyle="1" w:styleId="18">
    <w:name w:val="页脚 Char"/>
    <w:link w:val="2"/>
    <w:semiHidden/>
    <w:qFormat/>
    <w:uiPriority w:val="0"/>
    <w:rPr>
      <w:sz w:val="18"/>
      <w:szCs w:val="18"/>
    </w:rPr>
  </w:style>
  <w:style w:type="character" w:customStyle="1" w:styleId="19">
    <w:name w:val="页眉 Char"/>
    <w:link w:val="8"/>
    <w:semiHidden/>
    <w:qFormat/>
    <w:uiPriority w:val="0"/>
    <w:rPr>
      <w:sz w:val="18"/>
      <w:szCs w:val="18"/>
    </w:rPr>
  </w:style>
  <w:style w:type="paragraph" w:customStyle="1" w:styleId="20">
    <w:name w:val="TOC 标题"/>
    <w:basedOn w:val="3"/>
    <w:next w:val="1"/>
    <w:unhideWhenUsed/>
    <w:qFormat/>
    <w:uiPriority w:val="39"/>
    <w:pPr>
      <w:widowControl/>
      <w:adjustRightInd/>
      <w:spacing w:before="480" w:after="0" w:line="276" w:lineRule="auto"/>
      <w:textAlignment w:val="auto"/>
      <w:outlineLvl w:val="9"/>
    </w:pPr>
    <w:rPr>
      <w:rFonts w:ascii="Cambria" w:hAnsi="Cambria" w:eastAsia="宋体" w:cs="Times New Roman"/>
      <w:color w:val="365F91"/>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Microsoft</Company>
  <Pages>13</Pages>
  <Words>3917</Words>
  <Characters>4551</Characters>
  <Lines>60</Lines>
  <Paragraphs>16</Paragraphs>
  <TotalTime>8</TotalTime>
  <ScaleCrop>false</ScaleCrop>
  <LinksUpToDate>false</LinksUpToDate>
  <CharactersWithSpaces>4675</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2019-07-28T02:37:00Z</dcterms:created>
  <dc:creator>Administrator</dc:creator>
  <cp:lastModifiedBy>lenovo</cp:lastModifiedBy>
  <cp:lastPrinted>2022-07-15T16:53:00Z</cp:lastPrinted>
  <dcterms:modified xsi:type="dcterms:W3CDTF">2022-09-28T08:08:15Z</dcterms:modified>
  <dc:title>附件1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797AFC5B62604707B4045161FAE380F4</vt:lpwstr>
  </property>
</Properties>
</file>