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hint="default" w:ascii="黑体" w:hAnsi="黑体" w:eastAsia="黑体" w:cs="黑体"/>
          <w:w w:val="95"/>
          <w:sz w:val="32"/>
          <w:szCs w:val="32"/>
          <w:lang w:val="en"/>
        </w:rPr>
      </w:pPr>
      <w:r>
        <w:rPr>
          <w:rFonts w:hint="eastAsia" w:ascii="黑体" w:hAnsi="黑体" w:eastAsia="黑体" w:cs="黑体"/>
          <w:w w:val="95"/>
          <w:sz w:val="32"/>
          <w:szCs w:val="32"/>
          <w:lang w:val="en"/>
        </w:rPr>
        <w:t>附件</w:t>
      </w:r>
      <w:r>
        <w:rPr>
          <w:rFonts w:hint="default"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天津市津南区住房和建设委员会（本级）</w:t>
      </w:r>
    </w:p>
    <w:p>
      <w:pPr>
        <w:spacing w:line="240" w:lineRule="auto"/>
        <w:jc w:val="center"/>
        <w:rPr>
          <w:rFonts w:hint="eastAsia" w:ascii="方正小标宋简体" w:hAnsi="方正小标宋简体" w:eastAsia="方正小标宋简体" w:cs="方正小标宋简体"/>
          <w:sz w:val="48"/>
          <w:szCs w:val="48"/>
        </w:rPr>
        <w:sectPr>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2021年度部门决算</w:t>
      </w:r>
    </w:p>
    <w:p>
      <w:pPr>
        <w:spacing w:line="240" w:lineRule="auto"/>
        <w:jc w:val="both"/>
        <w:rPr>
          <w:rFonts w:hint="eastAsia" w:ascii="方正小标宋简体" w:hAnsi="方正小标宋简体" w:eastAsia="方正小标宋简体" w:cs="方正小标宋简体"/>
          <w:sz w:val="48"/>
          <w:szCs w:val="48"/>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1</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第二部分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年度部门决算表</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2</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_Toc7181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_Toc7181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_Toc25187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_Toc25187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pgSz w:w="11906" w:h="16838"/>
          <w:pgMar w:top="1440" w:right="1800" w:bottom="1440" w:left="1800" w:header="851" w:footer="992" w:gutter="0"/>
          <w:pgNumType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第三部分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年度部门决算情况说明</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4</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_Toc27173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_Toc18682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hint="eastAsia" w:ascii="Times New Roman" w:hAnsi="Times New Roman" w:eastAsia="仿宋_GB2312"/>
          <w:sz w:val="30"/>
          <w:szCs w:val="30"/>
          <w:lang w:val="en-US"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0</w:t>
      </w:r>
    </w:p>
    <w:p>
      <w:pPr>
        <w:pStyle w:val="10"/>
        <w:tabs>
          <w:tab w:val="right" w:leader="dot" w:pos="8306"/>
        </w:tabs>
        <w:spacing w:after="0" w:line="700" w:lineRule="exact"/>
        <w:rPr>
          <w:rFonts w:hint="eastAsia" w:ascii="Times New Roman" w:hAnsi="Times New Roman" w:eastAsia="仿宋_GB2312"/>
          <w:sz w:val="30"/>
          <w:szCs w:val="30"/>
          <w:lang w:val="en-US"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0</w:t>
      </w:r>
    </w:p>
    <w:p>
      <w:pPr>
        <w:pStyle w:val="10"/>
        <w:tabs>
          <w:tab w:val="right" w:leader="dot" w:pos="8306"/>
        </w:tabs>
        <w:spacing w:after="0" w:line="700" w:lineRule="exact"/>
        <w:rPr>
          <w:rFonts w:hint="eastAsia" w:ascii="Times New Roman" w:hAnsi="Times New Roman" w:eastAsia="仿宋_GB2312"/>
          <w:sz w:val="30"/>
          <w:szCs w:val="30"/>
          <w:lang w:val="en-US"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0</w:t>
      </w:r>
    </w:p>
    <w:p>
      <w:pPr>
        <w:pStyle w:val="10"/>
        <w:tabs>
          <w:tab w:val="right" w:leader="dot" w:pos="8306"/>
        </w:tabs>
        <w:spacing w:after="0" w:line="700" w:lineRule="exact"/>
        <w:rPr>
          <w:rFonts w:hint="eastAsia" w:ascii="Times New Roman" w:hAnsi="Times New Roman" w:eastAsia="仿宋_GB2312"/>
          <w:sz w:val="30"/>
          <w:szCs w:val="30"/>
          <w:lang w:val="en-US"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0</w:t>
      </w:r>
    </w:p>
    <w:p>
      <w:pPr>
        <w:pStyle w:val="10"/>
        <w:tabs>
          <w:tab w:val="right" w:leader="dot" w:pos="8306"/>
        </w:tabs>
        <w:spacing w:after="0" w:line="700" w:lineRule="exact"/>
        <w:rPr>
          <w:rFonts w:hint="eastAsia" w:ascii="Times New Roman" w:hAnsi="Times New Roman" w:eastAsia="仿宋_GB2312"/>
          <w:sz w:val="30"/>
          <w:szCs w:val="30"/>
          <w:lang w:val="en"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_Toc11040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default" w:ascii="Times New Roman" w:hAnsi="Times New Roman" w:eastAsia="仿宋_GB2312"/>
          <w:sz w:val="30"/>
          <w:szCs w:val="30"/>
          <w:lang w:val="e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1</w:t>
      </w:r>
    </w:p>
    <w:p>
      <w:pPr>
        <w:pStyle w:val="9"/>
        <w:tabs>
          <w:tab w:val="right" w:leader="dot" w:pos="8306"/>
          <w:tab w:val="clear" w:pos="8296"/>
        </w:tabs>
        <w:spacing w:after="0" w:line="700" w:lineRule="exact"/>
        <w:rPr>
          <w:rFonts w:ascii="Times New Roman" w:hAnsi="Times New Roman"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HYPERLINK \l _Toc18688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_Toc18688 </w:instrText>
      </w:r>
      <w:r>
        <w:rPr>
          <w:rFonts w:ascii="Times New Roman" w:hAnsi="Times New Roman" w:cs="Times New Roman"/>
          <w:sz w:val="30"/>
          <w:szCs w:val="30"/>
        </w:rPr>
        <w:fldChar w:fldCharType="separate"/>
      </w:r>
      <w:r>
        <w:rPr>
          <w:rFonts w:ascii="Times New Roman" w:hAnsi="Times New Roman" w:cs="Times New Roman"/>
          <w:sz w:val="30"/>
          <w:szCs w:val="30"/>
        </w:rPr>
        <w:t>1</w:t>
      </w:r>
      <w:r>
        <w:rPr>
          <w:rFonts w:hint="eastAsia" w:ascii="Times New Roman" w:hAnsi="Times New Roman" w:cs="Times New Roman"/>
          <w:sz w:val="30"/>
          <w:szCs w:val="30"/>
          <w:lang w:val="en-US" w:eastAsia="zh-CN"/>
        </w:rPr>
        <w:t>2</w:t>
      </w:r>
      <w:r>
        <w:rPr>
          <w:rFonts w:ascii="Times New Roman" w:hAnsi="Times New Roman" w:cs="Times New Roman"/>
          <w:sz w:val="30"/>
          <w:szCs w:val="30"/>
        </w:rPr>
        <w:fldChar w:fldCharType="end"/>
      </w:r>
      <w:r>
        <w:rPr>
          <w:rFonts w:ascii="Times New Roman"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5"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sz w:val="30"/>
          <w:szCs w:val="30"/>
        </w:rPr>
        <w:fldChar w:fldCharType="end"/>
      </w:r>
    </w:p>
    <w:p>
      <w:pPr>
        <w:rPr>
          <w:rFonts w:hint="eastAsia"/>
        </w:rPr>
      </w:pPr>
    </w:p>
    <w:p>
      <w:pPr>
        <w:pStyle w:val="2"/>
        <w:spacing w:before="0" w:after="0" w:line="600" w:lineRule="exact"/>
        <w:jc w:val="center"/>
        <w:rPr>
          <w:rFonts w:hint="eastAsia" w:ascii="方正小标宋简体" w:hAnsi="方正小标宋简体" w:eastAsia="方正小标宋简体" w:cs="方正小标宋简体"/>
          <w:b w:val="0"/>
          <w:sz w:val="48"/>
          <w:szCs w:val="48"/>
        </w:rPr>
      </w:pPr>
      <w:bookmarkStart w:id="0" w:name="_Toc6506"/>
    </w:p>
    <w:p>
      <w:pPr>
        <w:pStyle w:val="2"/>
        <w:spacing w:before="0" w:after="0" w:line="600" w:lineRule="exact"/>
        <w:jc w:val="center"/>
        <w:rPr>
          <w:rFonts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第一部分  概 况</w:t>
      </w:r>
      <w:bookmarkEnd w:id="0"/>
    </w:p>
    <w:p>
      <w:pPr>
        <w:spacing w:line="600" w:lineRule="exact"/>
        <w:rPr>
          <w:rFonts w:hint="eastAsia"/>
        </w:rPr>
      </w:pPr>
    </w:p>
    <w:p>
      <w:pPr>
        <w:pStyle w:val="3"/>
        <w:spacing w:before="0" w:after="0" w:line="600" w:lineRule="exact"/>
        <w:ind w:firstLine="600" w:firstLineChars="200"/>
        <w:rPr>
          <w:rFonts w:hint="eastAsia"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pPr>
        <w:spacing w:beforeLines="0" w:afterLines="0" w:line="580" w:lineRule="exact"/>
        <w:ind w:firstLine="600" w:firstLineChars="200"/>
        <w:rPr>
          <w:rFonts w:hint="default" w:ascii="仿宋_GB2312" w:hAnsi="宋体" w:eastAsia="仿宋_GB2312"/>
          <w:sz w:val="30"/>
          <w:szCs w:val="24"/>
          <w:u w:val="none"/>
        </w:rPr>
      </w:pPr>
      <w:bookmarkStart w:id="2" w:name="_Toc26464"/>
      <w:r>
        <w:rPr>
          <w:rFonts w:hint="eastAsia" w:ascii="仿宋_GB2312" w:hAnsi="宋体" w:eastAsia="仿宋_GB2312"/>
          <w:sz w:val="30"/>
          <w:szCs w:val="24"/>
          <w:u w:val="none"/>
        </w:rPr>
        <w:t>天津市津南区住房和建设委员会</w:t>
      </w:r>
      <w:r>
        <w:rPr>
          <w:rFonts w:hint="eastAsia" w:ascii="仿宋_GB2312" w:hAnsi="宋体" w:eastAsia="仿宋_GB2312"/>
          <w:sz w:val="30"/>
          <w:szCs w:val="24"/>
          <w:u w:val="none"/>
          <w:lang w:eastAsia="zh-CN"/>
        </w:rPr>
        <w:t>（本级）</w:t>
      </w:r>
      <w:r>
        <w:rPr>
          <w:rFonts w:hint="eastAsia" w:ascii="仿宋_GB2312" w:hAnsi="宋体" w:eastAsia="仿宋_GB2312"/>
          <w:sz w:val="30"/>
          <w:szCs w:val="24"/>
          <w:u w:val="none"/>
        </w:rPr>
        <w:t>主要职责是贯彻执行国家有关住房和建设的法律、法规、规章和政策文件。负责组织实施区基础设施重点工程、协调区内市重点工程推进住房制度改革责任、承担城镇低收入住房困难家庭住房保障责任、物业管理活动的监督管理、建筑行业和建筑市场管理、规范房地产市场秩序、监督管理房地产市场的责任、建设工程消防设计审查验收。</w:t>
      </w:r>
    </w:p>
    <w:p>
      <w:pPr>
        <w:pStyle w:val="3"/>
        <w:spacing w:before="0" w:after="0" w:line="600" w:lineRule="exact"/>
        <w:ind w:firstLine="600" w:firstLineChars="200"/>
        <w:rPr>
          <w:rFonts w:hint="eastAsia"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hint="eastAsia" w:eastAsia="仿宋_GB2312"/>
          <w:sz w:val="30"/>
          <w:szCs w:val="30"/>
          <w:u w:val="none"/>
        </w:rPr>
      </w:pPr>
      <w:r>
        <w:rPr>
          <w:rFonts w:eastAsia="仿宋_GB2312"/>
          <w:sz w:val="30"/>
          <w:szCs w:val="30"/>
          <w:u w:val="none"/>
        </w:rPr>
        <w:t>根据上述职责，</w:t>
      </w:r>
      <w:r>
        <w:rPr>
          <w:rFonts w:hint="eastAsia" w:eastAsia="仿宋_GB2312"/>
          <w:sz w:val="30"/>
          <w:szCs w:val="30"/>
          <w:u w:val="none"/>
          <w:lang w:eastAsia="zh-CN"/>
        </w:rPr>
        <w:t>天津市津南区住房和建设委员会（本级）</w:t>
      </w:r>
      <w:r>
        <w:rPr>
          <w:rFonts w:eastAsia="仿宋_GB2312"/>
          <w:sz w:val="30"/>
          <w:szCs w:val="30"/>
          <w:u w:val="none"/>
        </w:rPr>
        <w:t>内设</w:t>
      </w:r>
      <w:r>
        <w:rPr>
          <w:rFonts w:hint="eastAsia" w:eastAsia="仿宋_GB2312"/>
          <w:sz w:val="30"/>
          <w:szCs w:val="30"/>
          <w:u w:val="none"/>
          <w:lang w:val="en-US" w:eastAsia="zh-CN"/>
        </w:rPr>
        <w:t>9</w:t>
      </w:r>
      <w:r>
        <w:rPr>
          <w:rFonts w:eastAsia="仿宋_GB2312"/>
          <w:sz w:val="30"/>
          <w:szCs w:val="30"/>
          <w:u w:val="none"/>
        </w:rPr>
        <w:t>个职能处室，下辖</w:t>
      </w:r>
      <w:r>
        <w:rPr>
          <w:rFonts w:hint="eastAsia" w:eastAsia="仿宋_GB2312"/>
          <w:sz w:val="30"/>
          <w:szCs w:val="30"/>
          <w:u w:val="none"/>
          <w:lang w:val="en-US" w:eastAsia="zh-CN"/>
        </w:rPr>
        <w:t>0</w:t>
      </w:r>
      <w:r>
        <w:rPr>
          <w:rFonts w:eastAsia="仿宋_GB2312"/>
          <w:sz w:val="30"/>
          <w:szCs w:val="30"/>
          <w:u w:val="none"/>
        </w:rPr>
        <w:t>个预算单位。根据决算编报要求，纳入</w:t>
      </w:r>
      <w:r>
        <w:rPr>
          <w:rFonts w:hint="eastAsia" w:eastAsia="仿宋_GB2312"/>
          <w:sz w:val="30"/>
          <w:szCs w:val="30"/>
          <w:u w:val="none"/>
          <w:lang w:eastAsia="zh-CN"/>
        </w:rPr>
        <w:t>天津市津南区住房和建设委员会（本级）</w:t>
      </w:r>
      <w:r>
        <w:rPr>
          <w:rFonts w:hint="eastAsia" w:eastAsia="仿宋_GB2312"/>
          <w:sz w:val="30"/>
          <w:szCs w:val="30"/>
          <w:u w:val="none"/>
        </w:rPr>
        <w:t>2020</w:t>
      </w:r>
      <w:r>
        <w:rPr>
          <w:rFonts w:eastAsia="仿宋_GB2312"/>
          <w:sz w:val="30"/>
          <w:szCs w:val="30"/>
          <w:u w:val="none"/>
        </w:rPr>
        <w:t>年部门决算编报范围有</w:t>
      </w:r>
      <w:r>
        <w:rPr>
          <w:rFonts w:hint="eastAsia" w:eastAsia="仿宋_GB2312"/>
          <w:sz w:val="30"/>
          <w:szCs w:val="30"/>
          <w:u w:val="none"/>
          <w:lang w:eastAsia="zh-CN"/>
        </w:rPr>
        <w:t>天津市津南区住房和建设委员会（本级）</w:t>
      </w:r>
      <w:r>
        <w:rPr>
          <w:rFonts w:hint="eastAsia" w:eastAsia="仿宋_GB2312"/>
          <w:sz w:val="30"/>
          <w:szCs w:val="30"/>
          <w:u w:val="none"/>
          <w:lang w:val="en-US" w:eastAsia="zh-CN"/>
        </w:rPr>
        <w:t>1个预算单位</w:t>
      </w:r>
      <w:r>
        <w:rPr>
          <w:rFonts w:eastAsia="仿宋_GB2312"/>
          <w:sz w:val="30"/>
          <w:szCs w:val="30"/>
          <w:u w:val="none"/>
        </w:rPr>
        <w:t>，具体包括</w:t>
      </w:r>
      <w:r>
        <w:rPr>
          <w:rFonts w:hint="eastAsia" w:eastAsia="仿宋_GB2312"/>
          <w:sz w:val="30"/>
          <w:szCs w:val="30"/>
          <w:u w:val="none"/>
        </w:rPr>
        <w:t>：</w:t>
      </w:r>
    </w:p>
    <w:p>
      <w:pPr>
        <w:numPr>
          <w:ilvl w:val="0"/>
          <w:numId w:val="1"/>
        </w:numPr>
        <w:spacing w:line="600" w:lineRule="exact"/>
        <w:ind w:firstLine="600" w:firstLineChars="200"/>
        <w:rPr>
          <w:rFonts w:hint="eastAsia" w:ascii="仿宋_GB2312" w:eastAsia="仿宋_GB2312"/>
          <w:sz w:val="30"/>
          <w:szCs w:val="30"/>
          <w:u w:val="none"/>
        </w:rPr>
      </w:pPr>
      <w:r>
        <w:rPr>
          <w:rFonts w:hint="eastAsia" w:eastAsia="仿宋_GB2312"/>
          <w:sz w:val="30"/>
          <w:szCs w:val="30"/>
          <w:u w:val="none"/>
        </w:rPr>
        <w:t>行政单位：</w:t>
      </w:r>
      <w:r>
        <w:rPr>
          <w:rFonts w:hint="eastAsia" w:eastAsia="仿宋_GB2312"/>
          <w:sz w:val="30"/>
          <w:szCs w:val="30"/>
          <w:u w:val="none"/>
          <w:lang w:eastAsia="zh-CN"/>
        </w:rPr>
        <w:t>天津市津南区住房和建设委员会（本级）</w:t>
      </w:r>
      <w:r>
        <w:rPr>
          <w:rFonts w:hint="eastAsia" w:ascii="Arial" w:hAnsi="Arial" w:eastAsia="仿宋_GB2312" w:cs="Arial"/>
          <w:sz w:val="30"/>
          <w:szCs w:val="30"/>
          <w:u w:val="none"/>
        </w:rPr>
        <w:t>，共计</w:t>
      </w:r>
      <w:r>
        <w:rPr>
          <w:rFonts w:hint="eastAsia" w:ascii="仿宋_GB2312" w:eastAsia="仿宋_GB2312"/>
          <w:sz w:val="30"/>
          <w:szCs w:val="30"/>
          <w:u w:val="none"/>
          <w:lang w:val="en-US" w:eastAsia="zh-CN"/>
        </w:rPr>
        <w:t>1</w:t>
      </w:r>
      <w:r>
        <w:rPr>
          <w:rFonts w:hint="eastAsia" w:ascii="仿宋_GB2312" w:eastAsia="仿宋_GB2312"/>
          <w:sz w:val="30"/>
          <w:szCs w:val="30"/>
          <w:u w:val="none"/>
        </w:rPr>
        <w:t>个单位。</w:t>
      </w:r>
    </w:p>
    <w:p>
      <w:pPr>
        <w:spacing w:line="600" w:lineRule="exact"/>
        <w:ind w:firstLine="600" w:firstLineChars="200"/>
        <w:rPr>
          <w:rFonts w:hint="eastAsia" w:eastAsia="仿宋_GB2312"/>
          <w:sz w:val="30"/>
          <w:szCs w:val="30"/>
        </w:rPr>
      </w:pPr>
    </w:p>
    <w:p>
      <w:pPr>
        <w:pStyle w:val="2"/>
        <w:spacing w:before="0" w:after="0" w:line="600" w:lineRule="exact"/>
        <w:jc w:val="center"/>
        <w:rPr>
          <w:rFonts w:ascii="方正小标宋简体" w:hAnsi="方正小标宋简体" w:eastAsia="方正小标宋简体" w:cs="方正小标宋简体"/>
          <w:b w:val="0"/>
          <w:sz w:val="44"/>
          <w:szCs w:val="44"/>
        </w:rPr>
      </w:pPr>
      <w:bookmarkStart w:id="3" w:name="_Toc30850"/>
    </w:p>
    <w:p>
      <w:pPr>
        <w:pStyle w:val="2"/>
        <w:spacing w:before="0" w:after="0" w:line="600" w:lineRule="exact"/>
        <w:jc w:val="center"/>
        <w:rPr>
          <w:rFonts w:ascii="方正小标宋简体" w:hAnsi="方正小标宋简体" w:eastAsia="方正小标宋简体" w:cs="方正小标宋简体"/>
          <w:b w:val="0"/>
          <w:sz w:val="44"/>
          <w:szCs w:val="44"/>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二</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表</w:t>
      </w:r>
      <w:bookmarkEnd w:id="3"/>
    </w:p>
    <w:p>
      <w:pPr>
        <w:spacing w:line="600" w:lineRule="exact"/>
        <w:rPr>
          <w:rFonts w:hint="eastAsia"/>
        </w:rPr>
      </w:pPr>
    </w:p>
    <w:p>
      <w:pPr>
        <w:spacing w:line="600" w:lineRule="exact"/>
        <w:rPr>
          <w:rFonts w:hint="eastAsia"/>
        </w:rPr>
      </w:pPr>
    </w:p>
    <w:p>
      <w:pPr>
        <w:pStyle w:val="3"/>
        <w:spacing w:before="0" w:after="0" w:line="800" w:lineRule="exact"/>
        <w:ind w:firstLine="600" w:firstLineChars="200"/>
        <w:rPr>
          <w:rFonts w:hint="eastAsia"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hint="eastAsia"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hint="eastAsia"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hint="eastAsia"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hint="eastAsia"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hint="eastAsia"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hint="eastAsia" w:ascii="黑体" w:hAnsi="黑体" w:eastAsia="黑体"/>
          <w:b w:val="0"/>
          <w:sz w:val="30"/>
          <w:szCs w:val="30"/>
          <w:highlight w:val="none"/>
        </w:rPr>
      </w:pPr>
      <w:bookmarkStart w:id="11" w:name="_Toc7181"/>
      <w:r>
        <w:rPr>
          <w:rFonts w:hint="eastAsia" w:ascii="黑体" w:hAnsi="黑体" w:eastAsia="黑体"/>
          <w:b w:val="0"/>
          <w:sz w:val="30"/>
          <w:szCs w:val="30"/>
          <w:highlight w:val="none"/>
          <w:lang w:eastAsia="zh-CN"/>
        </w:rPr>
        <w:t>八</w:t>
      </w:r>
      <w:r>
        <w:rPr>
          <w:rFonts w:hint="eastAsia" w:ascii="黑体" w:hAnsi="黑体" w:eastAsia="黑体"/>
          <w:b w:val="0"/>
          <w:sz w:val="30"/>
          <w:szCs w:val="30"/>
          <w:highlight w:val="none"/>
        </w:rPr>
        <w:t>、</w:t>
      </w:r>
      <w:r>
        <w:rPr>
          <w:rFonts w:ascii="黑体" w:hAnsi="黑体" w:eastAsia="黑体"/>
          <w:b w:val="0"/>
          <w:sz w:val="30"/>
          <w:szCs w:val="30"/>
          <w:highlight w:val="none"/>
        </w:rPr>
        <w:t>《一般公共预算财政拨款“三公”经费支出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1"/>
    </w:p>
    <w:p>
      <w:pPr>
        <w:pStyle w:val="3"/>
        <w:spacing w:before="0" w:after="0" w:line="800" w:lineRule="exact"/>
        <w:ind w:firstLine="600" w:firstLineChars="200"/>
        <w:rPr>
          <w:rFonts w:hint="eastAsia" w:ascii="黑体" w:hAnsi="黑体" w:eastAsia="黑体"/>
          <w:b w:val="0"/>
          <w:sz w:val="30"/>
          <w:szCs w:val="30"/>
          <w:highlight w:val="none"/>
        </w:rPr>
      </w:pPr>
      <w:bookmarkStart w:id="12" w:name="_Toc25187"/>
      <w:r>
        <w:rPr>
          <w:rFonts w:hint="eastAsia" w:ascii="黑体" w:hAnsi="黑体" w:eastAsia="黑体"/>
          <w:b w:val="0"/>
          <w:sz w:val="30"/>
          <w:szCs w:val="30"/>
          <w:highlight w:val="none"/>
          <w:lang w:eastAsia="zh-CN"/>
        </w:rPr>
        <w:t>九</w:t>
      </w:r>
      <w:r>
        <w:rPr>
          <w:rFonts w:hint="eastAsia" w:ascii="黑体" w:hAnsi="黑体" w:eastAsia="黑体"/>
          <w:b w:val="0"/>
          <w:sz w:val="30"/>
          <w:szCs w:val="30"/>
          <w:highlight w:val="none"/>
        </w:rPr>
        <w:t>、</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收入</w:t>
      </w:r>
      <w:r>
        <w:rPr>
          <w:rFonts w:ascii="黑体" w:hAnsi="黑体" w:eastAsia="黑体"/>
          <w:b w:val="0"/>
          <w:sz w:val="30"/>
          <w:szCs w:val="30"/>
          <w:highlight w:val="none"/>
        </w:rPr>
        <w:t>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2"/>
    </w:p>
    <w:p>
      <w:pPr>
        <w:pStyle w:val="3"/>
        <w:spacing w:before="0" w:after="0" w:line="800" w:lineRule="exact"/>
        <w:ind w:firstLine="600" w:firstLineChars="200"/>
        <w:rPr>
          <w:rFonts w:hint="eastAsia" w:ascii="黑体" w:hAnsi="黑体" w:eastAsia="黑体"/>
          <w:b w:val="0"/>
          <w:sz w:val="30"/>
          <w:szCs w:val="30"/>
          <w:highlight w:val="none"/>
        </w:rPr>
      </w:pPr>
      <w:bookmarkStart w:id="13" w:name="_Toc21022"/>
      <w:r>
        <w:rPr>
          <w:rFonts w:ascii="黑体" w:hAnsi="黑体" w:eastAsia="黑体"/>
          <w:b w:val="0"/>
          <w:sz w:val="30"/>
          <w:szCs w:val="30"/>
          <w:highlight w:val="none"/>
        </w:rPr>
        <w:t>十</w:t>
      </w:r>
      <w:r>
        <w:rPr>
          <w:rFonts w:hint="eastAsia" w:ascii="黑体" w:hAnsi="黑体" w:eastAsia="黑体"/>
          <w:b w:val="0"/>
          <w:sz w:val="30"/>
          <w:szCs w:val="30"/>
          <w:highlight w:val="none"/>
        </w:rPr>
        <w:t>、</w:t>
      </w:r>
      <w:r>
        <w:rPr>
          <w:rFonts w:ascii="黑体" w:hAnsi="黑体" w:eastAsia="黑体"/>
          <w:b w:val="0"/>
          <w:sz w:val="30"/>
          <w:szCs w:val="30"/>
          <w:highlight w:val="none"/>
        </w:rPr>
        <w:t>《国有资本经营预算财政拨款</w:t>
      </w:r>
      <w:r>
        <w:rPr>
          <w:rFonts w:hint="eastAsia" w:ascii="黑体" w:hAnsi="黑体" w:eastAsia="黑体"/>
          <w:b w:val="0"/>
          <w:sz w:val="30"/>
          <w:szCs w:val="30"/>
          <w:highlight w:val="none"/>
        </w:rPr>
        <w:t>收入支出决算</w:t>
      </w:r>
      <w:r>
        <w:rPr>
          <w:rFonts w:ascii="黑体" w:hAnsi="黑体" w:eastAsia="黑体"/>
          <w:b w:val="0"/>
          <w:sz w:val="30"/>
          <w:szCs w:val="30"/>
          <w:highlight w:val="none"/>
        </w:rPr>
        <w:t>表》</w:t>
      </w:r>
      <w:bookmarkEnd w:id="13"/>
    </w:p>
    <w:p>
      <w:pPr>
        <w:pStyle w:val="3"/>
        <w:spacing w:before="0" w:after="0" w:line="800" w:lineRule="exact"/>
        <w:ind w:firstLine="600" w:firstLineChars="200"/>
        <w:rPr>
          <w:rFonts w:hint="eastAsia"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pStyle w:val="3"/>
        <w:spacing w:before="0" w:after="0" w:line="800" w:lineRule="exact"/>
        <w:ind w:firstLine="600" w:firstLineChars="200"/>
        <w:rPr>
          <w:rFonts w:hint="eastAsia" w:ascii="黑体" w:hAnsi="黑体" w:eastAsia="黑体"/>
          <w:b w:val="0"/>
          <w:sz w:val="30"/>
          <w:szCs w:val="30"/>
        </w:rPr>
      </w:pPr>
      <w:bookmarkStart w:id="15" w:name="_Toc1045"/>
      <w:r>
        <w:rPr>
          <w:rFonts w:hint="eastAsia" w:ascii="黑体" w:hAnsi="黑体" w:eastAsia="黑体"/>
          <w:b w:val="0"/>
          <w:sz w:val="30"/>
          <w:szCs w:val="30"/>
        </w:rPr>
        <w:t>十</w:t>
      </w:r>
      <w:r>
        <w:rPr>
          <w:rFonts w:hint="eastAsia" w:ascii="黑体" w:hAnsi="黑体" w:eastAsia="黑体"/>
          <w:b w:val="0"/>
          <w:sz w:val="30"/>
          <w:szCs w:val="30"/>
          <w:lang w:val="en-US" w:eastAsia="zh-CN"/>
        </w:rPr>
        <w:t>二</w:t>
      </w:r>
      <w:r>
        <w:rPr>
          <w:rFonts w:hint="eastAsia" w:ascii="黑体" w:hAnsi="黑体" w:eastAsia="黑体"/>
          <w:b w:val="0"/>
          <w:sz w:val="30"/>
          <w:szCs w:val="30"/>
        </w:rPr>
        <w:t>、关于空表的说明</w:t>
      </w:r>
      <w:bookmarkEnd w:id="15"/>
    </w:p>
    <w:p>
      <w:pPr>
        <w:spacing w:line="600" w:lineRule="exact"/>
        <w:rPr>
          <w:rFonts w:hint="eastAsia" w:ascii="仿宋_GB2312" w:hAnsi="Times New Roman" w:eastAsia="仿宋_GB2312" w:cs="仿宋_GB2312"/>
          <w:sz w:val="30"/>
          <w:szCs w:val="30"/>
          <w:u w:val="none"/>
          <w:lang w:val="en-US" w:eastAsia="zh-CN"/>
        </w:rPr>
      </w:pPr>
      <w:bookmarkStart w:id="16" w:name="_Toc20137"/>
      <w:r>
        <w:rPr>
          <w:rFonts w:hint="eastAsia" w:ascii="仿宋_GB2312" w:hAnsi="Times New Roman" w:eastAsia="仿宋_GB2312" w:cs="仿宋_GB2312"/>
          <w:sz w:val="30"/>
          <w:szCs w:val="30"/>
          <w:u w:val="none"/>
          <w:lang w:val="en-US" w:eastAsia="zh-CN"/>
        </w:rPr>
        <w:t xml:space="preserve">    天津市津南区住房和建设委员会（本级）2021年度一般公共预算财政拨款“三公”经费支出决算表为空表。</w:t>
      </w:r>
    </w:p>
    <w:p>
      <w:pPr>
        <w:spacing w:line="600" w:lineRule="exact"/>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天津市津南区住房和建设委员会（本级）2021年度国有资本经营预算财政拨款收入支出决算表为空表。</w:t>
      </w:r>
    </w:p>
    <w:p>
      <w:pPr>
        <w:spacing w:line="600" w:lineRule="exact"/>
        <w:rPr>
          <w:rFonts w:hint="default" w:ascii="仿宋_GB2312" w:hAnsi="Times New Roman" w:eastAsia="仿宋_GB2312" w:cs="仿宋_GB2312"/>
          <w:sz w:val="30"/>
          <w:szCs w:val="30"/>
          <w:u w:val="none"/>
          <w:lang w:val="en-US" w:eastAsia="zh-CN"/>
        </w:rPr>
        <w:sectPr>
          <w:footerReference r:id="rId6" w:type="default"/>
          <w:pgSz w:w="11906" w:h="16838"/>
          <w:pgMar w:top="1440" w:right="1800" w:bottom="1440" w:left="1800" w:header="851" w:footer="992" w:gutter="0"/>
          <w:pgNumType w:start="1"/>
          <w:cols w:space="720" w:num="1"/>
          <w:docGrid w:type="lines" w:linePitch="312" w:charSpace="0"/>
        </w:sectPr>
      </w:pPr>
    </w:p>
    <w:p>
      <w:pPr>
        <w:pStyle w:val="2"/>
        <w:spacing w:before="0" w:after="0" w:line="600" w:lineRule="exact"/>
        <w:jc w:val="center"/>
        <w:rPr>
          <w:rFonts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三</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情况</w:t>
      </w:r>
      <w:r>
        <w:rPr>
          <w:rFonts w:ascii="方正小标宋简体" w:hAnsi="方正小标宋简体" w:eastAsia="方正小标宋简体" w:cs="方正小标宋简体"/>
          <w:b w:val="0"/>
          <w:sz w:val="44"/>
          <w:szCs w:val="44"/>
        </w:rPr>
        <w:t>说明</w:t>
      </w:r>
      <w:bookmarkEnd w:id="16"/>
    </w:p>
    <w:p>
      <w:pPr>
        <w:spacing w:line="600" w:lineRule="exact"/>
        <w:ind w:firstLine="600" w:firstLineChars="200"/>
        <w:rPr>
          <w:rFonts w:hint="eastAsia" w:ascii="黑体" w:eastAsia="黑体"/>
          <w:sz w:val="30"/>
          <w:szCs w:val="30"/>
        </w:rPr>
      </w:pPr>
    </w:p>
    <w:p>
      <w:pPr>
        <w:pStyle w:val="3"/>
        <w:spacing w:before="0" w:after="0" w:line="600" w:lineRule="exact"/>
        <w:ind w:firstLine="600" w:firstLineChars="200"/>
        <w:rPr>
          <w:rFonts w:hint="eastAsia" w:ascii="黑体" w:hAnsi="黑体" w:eastAsia="黑体"/>
          <w:b w:val="0"/>
          <w:sz w:val="30"/>
          <w:szCs w:val="30"/>
        </w:rPr>
      </w:pPr>
      <w:bookmarkStart w:id="17" w:name="_Toc10868"/>
      <w:r>
        <w:rPr>
          <w:rFonts w:hint="eastAsia" w:ascii="黑体" w:hAnsi="黑体" w:eastAsia="黑体"/>
          <w:b w:val="0"/>
          <w:sz w:val="30"/>
          <w:szCs w:val="30"/>
        </w:rPr>
        <w:t>一、收入支出决算总体情况</w:t>
      </w:r>
      <w:bookmarkEnd w:id="17"/>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 xml:space="preserve"> 天津市津南区住房和建设委员会（本级）2021年度收入、支出决算总计1763306433.75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。与2020年度相比，收、支总计各减少476644455.72</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，下降21.28%，</w:t>
      </w:r>
      <w:r>
        <w:rPr>
          <w:rFonts w:hint="eastAsia" w:eastAsia="仿宋_GB2312"/>
          <w:sz w:val="30"/>
          <w:szCs w:val="30"/>
        </w:rPr>
        <w:t>主要原因是</w:t>
      </w:r>
      <w:r>
        <w:rPr>
          <w:rFonts w:hint="eastAsia" w:eastAsia="仿宋_GB2312"/>
          <w:sz w:val="30"/>
          <w:szCs w:val="30"/>
          <w:u w:val="none"/>
          <w:lang w:eastAsia="zh-CN"/>
        </w:rPr>
        <w:t>压减预算支出</w:t>
      </w:r>
      <w:r>
        <w:rPr>
          <w:rFonts w:hint="eastAsia" w:eastAsia="仿宋_GB2312"/>
          <w:sz w:val="30"/>
          <w:szCs w:val="30"/>
        </w:rPr>
        <w:t>。</w:t>
      </w:r>
    </w:p>
    <w:p>
      <w:pPr>
        <w:pStyle w:val="3"/>
        <w:spacing w:before="0" w:after="0" w:line="600" w:lineRule="exact"/>
        <w:ind w:firstLine="600" w:firstLineChars="200"/>
        <w:rPr>
          <w:rFonts w:hint="eastAsia" w:ascii="黑体" w:hAnsi="黑体" w:eastAsia="黑体" w:cs="仿宋_GB2312"/>
          <w:b w:val="0"/>
          <w:sz w:val="30"/>
          <w:szCs w:val="30"/>
        </w:rPr>
      </w:pPr>
      <w:bookmarkStart w:id="18" w:name="_Toc11824"/>
      <w:r>
        <w:rPr>
          <w:rFonts w:hint="eastAsia" w:ascii="黑体" w:hAnsi="黑体" w:eastAsia="黑体" w:cs="仿宋_GB2312"/>
          <w:b w:val="0"/>
          <w:sz w:val="30"/>
          <w:szCs w:val="30"/>
        </w:rPr>
        <w:t>二、收入决算情况</w:t>
      </w:r>
      <w:bookmarkEnd w:id="18"/>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天津市津南区住房和建设委员会（本级）2021年度本年收入合计1049367469.25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，与2020年度相比减少1128436949.50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u w:val="none"/>
          <w:lang w:eastAsia="zh-CN"/>
        </w:rPr>
        <w:t>压减预算支出</w:t>
      </w:r>
      <w:r>
        <w:rPr>
          <w:rFonts w:hint="eastAsia" w:eastAsia="仿宋_GB2312"/>
          <w:sz w:val="30"/>
          <w:szCs w:val="30"/>
        </w:rPr>
        <w:t>。</w:t>
      </w:r>
      <w:r>
        <w:rPr>
          <w:rFonts w:eastAsia="仿宋_GB2312"/>
          <w:sz w:val="30"/>
          <w:szCs w:val="30"/>
        </w:rPr>
        <w:t>其中：一般公共预算财政拨款收</w:t>
      </w:r>
      <w:r>
        <w:rPr>
          <w:rFonts w:hint="eastAsia" w:ascii="仿宋_GB2312" w:hAnsi="Times New Roman" w:eastAsia="仿宋_GB2312" w:cs="仿宋_GB2312"/>
          <w:sz w:val="30"/>
          <w:szCs w:val="30"/>
          <w:u w:val="none"/>
          <w:lang w:val="en-US" w:eastAsia="zh-CN"/>
        </w:rPr>
        <w:t>入456126028.31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，占43.47%；政府性基金预算财政拨款收入586572885.63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 55.90%；国有资本经营预算财政拨款收入0.00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，占0.00%；财政专户管理资金收入0.00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，占0.00%；事业单位经营收入0.00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 xml:space="preserve">，占0.00%；上级补助收入0.00 </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，占0.00%；附属单位上缴收入0.00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，占0.00%；其他收入 6668555.31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，占0.64%。</w:t>
      </w:r>
    </w:p>
    <w:p>
      <w:pPr>
        <w:pStyle w:val="3"/>
        <w:spacing w:before="0" w:after="0" w:line="600" w:lineRule="exact"/>
        <w:ind w:firstLine="600" w:firstLineChars="200"/>
        <w:rPr>
          <w:rFonts w:hint="eastAsia" w:ascii="黑体" w:hAnsi="黑体" w:eastAsia="黑体" w:cs="仿宋_GB2312"/>
          <w:b w:val="0"/>
          <w:sz w:val="30"/>
          <w:szCs w:val="30"/>
        </w:rPr>
      </w:pPr>
      <w:bookmarkStart w:id="19" w:name="_Toc16536"/>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天津市津南区住房和建设委员会（本级）2021年度本年支出合计1377831184.77</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，与2020年度相比减少14959.61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u w:val="none"/>
          <w:lang w:eastAsia="zh-CN"/>
        </w:rPr>
        <w:t>压减预算支出</w:t>
      </w:r>
      <w:r>
        <w:rPr>
          <w:rFonts w:hint="eastAsia" w:eastAsia="仿宋_GB2312"/>
          <w:sz w:val="30"/>
          <w:szCs w:val="30"/>
        </w:rPr>
        <w:t>。</w:t>
      </w:r>
      <w:r>
        <w:rPr>
          <w:rFonts w:eastAsia="仿宋_GB2312"/>
          <w:sz w:val="30"/>
          <w:szCs w:val="30"/>
        </w:rPr>
        <w:t>其中：</w:t>
      </w:r>
      <w:r>
        <w:rPr>
          <w:rFonts w:hint="eastAsia" w:ascii="仿宋_GB2312" w:hAnsi="Times New Roman" w:eastAsia="仿宋_GB2312" w:cs="仿宋_GB2312"/>
          <w:sz w:val="30"/>
          <w:szCs w:val="30"/>
          <w:u w:val="none"/>
          <w:lang w:val="en-US" w:eastAsia="zh-CN"/>
        </w:rPr>
        <w:t>基本支出14321676.63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，占1.04%；项目支出1363509508.14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，占98.96%；上缴上级支出0.00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，占0.00%；经营支出0.00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，占0.00%；对附属单位补助支出0.00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3"/>
        <w:spacing w:before="0" w:after="0" w:line="600" w:lineRule="exact"/>
        <w:ind w:firstLine="600" w:firstLineChars="200"/>
        <w:rPr>
          <w:rFonts w:hint="eastAsia" w:ascii="黑体" w:hAnsi="黑体" w:eastAsia="黑体"/>
          <w:b w:val="0"/>
          <w:sz w:val="30"/>
          <w:szCs w:val="30"/>
        </w:rPr>
      </w:pPr>
      <w:bookmarkStart w:id="20" w:name="_Toc18362"/>
      <w:r>
        <w:rPr>
          <w:rFonts w:hint="eastAsia" w:ascii="黑体" w:hAnsi="黑体" w:eastAsia="黑体"/>
          <w:b w:val="0"/>
          <w:sz w:val="30"/>
          <w:szCs w:val="30"/>
        </w:rPr>
        <w:t>四、财政拨款收支决算总体情况</w:t>
      </w:r>
      <w:bookmarkEnd w:id="20"/>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天津市津南区住房和建设委员会（本级）2021年度财政拨款收入、支出决算总计1715169842.78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。与2020年度相比，财政拨款收、支总计各减少435817930.00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，下降20.26%，</w:t>
      </w:r>
      <w:r>
        <w:rPr>
          <w:rFonts w:hint="eastAsia" w:eastAsia="仿宋_GB2312"/>
          <w:sz w:val="30"/>
          <w:szCs w:val="30"/>
        </w:rPr>
        <w:t>主要原因是</w:t>
      </w:r>
      <w:r>
        <w:rPr>
          <w:rFonts w:hint="eastAsia" w:eastAsia="仿宋_GB2312"/>
          <w:sz w:val="30"/>
          <w:szCs w:val="30"/>
          <w:u w:val="none"/>
          <w:lang w:eastAsia="zh-CN"/>
        </w:rPr>
        <w:t>压减预算支出</w:t>
      </w:r>
      <w:r>
        <w:rPr>
          <w:rFonts w:hint="eastAsia" w:eastAsia="仿宋_GB2312"/>
          <w:sz w:val="30"/>
          <w:szCs w:val="30"/>
        </w:rPr>
        <w:t>。</w:t>
      </w:r>
    </w:p>
    <w:p>
      <w:pPr>
        <w:pStyle w:val="3"/>
        <w:spacing w:before="0" w:after="0" w:line="600" w:lineRule="exact"/>
        <w:ind w:firstLine="600" w:firstLineChars="200"/>
        <w:rPr>
          <w:rFonts w:hint="eastAsia" w:ascii="黑体" w:hAnsi="黑体" w:eastAsia="黑体"/>
          <w:b w:val="0"/>
          <w:sz w:val="30"/>
          <w:szCs w:val="30"/>
        </w:rPr>
      </w:pPr>
      <w:bookmarkStart w:id="21" w:name="_Toc2910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r>
        <w:rPr>
          <w:rFonts w:hint="eastAsia" w:ascii="黑体" w:hAnsi="黑体" w:eastAsia="黑体"/>
          <w:b w:val="0"/>
          <w:sz w:val="30"/>
          <w:szCs w:val="30"/>
        </w:rPr>
        <w:t>说明</w:t>
      </w:r>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天津市津南区住房和建设委员会（本级）2021年度部门决算一般公共预算财政拨款支出合计456143420.61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，占本年支出合计的25.87%。与2020年度相比，一般公共预算财政拨款支出增加397753109.00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，增长681.20%，</w:t>
      </w:r>
      <w:r>
        <w:rPr>
          <w:rFonts w:hint="eastAsia" w:eastAsia="仿宋_GB2312"/>
          <w:sz w:val="30"/>
          <w:szCs w:val="30"/>
        </w:rPr>
        <w:t>主要原因是</w:t>
      </w:r>
      <w:r>
        <w:rPr>
          <w:rFonts w:hint="eastAsia" w:eastAsia="仿宋_GB2312"/>
          <w:sz w:val="30"/>
          <w:szCs w:val="30"/>
          <w:lang w:eastAsia="zh-CN"/>
        </w:rPr>
        <w:t>增加公租房项目运营管理资金、营房道工程等（土整）等一般公共预算项目</w:t>
      </w:r>
      <w:r>
        <w:rPr>
          <w:rFonts w:hint="eastAsia" w:eastAsia="仿宋_GB2312"/>
          <w:sz w:val="30"/>
          <w:szCs w:val="30"/>
        </w:rPr>
        <w:t>。</w:t>
      </w:r>
    </w:p>
    <w:p>
      <w:pPr>
        <w:spacing w:line="600" w:lineRule="exact"/>
        <w:ind w:firstLine="602" w:firstLineChars="200"/>
        <w:rPr>
          <w:rFonts w:hint="eastAsia"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eastAsia="仿宋_GB2312"/>
          <w:sz w:val="30"/>
          <w:szCs w:val="30"/>
        </w:rPr>
        <w:t>2021年度一般公共预算财政</w:t>
      </w:r>
      <w:r>
        <w:rPr>
          <w:rFonts w:hint="eastAsia" w:ascii="仿宋_GB2312" w:hAnsi="Times New Roman" w:eastAsia="仿宋_GB2312" w:cs="仿宋_GB2312"/>
          <w:sz w:val="30"/>
          <w:szCs w:val="30"/>
          <w:u w:val="none"/>
          <w:lang w:val="en-US" w:eastAsia="zh-CN"/>
        </w:rPr>
        <w:t>拨款支出456143420.61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，主要用于以下方面：</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社会保障和就业支出（类）支出770448.00元，占.17%；</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卫生健康支出（类）支出449428.00元，占.1%；</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城乡社区支出（类）支出372898598.15元，占81.75%；</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住房保障支出（类）支出81206946.46元，占17.8%；</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 xml:space="preserve">    灾害防治及应急管理支出（类）支出818000.00元，占.18%。</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2021年度一般公共预算财政拨款支出年初预算为24692411.07</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，支出决算为456143420.61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，完成年初预算的1847.30%。其中：</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527866.8</w:t>
      </w:r>
      <w:r>
        <w:rPr>
          <w:rFonts w:hint="eastAsia" w:ascii="仿宋_GB2312" w:hAnsi="Times New Roman" w:eastAsia="仿宋_GB2312" w:cs="仿宋_GB2312"/>
          <w:sz w:val="30"/>
          <w:szCs w:val="30"/>
          <w:u w:val="none"/>
          <w:lang w:val="en-US" w:eastAsia="zh-CN"/>
        </w:rPr>
        <w:t>元，支出决算为513632.00元，完成年初预算数的</w:t>
      </w:r>
      <w:r>
        <w:rPr>
          <w:rFonts w:hint="eastAsia" w:ascii="仿宋_GB2312" w:eastAsia="仿宋_GB2312" w:cs="仿宋_GB2312"/>
          <w:sz w:val="30"/>
          <w:szCs w:val="30"/>
          <w:u w:val="none"/>
          <w:lang w:val="en-US" w:eastAsia="zh-CN"/>
        </w:rPr>
        <w:t>97.30</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人员社保调整缴回多交养老保险，于2022年上缴财政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社会保障和就业支出（类）行政事业单位养老支出（款）机关事业单位职业年金缴费支出（项）年初预算为263933</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52元，支出决算为256816.00元，完成年初预算数的</w:t>
      </w:r>
      <w:r>
        <w:rPr>
          <w:rFonts w:hint="eastAsia" w:ascii="仿宋_GB2312" w:eastAsia="仿宋_GB2312" w:cs="仿宋_GB2312"/>
          <w:sz w:val="30"/>
          <w:szCs w:val="30"/>
          <w:u w:val="none"/>
          <w:lang w:val="en-US" w:eastAsia="zh-CN"/>
        </w:rPr>
        <w:t>97.30</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人员社保调整缴回多交职业年金，于2022年上缴财政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卫生健康支出（类）行政事业单位医疗（款）行政单位医疗（项）年初预算为329917</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2元，支出决算为321020.00元，完成年初预算数的</w:t>
      </w:r>
      <w:r>
        <w:rPr>
          <w:rFonts w:hint="eastAsia" w:ascii="仿宋_GB2312" w:eastAsia="仿宋_GB2312" w:cs="仿宋_GB2312"/>
          <w:sz w:val="30"/>
          <w:szCs w:val="30"/>
          <w:u w:val="none"/>
          <w:lang w:val="en-US" w:eastAsia="zh-CN"/>
        </w:rPr>
        <w:t>97.30</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人员社保调整缴回多交医疗保险，于2022年上缴财政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卫生健康支出（类）行政事业单位医疗（款）公务员医疗补助（项）年初预算为</w:t>
      </w:r>
      <w:r>
        <w:rPr>
          <w:rFonts w:hint="eastAsia" w:ascii="仿宋_GB2312" w:eastAsia="仿宋_GB2312" w:cs="仿宋_GB2312"/>
          <w:sz w:val="30"/>
          <w:szCs w:val="30"/>
          <w:u w:val="none"/>
          <w:lang w:val="en-US" w:eastAsia="zh-CN"/>
        </w:rPr>
        <w:t>135316</w:t>
      </w:r>
      <w:r>
        <w:rPr>
          <w:rFonts w:hint="eastAsia" w:ascii="仿宋_GB2312" w:hAnsi="Times New Roman" w:eastAsia="仿宋_GB2312" w:cs="仿宋_GB2312"/>
          <w:sz w:val="30"/>
          <w:szCs w:val="30"/>
          <w:u w:val="none"/>
          <w:lang w:val="en-US" w:eastAsia="zh-CN"/>
        </w:rPr>
        <w:t>元，支出决算为128408.00元，完成年初预算数的</w:t>
      </w:r>
      <w:r>
        <w:rPr>
          <w:rFonts w:hint="eastAsia" w:ascii="仿宋_GB2312" w:eastAsia="仿宋_GB2312" w:cs="仿宋_GB2312"/>
          <w:sz w:val="30"/>
          <w:szCs w:val="30"/>
          <w:u w:val="none"/>
          <w:lang w:val="en-US" w:eastAsia="zh-CN"/>
        </w:rPr>
        <w:t>94.89</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人员社保调整缴回多交医疗补助，于2022年上缴财政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城乡社区支出（类）城乡社区公共设施（款）小城镇基础设施建设（项）年初预算为</w:t>
      </w:r>
      <w:r>
        <w:rPr>
          <w:rFonts w:hint="eastAsia" w:ascii="仿宋_GB2312" w:eastAsia="仿宋_GB2312" w:cs="仿宋_GB2312"/>
          <w:sz w:val="30"/>
          <w:szCs w:val="30"/>
          <w:u w:val="none"/>
          <w:lang w:val="en-US" w:eastAsia="zh-CN"/>
        </w:rPr>
        <w:t>7338800</w:t>
      </w:r>
      <w:r>
        <w:rPr>
          <w:rFonts w:hint="eastAsia" w:ascii="仿宋_GB2312" w:hAnsi="Times New Roman" w:eastAsia="仿宋_GB2312" w:cs="仿宋_GB2312"/>
          <w:sz w:val="30"/>
          <w:szCs w:val="30"/>
          <w:u w:val="none"/>
          <w:lang w:val="en-US" w:eastAsia="zh-CN"/>
        </w:rPr>
        <w:t>元，支出决算为361673549.05元，完成年初预算数的</w:t>
      </w:r>
      <w:r>
        <w:rPr>
          <w:rFonts w:hint="eastAsia" w:ascii="仿宋_GB2312" w:eastAsia="仿宋_GB2312" w:cs="仿宋_GB2312"/>
          <w:sz w:val="30"/>
          <w:szCs w:val="30"/>
          <w:u w:val="none"/>
          <w:lang w:val="en-US" w:eastAsia="zh-CN"/>
        </w:rPr>
        <w:t>49.28</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城乡社区支出（类）城乡社区管理事务（款）其他城乡社区管理事务支出（项）其他城乡社区支出（款）其他城乡社区支出（项）年初预算为</w:t>
      </w:r>
      <w:r>
        <w:rPr>
          <w:rFonts w:hint="eastAsia" w:ascii="仿宋_GB2312" w:eastAsia="仿宋_GB2312" w:cs="仿宋_GB2312"/>
          <w:sz w:val="30"/>
          <w:szCs w:val="30"/>
          <w:u w:val="none"/>
          <w:lang w:val="en-US" w:eastAsia="zh-CN"/>
        </w:rPr>
        <w:t>300000</w:t>
      </w:r>
      <w:r>
        <w:rPr>
          <w:rFonts w:hint="eastAsia" w:ascii="仿宋_GB2312" w:hAnsi="Times New Roman" w:eastAsia="仿宋_GB2312" w:cs="仿宋_GB2312"/>
          <w:sz w:val="30"/>
          <w:szCs w:val="30"/>
          <w:u w:val="none"/>
          <w:lang w:val="en-US" w:eastAsia="zh-CN"/>
        </w:rPr>
        <w:t>元，支出决算为100000.00元，完成年初预算数的</w:t>
      </w:r>
      <w:r>
        <w:rPr>
          <w:rFonts w:hint="eastAsia" w:ascii="仿宋_GB2312" w:eastAsia="仿宋_GB2312" w:cs="仿宋_GB2312"/>
          <w:sz w:val="30"/>
          <w:szCs w:val="30"/>
          <w:u w:val="none"/>
          <w:lang w:val="en-US" w:eastAsia="zh-CN"/>
        </w:rPr>
        <w:t>33.33</w:t>
      </w:r>
      <w:r>
        <w:rPr>
          <w:rFonts w:hint="eastAsia" w:ascii="仿宋_GB2312" w:hAnsi="Times New Roman" w:eastAsia="仿宋_GB2312" w:cs="仿宋_GB2312"/>
          <w:sz w:val="30"/>
          <w:szCs w:val="30"/>
          <w:u w:val="none"/>
          <w:lang w:val="en-US" w:eastAsia="zh-CN"/>
        </w:rPr>
        <w:t>%，决算数小于（大于）年初预算数的主要原因是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城乡社区支出（类）城乡社区管理事务（款）行政运行（项）年初预算为10615541</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55元，支出决算为11025049.10元，完成年初预算数的</w:t>
      </w:r>
      <w:r>
        <w:rPr>
          <w:rFonts w:hint="eastAsia" w:ascii="仿宋_GB2312" w:eastAsia="仿宋_GB2312" w:cs="仿宋_GB2312"/>
          <w:sz w:val="30"/>
          <w:szCs w:val="30"/>
          <w:u w:val="none"/>
          <w:lang w:val="en-US" w:eastAsia="zh-CN"/>
        </w:rPr>
        <w:t>103.86</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合并基层单位餐费物业费等</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住房保障支出（类）保障性</w:t>
      </w:r>
      <w:bookmarkStart w:id="32" w:name="_GoBack"/>
      <w:bookmarkEnd w:id="32"/>
      <w:r>
        <w:rPr>
          <w:rFonts w:hint="eastAsia" w:ascii="仿宋_GB2312" w:hAnsi="Times New Roman" w:eastAsia="仿宋_GB2312" w:cs="仿宋_GB2312"/>
          <w:sz w:val="30"/>
          <w:szCs w:val="30"/>
          <w:u w:val="none"/>
          <w:lang w:val="en-US" w:eastAsia="zh-CN"/>
        </w:rPr>
        <w:t>安居工程支出（款）住房租赁市场发展（项）年初预算为</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元，支出决算为71240000.00元，完成年初预算数的</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市级专项资金，已做调整预算</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住房保障支出（类）住房改革支出（款）住房公积金（项）年初预算为</w:t>
      </w:r>
      <w:r>
        <w:rPr>
          <w:rFonts w:hint="eastAsia" w:ascii="仿宋_GB2312" w:eastAsia="仿宋_GB2312" w:cs="仿宋_GB2312"/>
          <w:sz w:val="30"/>
          <w:szCs w:val="30"/>
          <w:u w:val="none"/>
          <w:lang w:val="en-US" w:eastAsia="zh-CN"/>
        </w:rPr>
        <w:t>596352</w:t>
      </w:r>
      <w:r>
        <w:rPr>
          <w:rFonts w:hint="eastAsia" w:ascii="仿宋_GB2312" w:hAnsi="Times New Roman" w:eastAsia="仿宋_GB2312" w:cs="仿宋_GB2312"/>
          <w:sz w:val="30"/>
          <w:szCs w:val="30"/>
          <w:u w:val="none"/>
          <w:lang w:val="en-US" w:eastAsia="zh-CN"/>
        </w:rPr>
        <w:t>元，支出决算为580948.00元，完成年初预算数的</w:t>
      </w:r>
      <w:r>
        <w:rPr>
          <w:rFonts w:hint="eastAsia" w:ascii="仿宋_GB2312" w:eastAsia="仿宋_GB2312" w:cs="仿宋_GB2312"/>
          <w:sz w:val="30"/>
          <w:szCs w:val="30"/>
          <w:u w:val="none"/>
          <w:lang w:val="en-US" w:eastAsia="zh-CN"/>
        </w:rPr>
        <w:t>97.42</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人员工资调整，交回多缴公积金，已于2022年上缴财政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住房保障支出（类）保障性安居工程支出（款）公共租赁住房（项）年初预算为</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元，支出决算为9385998.46元，完成年初预算数的</w:t>
      </w:r>
      <w:r>
        <w:rPr>
          <w:rFonts w:hint="eastAsia" w:ascii="仿宋_GB2312" w:eastAsia="仿宋_GB2312" w:cs="仿宋_GB2312"/>
          <w:sz w:val="30"/>
          <w:szCs w:val="30"/>
          <w:u w:val="none"/>
          <w:lang w:val="en-US" w:eastAsia="zh-CN"/>
        </w:rPr>
        <w:t>100</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市级专项资金，已做调整预算</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灾害防治及应急管理支出（类）应急管理事务（款）安全监管（项）年初预算为</w:t>
      </w:r>
      <w:r>
        <w:rPr>
          <w:rFonts w:hint="eastAsia" w:ascii="仿宋_GB2312" w:eastAsia="仿宋_GB2312" w:cs="仿宋_GB2312"/>
          <w:sz w:val="30"/>
          <w:szCs w:val="30"/>
          <w:u w:val="none"/>
          <w:lang w:val="en-US" w:eastAsia="zh-CN"/>
        </w:rPr>
        <w:t>4700000</w:t>
      </w:r>
      <w:r>
        <w:rPr>
          <w:rFonts w:hint="eastAsia" w:ascii="仿宋_GB2312" w:hAnsi="Times New Roman" w:eastAsia="仿宋_GB2312" w:cs="仿宋_GB2312"/>
          <w:sz w:val="30"/>
          <w:szCs w:val="30"/>
          <w:u w:val="none"/>
          <w:lang w:val="en-US" w:eastAsia="zh-CN"/>
        </w:rPr>
        <w:t>元，支出决算为818000.00元，完成年初预算数的</w:t>
      </w:r>
      <w:r>
        <w:rPr>
          <w:rFonts w:hint="eastAsia" w:ascii="仿宋_GB2312" w:eastAsia="仿宋_GB2312" w:cs="仿宋_GB2312"/>
          <w:sz w:val="30"/>
          <w:szCs w:val="30"/>
          <w:u w:val="none"/>
          <w:lang w:val="en-US" w:eastAsia="zh-CN"/>
        </w:rPr>
        <w:t>17.4</w:t>
      </w:r>
      <w:r>
        <w:rPr>
          <w:rFonts w:hint="eastAsia" w:ascii="仿宋_GB2312" w:hAnsi="Times New Roman" w:eastAsia="仿宋_GB2312" w:cs="仿宋_GB2312"/>
          <w:sz w:val="30"/>
          <w:szCs w:val="30"/>
          <w:u w:val="none"/>
          <w:lang w:val="en-US" w:eastAsia="zh-CN"/>
        </w:rPr>
        <w:t>%，决算数小于（大于）年初预算数的主要原因是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p>
    <w:p>
      <w:pPr>
        <w:pStyle w:val="3"/>
        <w:spacing w:before="0" w:after="0" w:line="600" w:lineRule="exact"/>
        <w:ind w:firstLine="600" w:firstLineChars="200"/>
        <w:rPr>
          <w:rFonts w:ascii="黑体" w:hAnsi="黑体" w:eastAsia="黑体"/>
          <w:b w:val="0"/>
          <w:sz w:val="30"/>
          <w:szCs w:val="30"/>
        </w:rPr>
      </w:pPr>
      <w:bookmarkStart w:id="22" w:name="_Toc1636"/>
      <w:r>
        <w:rPr>
          <w:rFonts w:ascii="黑体" w:hAnsi="黑体" w:eastAsia="黑体"/>
          <w:b w:val="0"/>
          <w:sz w:val="30"/>
          <w:szCs w:val="30"/>
        </w:rPr>
        <w:t>六、一般公共预算财政拨款基本支出决算情况</w:t>
      </w:r>
      <w:bookmarkEnd w:id="22"/>
      <w:r>
        <w:rPr>
          <w:rFonts w:hint="eastAsia" w:ascii="黑体" w:hAnsi="黑体" w:eastAsia="黑体"/>
          <w:b w:val="0"/>
          <w:sz w:val="30"/>
          <w:szCs w:val="30"/>
          <w:lang w:eastAsia="zh-CN"/>
        </w:rPr>
        <w:t>说明</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天津市津南区住房和建设委员会（本级）2021年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hAnsi="Times New Roman" w:eastAsia="仿宋_GB2312" w:cs="仿宋_GB2312"/>
          <w:sz w:val="30"/>
          <w:szCs w:val="30"/>
          <w:u w:val="none"/>
          <w:lang w:val="en-US" w:eastAsia="zh-CN"/>
        </w:rPr>
        <w:t>11325873.10</w:t>
      </w:r>
      <w:r>
        <w:rPr>
          <w:rFonts w:hint="eastAsia" w:ascii="仿宋_GB2312" w:eastAsia="仿宋_GB2312" w:cs="仿宋_GB2312"/>
          <w:sz w:val="30"/>
          <w:szCs w:val="30"/>
          <w:u w:val="none"/>
          <w:lang w:val="en-US" w:eastAsia="zh-CN"/>
        </w:rPr>
        <w:t>元</w:t>
      </w:r>
      <w:r>
        <w:rPr>
          <w:rFonts w:eastAsia="仿宋_GB2312"/>
          <w:sz w:val="30"/>
          <w:szCs w:val="30"/>
        </w:rPr>
        <w:t>，</w:t>
      </w:r>
      <w:r>
        <w:rPr>
          <w:rFonts w:hint="eastAsia" w:eastAsia="仿宋_GB2312"/>
          <w:sz w:val="30"/>
          <w:szCs w:val="30"/>
        </w:rPr>
        <w:t>与2020年</w:t>
      </w:r>
      <w:r>
        <w:rPr>
          <w:rFonts w:hint="eastAsia" w:ascii="仿宋_GB2312" w:hAnsi="Times New Roman" w:eastAsia="仿宋_GB2312" w:cs="仿宋_GB2312"/>
          <w:sz w:val="30"/>
          <w:szCs w:val="30"/>
          <w:u w:val="none"/>
          <w:lang w:val="en-US" w:eastAsia="zh-CN"/>
        </w:rPr>
        <w:t>度相比减少361234.92</w:t>
      </w:r>
      <w:r>
        <w:rPr>
          <w:rFonts w:hint="eastAsia" w:ascii="仿宋_GB2312" w:eastAsia="仿宋_GB2312" w:cs="仿宋_GB2312"/>
          <w:sz w:val="30"/>
          <w:szCs w:val="30"/>
          <w:u w:val="none"/>
          <w:lang w:val="en-US" w:eastAsia="zh-CN"/>
        </w:rPr>
        <w:t>元</w:t>
      </w:r>
      <w:r>
        <w:rPr>
          <w:rFonts w:hint="eastAsia" w:eastAsia="仿宋_GB2312"/>
          <w:sz w:val="30"/>
          <w:szCs w:val="30"/>
        </w:rPr>
        <w:t>，主要原因是</w:t>
      </w:r>
      <w:r>
        <w:rPr>
          <w:rFonts w:hint="eastAsia" w:ascii="仿宋_GB2312" w:eastAsia="仿宋_GB2312" w:cs="仿宋_GB2312"/>
          <w:sz w:val="30"/>
          <w:szCs w:val="30"/>
          <w:u w:val="none"/>
          <w:lang w:val="en-US" w:eastAsia="zh-CN"/>
        </w:rPr>
        <w:t>压减一般公共预算支出</w:t>
      </w:r>
      <w:r>
        <w:rPr>
          <w:rFonts w:hint="eastAsia" w:eastAsia="仿宋_GB2312"/>
          <w:sz w:val="30"/>
          <w:szCs w:val="30"/>
        </w:rPr>
        <w:t>。</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其中：人员经费9272008.09元，主要包括基本工资、津贴补贴、奖金、机关事业单位养老保险缴费、职业年金缴费、职工基本医疗保险缴费、公务员医疗补助缴费、其他社会保障缴费、住房公积金、其他工资福利支出、退休费、抚恤金、生活补助；公用经费2053865.01元，主要包括办公费、手续费、水费、电费、邮电费、取暖费、物业管理费、差旅费、维修（护）费、委托物业费、工会经费、福利费、其他交通费用、其他商品和服务支出。</w:t>
      </w:r>
    </w:p>
    <w:p>
      <w:pPr>
        <w:pStyle w:val="3"/>
        <w:spacing w:before="0" w:after="0" w:line="600" w:lineRule="exact"/>
        <w:ind w:firstLine="600" w:firstLineChars="200"/>
        <w:rPr>
          <w:rFonts w:ascii="黑体" w:hAnsi="黑体" w:eastAsia="黑体"/>
          <w:b w:val="0"/>
          <w:sz w:val="30"/>
          <w:szCs w:val="30"/>
        </w:rPr>
      </w:pPr>
      <w:bookmarkStart w:id="23" w:name="_Toc27173"/>
      <w:r>
        <w:rPr>
          <w:rFonts w:hint="eastAsia" w:ascii="黑体" w:hAnsi="黑体" w:eastAsia="黑体"/>
          <w:b w:val="0"/>
          <w:sz w:val="30"/>
          <w:szCs w:val="30"/>
          <w:lang w:eastAsia="zh-CN"/>
        </w:rPr>
        <w:t>七</w:t>
      </w:r>
      <w:r>
        <w:rPr>
          <w:rFonts w:hint="eastAsia" w:ascii="黑体" w:hAnsi="黑体" w:eastAsia="黑体"/>
          <w:b w:val="0"/>
          <w:sz w:val="30"/>
          <w:szCs w:val="30"/>
        </w:rPr>
        <w:t>、</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3"/>
      <w:r>
        <w:rPr>
          <w:rFonts w:hint="eastAsia" w:ascii="黑体" w:hAnsi="黑体" w:eastAsia="黑体"/>
          <w:b w:val="0"/>
          <w:bCs w:val="0"/>
          <w:sz w:val="30"/>
          <w:szCs w:val="30"/>
          <w:lang w:eastAsia="zh-CN"/>
        </w:rPr>
        <w:t>说明</w:t>
      </w:r>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ascii="仿宋_GB2312" w:hAnsi="Times New Roman" w:eastAsia="仿宋_GB2312" w:cs="仿宋_GB2312"/>
          <w:sz w:val="30"/>
          <w:szCs w:val="30"/>
          <w:u w:val="none"/>
          <w:lang w:val="en-US" w:eastAsia="zh-CN"/>
        </w:rPr>
        <w:t>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w:t>
      </w:r>
      <w:r>
        <w:rPr>
          <w:rFonts w:hint="eastAsia" w:ascii="仿宋_GB2312" w:hAnsi="Times New Roman" w:eastAsia="仿宋_GB2312" w:cs="仿宋_GB2312"/>
          <w:sz w:val="30"/>
          <w:szCs w:val="30"/>
          <w:u w:val="none"/>
          <w:lang w:val="en-US" w:eastAsia="zh-CN"/>
        </w:rPr>
        <w:t>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是本年度未用一般公共预算列支“三公”经费。</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eastAsia="仿宋_GB2312"/>
          <w:sz w:val="30"/>
          <w:szCs w:val="30"/>
        </w:rPr>
        <w:t>，与预算相</w:t>
      </w:r>
      <w:r>
        <w:rPr>
          <w:rFonts w:hint="eastAsia" w:ascii="仿宋_GB2312" w:hAnsi="Times New Roman" w:eastAsia="仿宋_GB2312" w:cs="仿宋_GB2312"/>
          <w:sz w:val="30"/>
          <w:szCs w:val="30"/>
          <w:u w:val="none"/>
          <w:lang w:val="en-US" w:eastAsia="zh-CN"/>
        </w:rPr>
        <w:t>比持平</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hint="eastAsia" w:eastAsia="仿宋_GB2312"/>
          <w:sz w:val="30"/>
          <w:szCs w:val="30"/>
        </w:rPr>
        <w:t>。2021年本单位组织的出国团</w:t>
      </w:r>
      <w:r>
        <w:rPr>
          <w:rFonts w:hint="eastAsia" w:ascii="仿宋_GB2312" w:hAnsi="Times New Roman" w:eastAsia="仿宋_GB2312" w:cs="仿宋_GB2312"/>
          <w:sz w:val="30"/>
          <w:szCs w:val="30"/>
          <w:u w:val="none"/>
          <w:lang w:val="en-US" w:eastAsia="zh-CN"/>
        </w:rPr>
        <w:t>组 0</w:t>
      </w:r>
      <w:r>
        <w:rPr>
          <w:rFonts w:hint="eastAsia" w:eastAsia="仿宋_GB2312"/>
          <w:sz w:val="30"/>
          <w:szCs w:val="30"/>
          <w:lang w:val="en-US" w:eastAsia="zh-CN"/>
        </w:rPr>
        <w:t>个</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出国0人</w:t>
      </w:r>
      <w:r>
        <w:rPr>
          <w:rFonts w:hint="eastAsia" w:eastAsia="仿宋_GB2312"/>
          <w:sz w:val="30"/>
          <w:szCs w:val="30"/>
        </w:rPr>
        <w:t>次。</w:t>
      </w:r>
    </w:p>
    <w:p>
      <w:pPr>
        <w:spacing w:line="600" w:lineRule="exact"/>
        <w:ind w:firstLine="600" w:firstLineChars="200"/>
        <w:jc w:val="both"/>
        <w:rPr>
          <w:rFonts w:hint="eastAsia" w:eastAsia="仿宋_GB2312"/>
          <w:sz w:val="30"/>
          <w:szCs w:val="30"/>
        </w:rPr>
      </w:pPr>
      <w:r>
        <w:rPr>
          <w:rFonts w:hint="eastAsia" w:eastAsia="仿宋_GB2312"/>
          <w:sz w:val="30"/>
          <w:szCs w:val="30"/>
        </w:rPr>
        <w:t>（二）</w:t>
      </w:r>
      <w:r>
        <w:rPr>
          <w:rFonts w:hint="eastAsia" w:ascii="Times New Roman" w:hAnsi="Times New Roman" w:eastAsia="仿宋_GB2312" w:cs="Times New Roman"/>
          <w:sz w:val="30"/>
          <w:szCs w:val="30"/>
        </w:rPr>
        <w:t>2021年公务用车购置及运行维护费</w:t>
      </w:r>
      <w:r>
        <w:rPr>
          <w:rFonts w:hint="eastAsia" w:ascii="仿宋_GB2312" w:hAnsi="Times New Roman" w:eastAsia="仿宋_GB2312" w:cs="仿宋_GB2312"/>
          <w:sz w:val="30"/>
          <w:szCs w:val="30"/>
          <w:u w:val="none"/>
          <w:lang w:val="en-US" w:eastAsia="zh-CN"/>
        </w:rPr>
        <w:t>决算0.00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，其中公务用车运行</w:t>
      </w:r>
      <w:r>
        <w:rPr>
          <w:rFonts w:hint="eastAsia" w:ascii="仿宋_GB2312" w:hAnsi="Times New Roman" w:eastAsia="仿宋_GB2312" w:cs="仿宋_GB2312"/>
          <w:sz w:val="30"/>
          <w:szCs w:val="30"/>
          <w:u w:val="none"/>
          <w:lang w:val="en-US" w:eastAsia="zh-CN"/>
        </w:rPr>
        <w:t>维护费0.00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，与预算相</w:t>
      </w:r>
      <w:r>
        <w:rPr>
          <w:rFonts w:hint="eastAsia" w:ascii="仿宋_GB2312" w:hAnsi="Times New Roman" w:eastAsia="仿宋_GB2312" w:cs="仿宋_GB2312"/>
          <w:sz w:val="30"/>
          <w:szCs w:val="30"/>
          <w:u w:val="none"/>
          <w:lang w:val="en-US" w:eastAsia="zh-CN"/>
        </w:rPr>
        <w:t>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公务用车购置</w:t>
      </w:r>
      <w:r>
        <w:rPr>
          <w:rFonts w:hint="eastAsia" w:ascii="仿宋_GB2312" w:hAnsi="Times New Roman" w:eastAsia="仿宋_GB2312" w:cs="仿宋_GB2312"/>
          <w:sz w:val="30"/>
          <w:szCs w:val="30"/>
          <w:u w:val="none"/>
          <w:lang w:val="en-US" w:eastAsia="zh-CN"/>
        </w:rPr>
        <w:t>费0.00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预算</w:t>
      </w:r>
      <w:r>
        <w:rPr>
          <w:rFonts w:hint="eastAsia" w:ascii="仿宋_GB2312" w:hAnsi="Times New Roman" w:eastAsia="仿宋_GB2312" w:cs="仿宋_GB2312"/>
          <w:sz w:val="30"/>
          <w:szCs w:val="30"/>
          <w:u w:val="none"/>
          <w:lang w:val="en-US" w:eastAsia="zh-CN"/>
        </w:rPr>
        <w:t>相比持平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w:t>
      </w:r>
      <w:r>
        <w:rPr>
          <w:rFonts w:hint="eastAsia" w:ascii="仿宋_GB2312" w:hAnsi="Times New Roman" w:eastAsia="仿宋_GB2312" w:cs="仿宋_GB2312"/>
          <w:sz w:val="30"/>
          <w:szCs w:val="30"/>
          <w:u w:val="none"/>
          <w:lang w:val="en-US" w:eastAsia="zh-CN"/>
        </w:rPr>
        <w:t>有0辆</w:t>
      </w:r>
      <w:r>
        <w:rPr>
          <w:rFonts w:hint="eastAsia" w:ascii="仿宋_GB2312" w:eastAsia="仿宋_GB2312" w:cs="仿宋_GB2312"/>
          <w:sz w:val="30"/>
          <w:szCs w:val="30"/>
        </w:rPr>
        <w:t>，购置公务</w:t>
      </w:r>
      <w:r>
        <w:rPr>
          <w:rFonts w:hint="eastAsia" w:ascii="仿宋_GB2312" w:hAnsi="Times New Roman" w:eastAsia="仿宋_GB2312" w:cs="仿宋_GB2312"/>
          <w:sz w:val="30"/>
          <w:szCs w:val="30"/>
          <w:u w:val="none"/>
          <w:lang w:val="en-US" w:eastAsia="zh-CN"/>
        </w:rPr>
        <w:t>用车0</w:t>
      </w:r>
      <w:r>
        <w:rPr>
          <w:rFonts w:hint="eastAsia" w:ascii="仿宋_GB2312" w:eastAsia="仿宋_GB2312" w:cs="仿宋_GB2312"/>
          <w:sz w:val="30"/>
          <w:szCs w:val="30"/>
        </w:rPr>
        <w:t>辆。</w:t>
      </w:r>
    </w:p>
    <w:p>
      <w:pPr>
        <w:spacing w:line="600" w:lineRule="exact"/>
        <w:ind w:firstLine="645"/>
        <w:rPr>
          <w:rFonts w:hint="eastAsia"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，与预算相比持平</w:t>
      </w:r>
      <w:r>
        <w:rPr>
          <w:rFonts w:eastAsia="仿宋_GB2312"/>
          <w:sz w:val="30"/>
          <w:szCs w:val="30"/>
        </w:rPr>
        <w:t>，</w:t>
      </w:r>
      <w:r>
        <w:rPr>
          <w:rFonts w:hint="eastAsia" w:ascii="仿宋_GB2312" w:hAnsi="Times New Roman" w:eastAsia="仿宋_GB2312" w:cs="仿宋_GB2312"/>
          <w:sz w:val="30"/>
          <w:szCs w:val="30"/>
          <w:u w:val="none"/>
          <w:lang w:val="en-US" w:eastAsia="zh-CN"/>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w:t>
      </w:r>
      <w:r>
        <w:rPr>
          <w:rFonts w:hint="eastAsia" w:eastAsia="仿宋_GB2312" w:cs="仿宋_GB2312"/>
          <w:sz w:val="30"/>
          <w:szCs w:val="30"/>
        </w:rPr>
        <w:t>次；其中，外事接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0人次</w:t>
      </w:r>
      <w:r>
        <w:rPr>
          <w:rFonts w:hint="eastAsia" w:eastAsia="仿宋_GB2312" w:cs="仿宋_GB2312"/>
          <w:sz w:val="30"/>
          <w:szCs w:val="30"/>
        </w:rPr>
        <w:t>。</w:t>
      </w:r>
    </w:p>
    <w:p>
      <w:pPr>
        <w:pStyle w:val="3"/>
        <w:spacing w:before="0" w:after="0" w:line="600" w:lineRule="exact"/>
        <w:ind w:firstLine="600" w:firstLineChars="200"/>
        <w:rPr>
          <w:rFonts w:hint="eastAsia" w:ascii="楷体" w:hAnsi="楷体" w:eastAsia="楷体" w:cs="仿宋_GB2312"/>
          <w:b w:val="0"/>
          <w:sz w:val="30"/>
          <w:szCs w:val="30"/>
        </w:rPr>
      </w:pPr>
      <w:bookmarkStart w:id="24" w:name="_Toc18682"/>
      <w:r>
        <w:rPr>
          <w:rFonts w:hint="eastAsia" w:ascii="黑体" w:hAnsi="黑体" w:eastAsia="黑体"/>
          <w:b w:val="0"/>
          <w:sz w:val="30"/>
          <w:szCs w:val="30"/>
          <w:lang w:eastAsia="zh-CN"/>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4"/>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本级）2021年度部门决算政府性基金预算财政拨款年初结转和结余672445928.84元，收入586572885.63元，支出905820389.37元，年末结转和结余353198425.10元。与2020年度相比，政府性基金预算财政拨款支出减少514181454.60元，下降36.21%，主要原因是</w:t>
      </w:r>
      <w:r>
        <w:rPr>
          <w:rFonts w:hint="eastAsia" w:ascii="仿宋_GB2312" w:eastAsia="仿宋_GB2312" w:cs="仿宋_GB2312"/>
          <w:sz w:val="30"/>
          <w:szCs w:val="30"/>
          <w:u w:val="none"/>
          <w:lang w:val="en-US" w:eastAsia="zh-CN"/>
        </w:rPr>
        <w:t>压减政府性基金预算支出</w:t>
      </w:r>
      <w:r>
        <w:rPr>
          <w:rFonts w:hint="eastAsia" w:ascii="仿宋_GB2312" w:hAnsi="Times New Roman" w:eastAsia="仿宋_GB2312" w:cs="仿宋_GB2312"/>
          <w:sz w:val="30"/>
          <w:szCs w:val="30"/>
          <w:u w:val="none"/>
          <w:lang w:val="en-US" w:eastAsia="zh-CN"/>
        </w:rPr>
        <w:t>。</w:t>
      </w:r>
    </w:p>
    <w:p>
      <w:pPr>
        <w:pStyle w:val="3"/>
        <w:spacing w:before="0" w:after="0" w:line="600" w:lineRule="exact"/>
        <w:ind w:firstLine="600" w:firstLineChars="200"/>
        <w:rPr>
          <w:rFonts w:hint="eastAsia" w:eastAsia="黑体"/>
          <w:b w:val="0"/>
          <w:sz w:val="30"/>
          <w:szCs w:val="30"/>
        </w:rPr>
      </w:pPr>
      <w:bookmarkStart w:id="25" w:name="_Toc11823"/>
      <w:r>
        <w:rPr>
          <w:rFonts w:hint="eastAsia" w:eastAsia="黑体"/>
          <w:b w:val="0"/>
          <w:sz w:val="30"/>
          <w:szCs w:val="30"/>
          <w:lang w:eastAsia="zh-CN"/>
        </w:rPr>
        <w:t>九</w:t>
      </w:r>
      <w:r>
        <w:rPr>
          <w:rFonts w:hint="eastAsia" w:eastAsia="黑体"/>
          <w:b w:val="0"/>
          <w:sz w:val="30"/>
          <w:szCs w:val="30"/>
        </w:rPr>
        <w:t>、国有资本经营预算财政拨款收支决算情况</w:t>
      </w:r>
      <w:bookmarkEnd w:id="25"/>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天津市津南区住房和建设委员会（本级）2021年度无国有资本经营预算财政拨款收入、支出和结转结余。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6" w:name="_Toc8800"/>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bookmarkEnd w:id="26"/>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机关运行经费是指行政单位和参照公务员法管理的事业单位使用一般公共预算财政拨款安排的基本支出中的日常公用经费支出，天津市津南区住房和建设委员会（本级）2021年度机关运行经费决算数2053865.01元，比2020年增加354179.33元，增长20.84%，主要原因是</w:t>
      </w:r>
      <w:r>
        <w:rPr>
          <w:rFonts w:hint="eastAsia" w:ascii="仿宋_GB2312" w:eastAsia="仿宋_GB2312" w:cs="仿宋_GB2312"/>
          <w:sz w:val="30"/>
          <w:szCs w:val="30"/>
          <w:u w:val="none"/>
          <w:lang w:val="en-US" w:eastAsia="zh-CN"/>
        </w:rPr>
        <w:t>2021年住建委下属二级单位搬迁合并办公</w:t>
      </w:r>
      <w:r>
        <w:rPr>
          <w:rFonts w:hint="eastAsia" w:ascii="仿宋_GB2312" w:hAnsi="Times New Roman" w:eastAsia="仿宋_GB2312" w:cs="仿宋_GB2312"/>
          <w:sz w:val="30"/>
          <w:szCs w:val="30"/>
          <w:u w:val="none"/>
          <w:lang w:val="en-US" w:eastAsia="zh-CN"/>
        </w:rPr>
        <w:t>。</w:t>
      </w:r>
    </w:p>
    <w:p>
      <w:pPr>
        <w:pStyle w:val="3"/>
        <w:spacing w:before="0" w:after="0" w:line="600" w:lineRule="exact"/>
        <w:ind w:firstLine="600" w:firstLineChars="200"/>
        <w:rPr>
          <w:rFonts w:ascii="黑体" w:hAnsi="黑体" w:eastAsia="黑体"/>
          <w:b w:val="0"/>
          <w:sz w:val="30"/>
          <w:szCs w:val="30"/>
        </w:rPr>
      </w:pPr>
      <w:bookmarkStart w:id="27" w:name="_Toc8078"/>
      <w:r>
        <w:rPr>
          <w:rFonts w:hint="eastAsia"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7"/>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天津市津南区住房和建设委员会（本级）2021年度无政府采购支出。</w:t>
      </w:r>
    </w:p>
    <w:p>
      <w:pPr>
        <w:pStyle w:val="3"/>
        <w:spacing w:before="0" w:after="0" w:line="600" w:lineRule="exact"/>
        <w:ind w:firstLine="600" w:firstLineChars="200"/>
        <w:rPr>
          <w:rFonts w:hint="eastAsia" w:ascii="黑体" w:hAnsi="黑体" w:eastAsia="黑体"/>
          <w:b w:val="0"/>
          <w:sz w:val="30"/>
          <w:szCs w:val="30"/>
        </w:rPr>
      </w:pPr>
      <w:bookmarkStart w:id="28" w:name="_Toc2866"/>
      <w:r>
        <w:rPr>
          <w:rFonts w:hint="eastAsia" w:ascii="黑体" w:hAnsi="黑体" w:eastAsia="黑体"/>
          <w:b w:val="0"/>
          <w:sz w:val="30"/>
          <w:szCs w:val="30"/>
        </w:rPr>
        <w:t>十</w:t>
      </w:r>
      <w:r>
        <w:rPr>
          <w:rFonts w:hint="eastAsia" w:ascii="黑体" w:hAnsi="黑体" w:eastAsia="黑体"/>
          <w:b w:val="0"/>
          <w:sz w:val="30"/>
          <w:szCs w:val="30"/>
          <w:lang w:eastAsia="zh-CN"/>
        </w:rPr>
        <w:t>二</w:t>
      </w:r>
      <w:r>
        <w:rPr>
          <w:rFonts w:hint="eastAsia" w:ascii="黑体" w:hAnsi="黑体" w:eastAsia="黑体"/>
          <w:b w:val="0"/>
          <w:sz w:val="30"/>
          <w:szCs w:val="30"/>
        </w:rPr>
        <w:t>、国有资产占有使用情况</w:t>
      </w:r>
      <w:bookmarkEnd w:id="28"/>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截至2021年12月31日，天津市津南区住房和建设委员会（本级）共有车辆5辆，其中：副部（省）级及以上领导用车0辆、主要领导干部用车0辆、机要通信车0辆、应急保障用车0辆、执法执勤用车0辆、特种专业技术用车0辆、离退休干部用车0辆、其他用车5辆，其他用车主要包括。单价50万元以上的通用设备0台（套），单价100万元以上的专用设备0 台（套）。</w:t>
      </w:r>
    </w:p>
    <w:p>
      <w:pPr>
        <w:pStyle w:val="3"/>
        <w:spacing w:before="0" w:after="0" w:line="600" w:lineRule="exact"/>
        <w:ind w:firstLine="600" w:firstLineChars="200"/>
        <w:rPr>
          <w:rFonts w:hint="eastAsia" w:ascii="黑体" w:hAnsi="黑体" w:eastAsia="黑体"/>
          <w:b w:val="0"/>
          <w:bCs w:val="0"/>
          <w:sz w:val="30"/>
          <w:szCs w:val="30"/>
        </w:rPr>
      </w:pPr>
      <w:bookmarkStart w:id="29" w:name="_Toc3441"/>
      <w:r>
        <w:rPr>
          <w:rFonts w:hint="eastAsia" w:ascii="黑体" w:hAnsi="黑体" w:eastAsia="黑体"/>
          <w:b w:val="0"/>
          <w:bCs w:val="0"/>
          <w:sz w:val="30"/>
          <w:szCs w:val="30"/>
        </w:rPr>
        <w:t>十</w:t>
      </w:r>
      <w:r>
        <w:rPr>
          <w:rFonts w:hint="eastAsia" w:ascii="黑体" w:hAnsi="黑体" w:eastAsia="黑体"/>
          <w:b w:val="0"/>
          <w:bCs w:val="0"/>
          <w:sz w:val="30"/>
          <w:szCs w:val="30"/>
          <w:lang w:eastAsia="zh-CN"/>
        </w:rPr>
        <w:t>三</w:t>
      </w:r>
      <w:r>
        <w:rPr>
          <w:rFonts w:hint="eastAsia" w:ascii="黑体" w:hAnsi="黑体" w:eastAsia="黑体"/>
          <w:b w:val="0"/>
          <w:bCs w:val="0"/>
          <w:sz w:val="30"/>
          <w:szCs w:val="30"/>
        </w:rPr>
        <w:t>、预算绩效情况说明</w:t>
      </w:r>
      <w:bookmarkEnd w:id="29"/>
    </w:p>
    <w:p>
      <w:pPr>
        <w:spacing w:line="600" w:lineRule="exact"/>
        <w:ind w:firstLine="600" w:firstLineChars="200"/>
        <w:jc w:val="both"/>
        <w:rPr>
          <w:rFonts w:hint="eastAsia" w:eastAsia="仿宋_GB2312"/>
          <w:sz w:val="30"/>
          <w:szCs w:val="30"/>
          <w:highlight w:val="none"/>
          <w:lang w:val="en-US" w:eastAsia="zh-CN"/>
        </w:rPr>
      </w:pPr>
      <w:bookmarkStart w:id="30" w:name="_Toc11040"/>
      <w:r>
        <w:rPr>
          <w:rFonts w:eastAsia="仿宋_GB2312"/>
          <w:sz w:val="30"/>
          <w:szCs w:val="30"/>
          <w:highlight w:val="none"/>
        </w:rPr>
        <w:t>根据预算绩效管理要求，</w:t>
      </w:r>
      <w:r>
        <w:rPr>
          <w:rFonts w:hint="eastAsia" w:eastAsia="仿宋_GB2312"/>
          <w:sz w:val="30"/>
          <w:szCs w:val="30"/>
          <w:highlight w:val="none"/>
          <w:lang w:val="en-US" w:eastAsia="zh-CN"/>
        </w:rPr>
        <w:t>天津市津南区住房和建设委员会（本级）</w:t>
      </w:r>
      <w:r>
        <w:rPr>
          <w:rFonts w:eastAsia="仿宋_GB2312"/>
          <w:sz w:val="30"/>
          <w:szCs w:val="30"/>
          <w:highlight w:val="none"/>
        </w:rPr>
        <w:t>202</w:t>
      </w:r>
      <w:r>
        <w:rPr>
          <w:rFonts w:hint="eastAsia" w:eastAsia="仿宋_GB2312"/>
          <w:sz w:val="30"/>
          <w:szCs w:val="30"/>
          <w:highlight w:val="none"/>
        </w:rPr>
        <w:t>1</w:t>
      </w:r>
      <w:r>
        <w:rPr>
          <w:rFonts w:eastAsia="仿宋_GB2312"/>
          <w:sz w:val="30"/>
          <w:szCs w:val="30"/>
          <w:highlight w:val="none"/>
        </w:rPr>
        <w:t>年度</w:t>
      </w:r>
      <w:r>
        <w:rPr>
          <w:rFonts w:hint="eastAsia" w:eastAsia="仿宋_GB2312"/>
          <w:sz w:val="30"/>
          <w:szCs w:val="30"/>
          <w:highlight w:val="none"/>
          <w:lang w:val="en-US" w:eastAsia="zh-CN"/>
        </w:rPr>
        <w:t>已对51</w:t>
      </w:r>
      <w:r>
        <w:rPr>
          <w:rFonts w:eastAsia="仿宋_GB2312"/>
          <w:sz w:val="30"/>
          <w:szCs w:val="30"/>
          <w:highlight w:val="none"/>
        </w:rPr>
        <w:t>个项目开展绩效自评，涉</w:t>
      </w:r>
      <w:r>
        <w:rPr>
          <w:rFonts w:hint="eastAsia" w:eastAsia="仿宋_GB2312"/>
          <w:sz w:val="30"/>
          <w:szCs w:val="30"/>
          <w:highlight w:val="none"/>
          <w:lang w:val="en-US" w:eastAsia="zh-CN"/>
        </w:rPr>
        <w:t>及金额611435528.10元</w:t>
      </w:r>
      <w:r>
        <w:rPr>
          <w:rFonts w:hint="eastAsia" w:eastAsia="仿宋_GB2312"/>
          <w:sz w:val="30"/>
          <w:szCs w:val="30"/>
          <w:highlight w:val="none"/>
          <w:lang w:eastAsia="zh-CN"/>
        </w:rPr>
        <w:t>，</w:t>
      </w:r>
      <w:r>
        <w:rPr>
          <w:rFonts w:hint="eastAsia" w:eastAsia="仿宋_GB2312"/>
          <w:sz w:val="30"/>
          <w:szCs w:val="30"/>
          <w:highlight w:val="none"/>
        </w:rPr>
        <w:t>自评结果</w:t>
      </w:r>
      <w:r>
        <w:rPr>
          <w:rFonts w:hint="eastAsia" w:eastAsia="仿宋_GB2312"/>
          <w:sz w:val="30"/>
          <w:szCs w:val="30"/>
          <w:highlight w:val="none"/>
          <w:lang w:val="en-US" w:eastAsia="zh-CN"/>
        </w:rPr>
        <w:t>已随部门决算和“三公”经费决算一并公开</w:t>
      </w:r>
      <w:r>
        <w:rPr>
          <w:rFonts w:hint="eastAsia" w:eastAsia="仿宋_GB2312"/>
          <w:sz w:val="30"/>
          <w:szCs w:val="30"/>
          <w:highlight w:val="none"/>
          <w:lang w:eastAsia="zh-CN"/>
        </w:rPr>
        <w:t>。</w:t>
      </w:r>
    </w:p>
    <w:p>
      <w:pPr>
        <w:pStyle w:val="3"/>
        <w:spacing w:before="0" w:after="0" w:line="600" w:lineRule="exact"/>
        <w:ind w:firstLine="600" w:firstLineChars="200"/>
        <w:rPr>
          <w:rFonts w:ascii="Times New Roman" w:hAnsi="Times New Roman" w:eastAsia="黑体"/>
          <w:b w:val="0"/>
          <w:sz w:val="30"/>
          <w:szCs w:val="30"/>
        </w:rPr>
      </w:pPr>
      <w:r>
        <w:rPr>
          <w:rFonts w:hint="eastAsia" w:ascii="Times New Roman" w:hAnsi="Times New Roman" w:eastAsia="黑体"/>
          <w:b w:val="0"/>
          <w:sz w:val="30"/>
          <w:szCs w:val="30"/>
        </w:rPr>
        <w:t>十</w:t>
      </w:r>
      <w:r>
        <w:rPr>
          <w:rFonts w:hint="eastAsia" w:ascii="Times New Roman" w:hAnsi="Times New Roman" w:eastAsia="黑体"/>
          <w:b w:val="0"/>
          <w:sz w:val="30"/>
          <w:szCs w:val="30"/>
          <w:lang w:eastAsia="zh-CN"/>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bookmarkEnd w:id="30"/>
      <w:r>
        <w:rPr>
          <w:rFonts w:hint="eastAsia" w:ascii="黑体" w:hAnsi="黑体" w:eastAsia="黑体"/>
          <w:b w:val="0"/>
          <w:bCs w:val="0"/>
          <w:sz w:val="30"/>
          <w:szCs w:val="30"/>
          <w:lang w:eastAsia="zh-CN"/>
        </w:rPr>
        <w:t>说明</w:t>
      </w:r>
    </w:p>
    <w:p>
      <w:pPr>
        <w:spacing w:line="600" w:lineRule="exact"/>
        <w:ind w:firstLine="645"/>
        <w:rPr>
          <w:rFonts w:hint="eastAsia" w:ascii="Times New Roman" w:hAnsi="Times New Roman" w:eastAsia="仿宋_GB2312" w:cs="仿宋_GB2312"/>
          <w:sz w:val="30"/>
          <w:szCs w:val="30"/>
          <w:lang w:val="en-US" w:eastAsia="zh-CN"/>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cs="仿宋_GB2312"/>
          <w:sz w:val="30"/>
          <w:szCs w:val="30"/>
          <w:lang w:val="en-US" w:eastAsia="zh-CN"/>
        </w:rPr>
        <w:t>天津市津南区住房和建设委员会（本级）2021年度无教育、医疗卫生、社会保障和就业、住房保障、涉农补贴等民生支出情况。</w:t>
      </w:r>
      <w:bookmarkStart w:id="31" w:name="_Toc18688"/>
    </w:p>
    <w:p>
      <w:pPr>
        <w:spacing w:line="600" w:lineRule="exact"/>
        <w:ind w:firstLine="645"/>
        <w:rPr>
          <w:rFonts w:hint="eastAsia" w:ascii="Times New Roman" w:hAnsi="Times New Roman" w:eastAsia="仿宋_GB2312" w:cs="仿宋_GB2312"/>
          <w:sz w:val="30"/>
          <w:szCs w:val="30"/>
          <w:lang w:val="en-US" w:eastAsia="zh-CN"/>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第四部分  名词解释</w:t>
      </w:r>
      <w:bookmarkEnd w:id="31"/>
    </w:p>
    <w:p>
      <w:pPr>
        <w:spacing w:line="600" w:lineRule="exact"/>
        <w:ind w:firstLine="600" w:firstLineChars="200"/>
        <w:rPr>
          <w:rFonts w:hint="eastAsia" w:ascii="仿宋_GB2312" w:eastAsia="仿宋_GB2312"/>
          <w:sz w:val="30"/>
          <w:szCs w:val="30"/>
        </w:rPr>
      </w:pPr>
    </w:p>
    <w:p>
      <w:pPr>
        <w:numPr>
          <w:ilvl w:val="0"/>
          <w:numId w:val="3"/>
        </w:numPr>
        <w:spacing w:line="600" w:lineRule="exact"/>
        <w:ind w:firstLine="600" w:firstLineChars="200"/>
        <w:rPr>
          <w:rFonts w:hint="eastAsia"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hint="eastAsia"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hint="eastAsia" w:eastAsia="仿宋_GB2312"/>
          <w:sz w:val="30"/>
          <w:szCs w:val="30"/>
          <w:highlight w:val="yellow"/>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left:207.25pt;margin-top:0pt;height:144pt;width:144pt;mso-position-horizontal-relative:margin;mso-wrap-style:none;z-index:251659264;mso-width-relative:page;mso-height-relative:page;" filled="f" stroked="f" coordsize="21600,21600" o:gfxdata="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pqXtf1wAAAAgBAAAPAAAAAAAAAAEAIAAAACIA&#10;AABkcnMvZG93bnJldi54bWxQSwECFAAUAAAACACHTuJAlg7nCdEBAACjAwAADgAAAAAAAAABACAA&#10;AAAmAQAAZHJzL2Uyb0RvYy54bWxQSwUGAAAAAAYABgBZAQAAaQUAAAAA&#10;">
              <v:fill on="f" focussize="0,0"/>
              <v:stroke on="f" weight="1.25pt"/>
              <v:imagedata o:title=""/>
              <o:lock v:ext="edit" aspectratio="f"/>
              <v:textbox inset="0mm,0mm,0mm,0mm" style="mso-fit-shape-to-text:t;">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04"/>
    <w:multiLevelType w:val="singleLevel"/>
    <w:tmpl w:val="5EF85A04"/>
    <w:lvl w:ilvl="0" w:tentative="0">
      <w:start w:val="1"/>
      <w:numFmt w:val="decimal"/>
      <w:suff w:val="nothing"/>
      <w:lvlText w:val="%1."/>
      <w:lvlJc w:val="left"/>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11D802DB"/>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E5A61"/>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21D09AE"/>
    <w:rsid w:val="02317CA1"/>
    <w:rsid w:val="02C26D17"/>
    <w:rsid w:val="032B2B72"/>
    <w:rsid w:val="03633F1C"/>
    <w:rsid w:val="03877CF5"/>
    <w:rsid w:val="03971CD2"/>
    <w:rsid w:val="03A73B20"/>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35D03D9"/>
    <w:rsid w:val="13A17616"/>
    <w:rsid w:val="149264E6"/>
    <w:rsid w:val="14D34118"/>
    <w:rsid w:val="14F31DE2"/>
    <w:rsid w:val="15127621"/>
    <w:rsid w:val="156A2C3E"/>
    <w:rsid w:val="157A3189"/>
    <w:rsid w:val="15E37C52"/>
    <w:rsid w:val="169221B4"/>
    <w:rsid w:val="16EA0A1B"/>
    <w:rsid w:val="181D0AF6"/>
    <w:rsid w:val="18E12A26"/>
    <w:rsid w:val="19207C9D"/>
    <w:rsid w:val="1A2F34CF"/>
    <w:rsid w:val="1AB904EF"/>
    <w:rsid w:val="1B0B6786"/>
    <w:rsid w:val="1C2E1750"/>
    <w:rsid w:val="1C8A5079"/>
    <w:rsid w:val="1DA340AC"/>
    <w:rsid w:val="1E2F4E67"/>
    <w:rsid w:val="1E506972"/>
    <w:rsid w:val="1E652469"/>
    <w:rsid w:val="1E8146FC"/>
    <w:rsid w:val="1EC8639D"/>
    <w:rsid w:val="1EC97805"/>
    <w:rsid w:val="1EFB07B0"/>
    <w:rsid w:val="1F6101B7"/>
    <w:rsid w:val="1FABD71D"/>
    <w:rsid w:val="20505929"/>
    <w:rsid w:val="2093268B"/>
    <w:rsid w:val="228770CD"/>
    <w:rsid w:val="236906A5"/>
    <w:rsid w:val="23BA0D09"/>
    <w:rsid w:val="24BA0C0F"/>
    <w:rsid w:val="259F5563"/>
    <w:rsid w:val="25AD749C"/>
    <w:rsid w:val="25AE4162"/>
    <w:rsid w:val="261B2634"/>
    <w:rsid w:val="26872640"/>
    <w:rsid w:val="26C653DA"/>
    <w:rsid w:val="26DF31AA"/>
    <w:rsid w:val="26EC5D21"/>
    <w:rsid w:val="27A13E6E"/>
    <w:rsid w:val="28863E70"/>
    <w:rsid w:val="28994B2A"/>
    <w:rsid w:val="28CD1B01"/>
    <w:rsid w:val="290441D9"/>
    <w:rsid w:val="292E4395"/>
    <w:rsid w:val="29867FF5"/>
    <w:rsid w:val="29D72E63"/>
    <w:rsid w:val="29F01BC9"/>
    <w:rsid w:val="2A1248CB"/>
    <w:rsid w:val="2A24302B"/>
    <w:rsid w:val="2A7456B8"/>
    <w:rsid w:val="2BDE345F"/>
    <w:rsid w:val="2CB024EC"/>
    <w:rsid w:val="2D2B1A30"/>
    <w:rsid w:val="2D5BB7F4"/>
    <w:rsid w:val="2DA87FE3"/>
    <w:rsid w:val="2DAB1C1C"/>
    <w:rsid w:val="2DFD2D30"/>
    <w:rsid w:val="2E6455AA"/>
    <w:rsid w:val="2E6E5875"/>
    <w:rsid w:val="2E8231D4"/>
    <w:rsid w:val="2EAA1E45"/>
    <w:rsid w:val="2EBA2F30"/>
    <w:rsid w:val="2F8573F4"/>
    <w:rsid w:val="2FFD4B55"/>
    <w:rsid w:val="31647FEC"/>
    <w:rsid w:val="31F32BCC"/>
    <w:rsid w:val="322D5537"/>
    <w:rsid w:val="32500429"/>
    <w:rsid w:val="329120FA"/>
    <w:rsid w:val="32B00783"/>
    <w:rsid w:val="33987EA4"/>
    <w:rsid w:val="33E55770"/>
    <w:rsid w:val="34DF42CF"/>
    <w:rsid w:val="34E404B6"/>
    <w:rsid w:val="353874A5"/>
    <w:rsid w:val="356C4B0F"/>
    <w:rsid w:val="357756D0"/>
    <w:rsid w:val="35F83418"/>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F6709D"/>
    <w:rsid w:val="56F540E8"/>
    <w:rsid w:val="574477F3"/>
    <w:rsid w:val="57814C22"/>
    <w:rsid w:val="579303E0"/>
    <w:rsid w:val="57A31265"/>
    <w:rsid w:val="57BD125F"/>
    <w:rsid w:val="59005937"/>
    <w:rsid w:val="596D5572"/>
    <w:rsid w:val="59DC537F"/>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5737FA2"/>
    <w:rsid w:val="65D920E1"/>
    <w:rsid w:val="65D9655D"/>
    <w:rsid w:val="6656630C"/>
    <w:rsid w:val="66EC0C69"/>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0D46CE"/>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6D453DD"/>
    <w:rsid w:val="773A73AB"/>
    <w:rsid w:val="775767BB"/>
    <w:rsid w:val="7779068F"/>
    <w:rsid w:val="77B92148"/>
    <w:rsid w:val="77FFE39F"/>
    <w:rsid w:val="781B1736"/>
    <w:rsid w:val="78F051A8"/>
    <w:rsid w:val="79EF18A6"/>
    <w:rsid w:val="7A903B21"/>
    <w:rsid w:val="7CF2196B"/>
    <w:rsid w:val="7D2E7430"/>
    <w:rsid w:val="7D982E67"/>
    <w:rsid w:val="7D9A013D"/>
    <w:rsid w:val="7E9160CF"/>
    <w:rsid w:val="7FDC2489"/>
    <w:rsid w:val="7FFDEEFD"/>
    <w:rsid w:val="D74FDF30"/>
    <w:rsid w:val="DEAEE68D"/>
    <w:rsid w:val="F7F97754"/>
    <w:rsid w:val="FB7FC3E7"/>
    <w:rsid w:val="FF39CB78"/>
    <w:rsid w:val="FF3F61B6"/>
    <w:rsid w:val="FFC7EC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unhideWhenUsed/>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15</Pages>
  <Words>4896</Words>
  <Characters>5770</Characters>
  <Lines>60</Lines>
  <Paragraphs>16</Paragraphs>
  <TotalTime>1179</TotalTime>
  <ScaleCrop>false</ScaleCrop>
  <LinksUpToDate>false</LinksUpToDate>
  <CharactersWithSpaces>5908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侯亚琪</cp:lastModifiedBy>
  <cp:lastPrinted>2022-07-15T16:53:00Z</cp:lastPrinted>
  <dcterms:modified xsi:type="dcterms:W3CDTF">2022-09-28T07:01:13Z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797AFC5B62604707B4045161FAE380F4</vt:lpwstr>
  </property>
</Properties>
</file>