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hint="default" w:ascii="黑体" w:hAnsi="黑体" w:eastAsia="黑体" w:cs="黑体"/>
          <w:w w:val="95"/>
          <w:sz w:val="32"/>
          <w:szCs w:val="32"/>
          <w:lang w:val="en"/>
        </w:rPr>
      </w:pPr>
      <w:r>
        <w:rPr>
          <w:rFonts w:hint="eastAsia" w:ascii="黑体" w:hAnsi="黑体" w:eastAsia="黑体" w:cs="黑体"/>
          <w:w w:val="95"/>
          <w:sz w:val="32"/>
          <w:szCs w:val="32"/>
          <w:lang w:val="en"/>
        </w:rPr>
        <w:t>附件</w:t>
      </w:r>
      <w:r>
        <w:rPr>
          <w:rFonts w:hint="default"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天津市津南区住房和建设委员会</w:t>
      </w:r>
    </w:p>
    <w:p>
      <w:pPr>
        <w:spacing w:line="240" w:lineRule="auto"/>
        <w:jc w:val="center"/>
        <w:rPr>
          <w:rFonts w:hint="eastAsia" w:ascii="方正小标宋简体" w:hAnsi="方正小标宋简体" w:eastAsia="方正小标宋简体" w:cs="方正小标宋简体"/>
          <w:sz w:val="48"/>
          <w:szCs w:val="48"/>
        </w:rPr>
        <w:sectPr>
          <w:pgSz w:w="11906" w:h="16838"/>
          <w:pgMar w:top="1440" w:right="1800" w:bottom="1440" w:left="1800" w:header="851" w:footer="992" w:gutter="0"/>
          <w:pgNumType w:fmt="decimal" w:start="1"/>
          <w:cols w:space="720" w:num="1"/>
          <w:docGrid w:type="lines" w:linePitch="312" w:charSpace="0"/>
        </w:sectPr>
      </w:pPr>
      <w:r>
        <w:rPr>
          <w:rFonts w:hint="eastAsia" w:ascii="方正小标宋简体" w:hAnsi="方正小标宋简体" w:eastAsia="方正小标宋简体" w:cs="方正小标宋简体"/>
          <w:sz w:val="48"/>
          <w:szCs w:val="48"/>
        </w:rPr>
        <w:t>2021年度部门决算</w:t>
      </w:r>
    </w:p>
    <w:p>
      <w:pPr>
        <w:spacing w:line="240" w:lineRule="auto"/>
        <w:jc w:val="both"/>
        <w:rPr>
          <w:rFonts w:hint="eastAsia" w:ascii="方正小标宋简体" w:hAnsi="方正小标宋简体" w:eastAsia="方正小标宋简体" w:cs="方正小标宋简体"/>
          <w:sz w:val="48"/>
          <w:szCs w:val="48"/>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1</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第二部分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年度部门决算表</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2</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_Toc7181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_Toc7181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_Toc25187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_Toc25187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footerReference r:id="rId5" w:type="default"/>
          <w:pgSz w:w="11906" w:h="16838"/>
          <w:pgMar w:top="1440" w:right="1800" w:bottom="1440" w:left="1800" w:header="851" w:footer="992" w:gutter="0"/>
          <w:pgNumType w:fmt="decimal"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第三部分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年度部门决算情况说明</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3</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7</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_Toc27173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_Toc18682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10"/>
        <w:tabs>
          <w:tab w:val="right" w:leader="dot" w:pos="8306"/>
        </w:tabs>
        <w:spacing w:after="0" w:line="700" w:lineRule="exact"/>
        <w:rPr>
          <w:rFonts w:hint="eastAsia" w:ascii="Times New Roman" w:hAnsi="Times New Roman" w:eastAsia="仿宋_GB2312"/>
          <w:sz w:val="30"/>
          <w:szCs w:val="30"/>
          <w:lang w:val="en-US" w:eastAsia="zh-C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r>
        <w:rPr>
          <w:rFonts w:hint="eastAsia" w:ascii="Times New Roman" w:hAnsi="Times New Roman" w:eastAsia="仿宋_GB2312"/>
          <w:sz w:val="30"/>
          <w:szCs w:val="30"/>
          <w:lang w:val="en-US" w:eastAsia="zh-CN"/>
        </w:rPr>
        <w:t>0</w:t>
      </w:r>
    </w:p>
    <w:p>
      <w:pPr>
        <w:pStyle w:val="10"/>
        <w:tabs>
          <w:tab w:val="right" w:leader="dot" w:pos="8306"/>
        </w:tabs>
        <w:spacing w:after="0" w:line="700" w:lineRule="exact"/>
        <w:rPr>
          <w:rFonts w:hint="default" w:ascii="Times New Roman" w:hAnsi="Times New Roman" w:eastAsia="仿宋_GB2312"/>
          <w:sz w:val="30"/>
          <w:szCs w:val="30"/>
          <w:lang w:val="e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_Toc11040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default" w:ascii="Times New Roman" w:hAnsi="Times New Roman" w:eastAsia="仿宋_GB2312"/>
          <w:sz w:val="30"/>
          <w:szCs w:val="30"/>
          <w:lang w:val="en"/>
        </w:rPr>
        <w:t>1</w:t>
      </w:r>
      <w:r>
        <w:rPr>
          <w:rFonts w:ascii="Times New Roman" w:hAnsi="Times New Roman" w:eastAsia="仿宋_GB2312"/>
          <w:sz w:val="30"/>
          <w:szCs w:val="30"/>
        </w:rPr>
        <w:fldChar w:fldCharType="end"/>
      </w:r>
      <w:r>
        <w:rPr>
          <w:rFonts w:hint="default" w:ascii="Times New Roman" w:hAnsi="Times New Roman" w:eastAsia="仿宋_GB2312"/>
          <w:sz w:val="30"/>
          <w:szCs w:val="30"/>
          <w:lang w:val="en"/>
        </w:rPr>
        <w:t>0</w:t>
      </w:r>
    </w:p>
    <w:p>
      <w:pPr>
        <w:pStyle w:val="9"/>
        <w:tabs>
          <w:tab w:val="right" w:leader="dot" w:pos="8306"/>
          <w:tab w:val="clear" w:pos="8296"/>
        </w:tabs>
        <w:spacing w:after="0" w:line="700" w:lineRule="exact"/>
        <w:rPr>
          <w:rFonts w:ascii="Times New Roman" w:hAnsi="Times New Roman"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HYPERLINK \l _Toc18688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_Toc18688 </w:instrText>
      </w:r>
      <w:r>
        <w:rPr>
          <w:rFonts w:ascii="Times New Roman" w:hAnsi="Times New Roman" w:cs="Times New Roman"/>
          <w:sz w:val="30"/>
          <w:szCs w:val="30"/>
        </w:rPr>
        <w:fldChar w:fldCharType="separate"/>
      </w:r>
      <w:r>
        <w:rPr>
          <w:rFonts w:ascii="Times New Roman" w:hAnsi="Times New Roman" w:cs="Times New Roman"/>
          <w:sz w:val="30"/>
          <w:szCs w:val="30"/>
        </w:rPr>
        <w:t>11</w:t>
      </w:r>
      <w:r>
        <w:rPr>
          <w:rFonts w:ascii="Times New Roman" w:hAnsi="Times New Roman" w:cs="Times New Roman"/>
          <w:sz w:val="30"/>
          <w:szCs w:val="30"/>
        </w:rPr>
        <w:fldChar w:fldCharType="end"/>
      </w:r>
      <w:r>
        <w:rPr>
          <w:rFonts w:ascii="Times New Roman"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6" w:type="default"/>
          <w:pgSz w:w="11906" w:h="16838"/>
          <w:pgMar w:top="1440" w:right="1800" w:bottom="1440" w:left="1800" w:header="851" w:footer="992" w:gutter="0"/>
          <w:pgNumType w:fmt="decimal"/>
          <w:cols w:space="720" w:num="1"/>
          <w:docGrid w:type="lines" w:linePitch="312" w:charSpace="0"/>
        </w:sectPr>
      </w:pPr>
      <w:r>
        <w:rPr>
          <w:rFonts w:ascii="Times New Roman" w:hAnsi="Times New Roman" w:eastAsia="仿宋_GB2312"/>
          <w:sz w:val="30"/>
          <w:szCs w:val="30"/>
        </w:rPr>
        <w:fldChar w:fldCharType="end"/>
      </w:r>
    </w:p>
    <w:p>
      <w:pPr>
        <w:rPr>
          <w:rFonts w:hint="eastAsia"/>
        </w:rPr>
      </w:pPr>
    </w:p>
    <w:p>
      <w:pPr>
        <w:pStyle w:val="2"/>
        <w:spacing w:before="0" w:after="0" w:line="600" w:lineRule="exact"/>
        <w:jc w:val="center"/>
        <w:rPr>
          <w:rFonts w:hint="eastAsia" w:ascii="方正小标宋简体" w:hAnsi="方正小标宋简体" w:eastAsia="方正小标宋简体" w:cs="方正小标宋简体"/>
          <w:b w:val="0"/>
          <w:sz w:val="48"/>
          <w:szCs w:val="48"/>
        </w:rPr>
      </w:pPr>
      <w:bookmarkStart w:id="0" w:name="_Toc6506"/>
    </w:p>
    <w:p>
      <w:pPr>
        <w:pStyle w:val="2"/>
        <w:spacing w:before="0" w:after="0" w:line="600" w:lineRule="exact"/>
        <w:jc w:val="center"/>
        <w:rPr>
          <w:rFonts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第一部分  概 况</w:t>
      </w:r>
      <w:bookmarkEnd w:id="0"/>
    </w:p>
    <w:p>
      <w:pPr>
        <w:spacing w:line="600" w:lineRule="exact"/>
        <w:rPr>
          <w:rFonts w:hint="eastAsia"/>
        </w:rPr>
      </w:pPr>
    </w:p>
    <w:p>
      <w:pPr>
        <w:pStyle w:val="3"/>
        <w:spacing w:before="0" w:after="0" w:line="600" w:lineRule="exact"/>
        <w:ind w:firstLine="600" w:firstLineChars="200"/>
        <w:rPr>
          <w:rFonts w:hint="eastAsia"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pPr>
        <w:spacing w:beforeLines="0" w:afterLines="0" w:line="580" w:lineRule="exact"/>
        <w:ind w:firstLine="600" w:firstLineChars="200"/>
        <w:rPr>
          <w:rFonts w:hint="default" w:ascii="仿宋_GB2312" w:hAnsi="宋体" w:eastAsia="仿宋_GB2312"/>
          <w:sz w:val="30"/>
          <w:szCs w:val="24"/>
          <w:u w:val="none"/>
        </w:rPr>
      </w:pPr>
      <w:bookmarkStart w:id="2" w:name="_Toc26464"/>
      <w:r>
        <w:rPr>
          <w:rFonts w:hint="eastAsia" w:ascii="仿宋_GB2312" w:hAnsi="宋体" w:eastAsia="仿宋_GB2312"/>
          <w:sz w:val="30"/>
          <w:szCs w:val="24"/>
          <w:u w:val="none"/>
        </w:rPr>
        <w:t>天津市津南区住房和建设委员会主要职责是贯彻执行国家有关住房和建设的法律、法规、规章和政策文件。负责组织实施区基础设施重点工程、协调区内市重点工程推进住房制度改革责任、承担城镇低收入住房困难家庭住房保障责任、物业管理活动的监督管理、建筑行业和建筑市场管理、规范房地产市场秩序、监督管理房地产市场的责任、建设工程消防设计审查验收。</w:t>
      </w:r>
    </w:p>
    <w:p>
      <w:pPr>
        <w:pStyle w:val="3"/>
        <w:spacing w:before="0" w:after="0" w:line="600" w:lineRule="exact"/>
        <w:ind w:firstLine="600" w:firstLineChars="200"/>
        <w:rPr>
          <w:rFonts w:hint="eastAsia"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hint="eastAsia" w:eastAsia="仿宋_GB2312"/>
          <w:sz w:val="30"/>
          <w:szCs w:val="30"/>
        </w:rPr>
      </w:pPr>
      <w:r>
        <w:rPr>
          <w:rFonts w:hint="eastAsia" w:eastAsia="仿宋_GB2312"/>
          <w:sz w:val="30"/>
          <w:szCs w:val="30"/>
          <w:lang w:val="en-US" w:eastAsia="zh-CN"/>
        </w:rPr>
        <w:t>天津市津南区住房和建设委员会</w:t>
      </w:r>
      <w:r>
        <w:rPr>
          <w:rFonts w:hint="eastAsia" w:eastAsia="仿宋_GB2312"/>
          <w:sz w:val="30"/>
          <w:szCs w:val="30"/>
        </w:rPr>
        <w:t>部门</w:t>
      </w:r>
      <w:r>
        <w:rPr>
          <w:rFonts w:eastAsia="仿宋_GB2312"/>
          <w:sz w:val="30"/>
          <w:szCs w:val="30"/>
        </w:rPr>
        <w:t>内设</w:t>
      </w:r>
      <w:r>
        <w:rPr>
          <w:rFonts w:hint="eastAsia" w:eastAsia="仿宋_GB2312"/>
          <w:sz w:val="30"/>
          <w:szCs w:val="30"/>
          <w:u w:val="single"/>
          <w:lang w:val="en-US" w:eastAsia="zh-CN"/>
        </w:rPr>
        <w:t>9</w:t>
      </w:r>
      <w:r>
        <w:rPr>
          <w:rFonts w:eastAsia="仿宋_GB2312"/>
          <w:sz w:val="30"/>
          <w:szCs w:val="30"/>
        </w:rPr>
        <w:t>个职能处室</w:t>
      </w:r>
      <w:r>
        <w:rPr>
          <w:rFonts w:hint="eastAsia" w:eastAsia="仿宋_GB2312"/>
          <w:sz w:val="30"/>
          <w:szCs w:val="30"/>
        </w:rPr>
        <w:t>；</w:t>
      </w:r>
      <w:r>
        <w:rPr>
          <w:rFonts w:eastAsia="仿宋_GB2312"/>
          <w:sz w:val="30"/>
          <w:szCs w:val="30"/>
        </w:rPr>
        <w:t>下辖</w:t>
      </w:r>
      <w:r>
        <w:rPr>
          <w:rFonts w:hint="eastAsia" w:eastAsia="仿宋_GB2312"/>
          <w:sz w:val="30"/>
          <w:szCs w:val="30"/>
          <w:u w:val="single"/>
          <w:lang w:val="en-US" w:eastAsia="zh-CN"/>
        </w:rPr>
        <w:t>5</w:t>
      </w:r>
      <w:r>
        <w:rPr>
          <w:rFonts w:eastAsia="仿宋_GB2312"/>
          <w:sz w:val="30"/>
          <w:szCs w:val="30"/>
        </w:rPr>
        <w:t>个预算单位。纳入</w:t>
      </w:r>
      <w:r>
        <w:rPr>
          <w:rFonts w:hint="eastAsia" w:eastAsia="仿宋_GB2312"/>
          <w:sz w:val="30"/>
          <w:szCs w:val="30"/>
          <w:lang w:val="en-US" w:eastAsia="zh-CN"/>
        </w:rPr>
        <w:t>天津市津南区住房和建设委员会</w:t>
      </w:r>
      <w:r>
        <w:rPr>
          <w:rFonts w:hint="eastAsia" w:eastAsia="仿宋_GB2312"/>
          <w:sz w:val="30"/>
          <w:szCs w:val="30"/>
        </w:rPr>
        <w:t>2021</w:t>
      </w:r>
      <w:r>
        <w:rPr>
          <w:rFonts w:eastAsia="仿宋_GB2312"/>
          <w:sz w:val="30"/>
          <w:szCs w:val="30"/>
        </w:rPr>
        <w:t>年</w:t>
      </w:r>
      <w:r>
        <w:rPr>
          <w:rFonts w:hint="eastAsia" w:eastAsia="仿宋_GB2312"/>
          <w:sz w:val="30"/>
          <w:szCs w:val="30"/>
        </w:rPr>
        <w:t>度</w:t>
      </w:r>
      <w:r>
        <w:rPr>
          <w:rFonts w:eastAsia="仿宋_GB2312"/>
          <w:sz w:val="30"/>
          <w:szCs w:val="30"/>
        </w:rPr>
        <w:t>部门决算编</w:t>
      </w:r>
      <w:r>
        <w:rPr>
          <w:rFonts w:hint="eastAsia" w:eastAsia="仿宋_GB2312"/>
          <w:sz w:val="30"/>
          <w:szCs w:val="30"/>
        </w:rPr>
        <w:t>制</w:t>
      </w:r>
      <w:r>
        <w:rPr>
          <w:rFonts w:eastAsia="仿宋_GB2312"/>
          <w:sz w:val="30"/>
          <w:szCs w:val="30"/>
        </w:rPr>
        <w:t>范围</w:t>
      </w:r>
      <w:r>
        <w:rPr>
          <w:rFonts w:hint="eastAsia" w:eastAsia="仿宋_GB2312"/>
          <w:sz w:val="30"/>
          <w:szCs w:val="30"/>
        </w:rPr>
        <w:t>的单位</w:t>
      </w:r>
      <w:r>
        <w:rPr>
          <w:rFonts w:eastAsia="仿宋_GB2312"/>
          <w:sz w:val="30"/>
          <w:szCs w:val="30"/>
        </w:rPr>
        <w:t>包括</w:t>
      </w:r>
      <w:r>
        <w:rPr>
          <w:rFonts w:hint="eastAsia" w:eastAsia="仿宋_GB2312"/>
          <w:sz w:val="30"/>
          <w:szCs w:val="30"/>
        </w:rPr>
        <w:t>：</w:t>
      </w:r>
    </w:p>
    <w:p>
      <w:pPr>
        <w:numPr>
          <w:ilvl w:val="0"/>
          <w:numId w:val="1"/>
        </w:numPr>
        <w:spacing w:line="600" w:lineRule="exact"/>
        <w:ind w:firstLine="600" w:firstLineChars="200"/>
        <w:rPr>
          <w:rFonts w:hint="eastAsia" w:ascii="仿宋" w:hAnsi="仿宋" w:eastAsia="仿宋" w:cs="仿宋"/>
          <w:sz w:val="30"/>
          <w:szCs w:val="30"/>
          <w:u w:val="none"/>
        </w:rPr>
      </w:pPr>
      <w:r>
        <w:rPr>
          <w:rFonts w:hint="eastAsia" w:ascii="仿宋" w:hAnsi="仿宋" w:eastAsia="仿宋" w:cs="仿宋"/>
          <w:sz w:val="30"/>
          <w:szCs w:val="24"/>
          <w:u w:val="none"/>
        </w:rPr>
        <w:t>天津市津南区住房和建设委员会</w:t>
      </w:r>
      <w:r>
        <w:rPr>
          <w:rFonts w:hint="eastAsia" w:ascii="仿宋" w:hAnsi="仿宋" w:eastAsia="仿宋" w:cs="仿宋"/>
          <w:sz w:val="30"/>
          <w:szCs w:val="24"/>
          <w:u w:val="none"/>
          <w:lang w:eastAsia="zh-CN"/>
        </w:rPr>
        <w:t>（本级）</w:t>
      </w:r>
    </w:p>
    <w:p>
      <w:pPr>
        <w:numPr>
          <w:ilvl w:val="0"/>
          <w:numId w:val="1"/>
        </w:numPr>
        <w:spacing w:line="600" w:lineRule="exact"/>
        <w:ind w:firstLine="600" w:firstLineChars="200"/>
        <w:rPr>
          <w:rFonts w:hint="eastAsia" w:ascii="仿宋" w:hAnsi="仿宋" w:eastAsia="仿宋" w:cs="仿宋"/>
          <w:sz w:val="30"/>
          <w:szCs w:val="30"/>
          <w:u w:val="none"/>
        </w:rPr>
      </w:pPr>
      <w:r>
        <w:rPr>
          <w:rFonts w:hint="eastAsia" w:ascii="仿宋" w:hAnsi="仿宋" w:eastAsia="仿宋" w:cs="仿宋"/>
          <w:kern w:val="0"/>
          <w:sz w:val="30"/>
          <w:szCs w:val="30"/>
          <w:u w:val="none"/>
        </w:rPr>
        <w:t>天津市津南区建设工程质量安全监督管理支队</w:t>
      </w:r>
    </w:p>
    <w:p>
      <w:pPr>
        <w:numPr>
          <w:ilvl w:val="0"/>
          <w:numId w:val="1"/>
        </w:numPr>
        <w:spacing w:line="600" w:lineRule="exact"/>
        <w:ind w:firstLine="600" w:firstLineChars="200"/>
        <w:rPr>
          <w:rFonts w:hint="eastAsia" w:ascii="仿宋" w:hAnsi="仿宋" w:eastAsia="仿宋" w:cs="仿宋"/>
          <w:sz w:val="30"/>
          <w:szCs w:val="30"/>
          <w:u w:val="none"/>
        </w:rPr>
      </w:pPr>
      <w:r>
        <w:rPr>
          <w:rFonts w:hint="eastAsia" w:ascii="仿宋" w:hAnsi="仿宋" w:eastAsia="仿宋" w:cs="仿宋"/>
          <w:kern w:val="0"/>
          <w:sz w:val="30"/>
          <w:szCs w:val="30"/>
          <w:u w:val="none"/>
          <w:lang w:eastAsia="zh-CN"/>
        </w:rPr>
        <w:t>天津市津南区住房和建设服务中心</w:t>
      </w:r>
    </w:p>
    <w:p>
      <w:pPr>
        <w:numPr>
          <w:ilvl w:val="0"/>
          <w:numId w:val="1"/>
        </w:numPr>
        <w:spacing w:line="600" w:lineRule="exact"/>
        <w:ind w:firstLine="600" w:firstLineChars="200"/>
        <w:rPr>
          <w:rFonts w:hint="eastAsia" w:ascii="仿宋" w:hAnsi="仿宋" w:eastAsia="仿宋" w:cs="仿宋"/>
          <w:sz w:val="30"/>
          <w:szCs w:val="30"/>
          <w:u w:val="none"/>
        </w:rPr>
      </w:pPr>
      <w:r>
        <w:rPr>
          <w:rFonts w:hint="eastAsia" w:ascii="仿宋" w:hAnsi="仿宋" w:eastAsia="仿宋" w:cs="仿宋"/>
          <w:kern w:val="0"/>
          <w:sz w:val="30"/>
          <w:szCs w:val="30"/>
          <w:u w:val="none"/>
          <w:lang w:eastAsia="zh-CN"/>
        </w:rPr>
        <w:t>天津市津南区物业服务中心</w:t>
      </w:r>
    </w:p>
    <w:p>
      <w:pPr>
        <w:numPr>
          <w:ilvl w:val="0"/>
          <w:numId w:val="1"/>
        </w:numPr>
        <w:spacing w:line="600" w:lineRule="exact"/>
        <w:ind w:firstLine="600" w:firstLineChars="200"/>
        <w:rPr>
          <w:rFonts w:hint="eastAsia" w:ascii="仿宋" w:hAnsi="仿宋" w:eastAsia="仿宋" w:cs="仿宋"/>
          <w:sz w:val="30"/>
          <w:szCs w:val="30"/>
          <w:u w:val="none"/>
        </w:rPr>
      </w:pPr>
      <w:r>
        <w:rPr>
          <w:rFonts w:hint="eastAsia" w:ascii="仿宋" w:hAnsi="仿宋" w:eastAsia="仿宋" w:cs="仿宋"/>
          <w:sz w:val="30"/>
          <w:szCs w:val="30"/>
          <w:u w:val="none"/>
          <w:lang w:eastAsia="zh-CN"/>
        </w:rPr>
        <w:t>天津市津南区工程建设交易服务中心</w:t>
      </w:r>
    </w:p>
    <w:p>
      <w:pPr>
        <w:spacing w:line="600" w:lineRule="exact"/>
        <w:ind w:firstLine="600" w:firstLineChars="200"/>
        <w:rPr>
          <w:rFonts w:hint="eastAsia" w:eastAsia="仿宋_GB2312"/>
          <w:sz w:val="30"/>
          <w:szCs w:val="30"/>
        </w:rPr>
      </w:pPr>
    </w:p>
    <w:p>
      <w:pPr>
        <w:pStyle w:val="2"/>
        <w:spacing w:before="0" w:after="0" w:line="600" w:lineRule="exact"/>
        <w:jc w:val="center"/>
        <w:rPr>
          <w:rFonts w:ascii="方正小标宋简体" w:hAnsi="方正小标宋简体" w:eastAsia="方正小标宋简体" w:cs="方正小标宋简体"/>
          <w:b w:val="0"/>
          <w:sz w:val="44"/>
          <w:szCs w:val="44"/>
        </w:rPr>
      </w:pPr>
      <w:bookmarkStart w:id="3" w:name="_Toc30850"/>
    </w:p>
    <w:p>
      <w:pPr>
        <w:pStyle w:val="2"/>
        <w:spacing w:before="0" w:after="0" w:line="600" w:lineRule="exact"/>
        <w:jc w:val="center"/>
        <w:rPr>
          <w:rFonts w:hint="eastAsia"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二</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表</w:t>
      </w:r>
      <w:bookmarkEnd w:id="3"/>
    </w:p>
    <w:p>
      <w:pPr>
        <w:spacing w:line="600" w:lineRule="exact"/>
        <w:rPr>
          <w:rFonts w:hint="eastAsia"/>
        </w:rPr>
      </w:pPr>
    </w:p>
    <w:p>
      <w:pPr>
        <w:pStyle w:val="3"/>
        <w:spacing w:before="0" w:after="0" w:line="800" w:lineRule="exact"/>
        <w:ind w:firstLine="600" w:firstLineChars="200"/>
        <w:rPr>
          <w:rFonts w:hint="eastAsia"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hint="eastAsia"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hint="eastAsia"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hint="eastAsia"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hint="eastAsia"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hint="eastAsia"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hint="eastAsia" w:ascii="黑体" w:hAnsi="黑体" w:eastAsia="黑体"/>
          <w:b w:val="0"/>
          <w:sz w:val="30"/>
          <w:szCs w:val="30"/>
          <w:highlight w:val="none"/>
        </w:rPr>
      </w:pPr>
      <w:bookmarkStart w:id="11" w:name="_Toc7181"/>
      <w:r>
        <w:rPr>
          <w:rFonts w:hint="eastAsia" w:ascii="黑体" w:hAnsi="黑体" w:eastAsia="黑体"/>
          <w:b w:val="0"/>
          <w:sz w:val="30"/>
          <w:szCs w:val="30"/>
          <w:highlight w:val="none"/>
          <w:lang w:eastAsia="zh-CN"/>
        </w:rPr>
        <w:t>八</w:t>
      </w:r>
      <w:r>
        <w:rPr>
          <w:rFonts w:hint="eastAsia" w:ascii="黑体" w:hAnsi="黑体" w:eastAsia="黑体"/>
          <w:b w:val="0"/>
          <w:sz w:val="30"/>
          <w:szCs w:val="30"/>
          <w:highlight w:val="none"/>
        </w:rPr>
        <w:t>、</w:t>
      </w:r>
      <w:r>
        <w:rPr>
          <w:rFonts w:ascii="黑体" w:hAnsi="黑体" w:eastAsia="黑体"/>
          <w:b w:val="0"/>
          <w:sz w:val="30"/>
          <w:szCs w:val="30"/>
          <w:highlight w:val="none"/>
        </w:rPr>
        <w:t>《一般公共预算财政拨款“三公”经费支出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1"/>
    </w:p>
    <w:p>
      <w:pPr>
        <w:pStyle w:val="3"/>
        <w:spacing w:before="0" w:after="0" w:line="800" w:lineRule="exact"/>
        <w:ind w:firstLine="600" w:firstLineChars="200"/>
        <w:rPr>
          <w:rFonts w:hint="eastAsia" w:ascii="黑体" w:hAnsi="黑体" w:eastAsia="黑体"/>
          <w:b w:val="0"/>
          <w:sz w:val="30"/>
          <w:szCs w:val="30"/>
          <w:highlight w:val="none"/>
        </w:rPr>
      </w:pPr>
      <w:bookmarkStart w:id="12" w:name="_Toc25187"/>
      <w:r>
        <w:rPr>
          <w:rFonts w:hint="eastAsia" w:ascii="黑体" w:hAnsi="黑体" w:eastAsia="黑体"/>
          <w:b w:val="0"/>
          <w:sz w:val="30"/>
          <w:szCs w:val="30"/>
          <w:highlight w:val="none"/>
          <w:lang w:eastAsia="zh-CN"/>
        </w:rPr>
        <w:t>九</w:t>
      </w:r>
      <w:r>
        <w:rPr>
          <w:rFonts w:hint="eastAsia" w:ascii="黑体" w:hAnsi="黑体" w:eastAsia="黑体"/>
          <w:b w:val="0"/>
          <w:sz w:val="30"/>
          <w:szCs w:val="30"/>
          <w:highlight w:val="none"/>
        </w:rPr>
        <w:t>、</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收入</w:t>
      </w:r>
      <w:r>
        <w:rPr>
          <w:rFonts w:ascii="黑体" w:hAnsi="黑体" w:eastAsia="黑体"/>
          <w:b w:val="0"/>
          <w:sz w:val="30"/>
          <w:szCs w:val="30"/>
          <w:highlight w:val="none"/>
        </w:rPr>
        <w:t>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2"/>
    </w:p>
    <w:p>
      <w:pPr>
        <w:pStyle w:val="3"/>
        <w:spacing w:before="0" w:after="0" w:line="800" w:lineRule="exact"/>
        <w:ind w:firstLine="600" w:firstLineChars="200"/>
        <w:rPr>
          <w:rFonts w:hint="eastAsia" w:ascii="黑体" w:hAnsi="黑体" w:eastAsia="黑体"/>
          <w:b w:val="0"/>
          <w:sz w:val="30"/>
          <w:szCs w:val="30"/>
          <w:highlight w:val="none"/>
        </w:rPr>
      </w:pPr>
      <w:bookmarkStart w:id="13" w:name="_Toc21022"/>
      <w:r>
        <w:rPr>
          <w:rFonts w:ascii="黑体" w:hAnsi="黑体" w:eastAsia="黑体"/>
          <w:b w:val="0"/>
          <w:sz w:val="30"/>
          <w:szCs w:val="30"/>
          <w:highlight w:val="none"/>
        </w:rPr>
        <w:t>十</w:t>
      </w:r>
      <w:r>
        <w:rPr>
          <w:rFonts w:hint="eastAsia" w:ascii="黑体" w:hAnsi="黑体" w:eastAsia="黑体"/>
          <w:b w:val="0"/>
          <w:sz w:val="30"/>
          <w:szCs w:val="30"/>
          <w:highlight w:val="none"/>
        </w:rPr>
        <w:t>、</w:t>
      </w:r>
      <w:r>
        <w:rPr>
          <w:rFonts w:ascii="黑体" w:hAnsi="黑体" w:eastAsia="黑体"/>
          <w:b w:val="0"/>
          <w:sz w:val="30"/>
          <w:szCs w:val="30"/>
          <w:highlight w:val="none"/>
        </w:rPr>
        <w:t>《国有资本经营预算财政拨款</w:t>
      </w:r>
      <w:r>
        <w:rPr>
          <w:rFonts w:hint="eastAsia" w:ascii="黑体" w:hAnsi="黑体" w:eastAsia="黑体"/>
          <w:b w:val="0"/>
          <w:sz w:val="30"/>
          <w:szCs w:val="30"/>
          <w:highlight w:val="none"/>
        </w:rPr>
        <w:t>收入支出决算</w:t>
      </w:r>
      <w:r>
        <w:rPr>
          <w:rFonts w:ascii="黑体" w:hAnsi="黑体" w:eastAsia="黑体"/>
          <w:b w:val="0"/>
          <w:sz w:val="30"/>
          <w:szCs w:val="30"/>
          <w:highlight w:val="none"/>
        </w:rPr>
        <w:t>表》</w:t>
      </w:r>
      <w:bookmarkEnd w:id="13"/>
    </w:p>
    <w:p>
      <w:pPr>
        <w:pStyle w:val="3"/>
        <w:spacing w:before="0" w:after="0" w:line="800" w:lineRule="exact"/>
        <w:ind w:firstLine="600" w:firstLineChars="200"/>
        <w:rPr>
          <w:rFonts w:hint="eastAsia"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pStyle w:val="3"/>
        <w:spacing w:before="0" w:after="0" w:line="800" w:lineRule="exact"/>
        <w:ind w:firstLine="600" w:firstLineChars="200"/>
        <w:rPr>
          <w:rFonts w:hint="eastAsia" w:ascii="黑体" w:hAnsi="黑体" w:eastAsia="黑体"/>
          <w:b w:val="0"/>
          <w:sz w:val="30"/>
          <w:szCs w:val="30"/>
        </w:rPr>
      </w:pPr>
      <w:bookmarkStart w:id="15" w:name="_Toc1045"/>
      <w:r>
        <w:rPr>
          <w:rFonts w:hint="eastAsia" w:ascii="黑体" w:hAnsi="黑体" w:eastAsia="黑体"/>
          <w:b w:val="0"/>
          <w:sz w:val="30"/>
          <w:szCs w:val="30"/>
        </w:rPr>
        <w:t>十</w:t>
      </w:r>
      <w:r>
        <w:rPr>
          <w:rFonts w:hint="eastAsia" w:ascii="黑体" w:hAnsi="黑体" w:eastAsia="黑体"/>
          <w:b w:val="0"/>
          <w:sz w:val="30"/>
          <w:szCs w:val="30"/>
          <w:lang w:val="en-US" w:eastAsia="zh-CN"/>
        </w:rPr>
        <w:t>二</w:t>
      </w:r>
      <w:r>
        <w:rPr>
          <w:rFonts w:hint="eastAsia" w:ascii="黑体" w:hAnsi="黑体" w:eastAsia="黑体"/>
          <w:b w:val="0"/>
          <w:sz w:val="30"/>
          <w:szCs w:val="30"/>
        </w:rPr>
        <w:t>、关于空表的说明</w:t>
      </w:r>
      <w:bookmarkEnd w:id="15"/>
    </w:p>
    <w:p>
      <w:pPr>
        <w:spacing w:line="600" w:lineRule="exact"/>
        <w:rPr>
          <w:rFonts w:hint="eastAsia" w:ascii="仿宋_GB2312" w:hAnsi="Times New Roman" w:eastAsia="仿宋_GB2312" w:cs="仿宋_GB2312"/>
          <w:sz w:val="30"/>
          <w:szCs w:val="30"/>
          <w:u w:val="none"/>
          <w:lang w:val="en-US" w:eastAsia="zh-CN"/>
        </w:rPr>
      </w:pPr>
      <w:bookmarkStart w:id="16" w:name="_Toc20137"/>
      <w:r>
        <w:rPr>
          <w:rFonts w:hint="eastAsia" w:ascii="仿宋_GB2312" w:hAnsi="Times New Roman" w:eastAsia="仿宋_GB2312" w:cs="仿宋_GB2312"/>
          <w:sz w:val="30"/>
          <w:szCs w:val="30"/>
          <w:u w:val="none"/>
          <w:lang w:val="en-US" w:eastAsia="zh-CN"/>
        </w:rPr>
        <w:t xml:space="preserve">    天津市津南区住房和建设委员会2021年度国有资本经营预算财政拨款收入支出决算表为空表。</w:t>
      </w:r>
    </w:p>
    <w:p>
      <w:pPr>
        <w:spacing w:line="600" w:lineRule="exact"/>
        <w:rPr>
          <w:rFonts w:hint="default" w:ascii="仿宋_GB2312" w:hAnsi="Times New Roman" w:eastAsia="仿宋_GB2312" w:cs="仿宋_GB2312"/>
          <w:sz w:val="30"/>
          <w:szCs w:val="30"/>
          <w:u w:val="none"/>
          <w:lang w:val="en-US" w:eastAsia="zh-CN"/>
        </w:rPr>
        <w:sectPr>
          <w:footerReference r:id="rId7" w:type="default"/>
          <w:pgSz w:w="11906" w:h="16838"/>
          <w:pgMar w:top="1440" w:right="1800" w:bottom="1440" w:left="1800" w:header="851" w:footer="992" w:gutter="0"/>
          <w:pgNumType w:fmt="decimal" w:start="1"/>
          <w:cols w:space="720" w:num="1"/>
          <w:docGrid w:type="lines" w:linePitch="312" w:charSpace="0"/>
        </w:sectPr>
      </w:pPr>
    </w:p>
    <w:p>
      <w:pPr>
        <w:pStyle w:val="2"/>
        <w:spacing w:before="0" w:after="0" w:line="600" w:lineRule="exact"/>
        <w:jc w:val="center"/>
        <w:rPr>
          <w:rFonts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三</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情况</w:t>
      </w:r>
      <w:r>
        <w:rPr>
          <w:rFonts w:ascii="方正小标宋简体" w:hAnsi="方正小标宋简体" w:eastAsia="方正小标宋简体" w:cs="方正小标宋简体"/>
          <w:b w:val="0"/>
          <w:sz w:val="44"/>
          <w:szCs w:val="44"/>
        </w:rPr>
        <w:t>说明</w:t>
      </w:r>
      <w:bookmarkEnd w:id="16"/>
    </w:p>
    <w:p>
      <w:pPr>
        <w:spacing w:line="600" w:lineRule="exact"/>
        <w:ind w:firstLine="600" w:firstLineChars="200"/>
        <w:rPr>
          <w:rFonts w:hint="eastAsia" w:ascii="黑体" w:eastAsia="黑体"/>
          <w:sz w:val="30"/>
          <w:szCs w:val="30"/>
        </w:rPr>
      </w:pPr>
    </w:p>
    <w:p>
      <w:pPr>
        <w:pStyle w:val="3"/>
        <w:spacing w:before="0" w:after="0" w:line="600" w:lineRule="exact"/>
        <w:ind w:firstLine="600" w:firstLineChars="200"/>
        <w:rPr>
          <w:rFonts w:hint="eastAsia" w:ascii="黑体" w:hAnsi="黑体" w:eastAsia="黑体"/>
          <w:b w:val="0"/>
          <w:sz w:val="30"/>
          <w:szCs w:val="30"/>
        </w:rPr>
      </w:pPr>
      <w:bookmarkStart w:id="17" w:name="_Toc10868"/>
      <w:r>
        <w:rPr>
          <w:rFonts w:hint="eastAsia" w:ascii="黑体" w:hAnsi="黑体" w:eastAsia="黑体"/>
          <w:b w:val="0"/>
          <w:sz w:val="30"/>
          <w:szCs w:val="30"/>
        </w:rPr>
        <w:t>一、收入支出决算总体情况</w:t>
      </w:r>
      <w:bookmarkEnd w:id="17"/>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 xml:space="preserve"> 天津市津南区住房和建设委员会2021年度收入、支出决算总计2018479690.63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。与2020年度相比，收、支总计各减少232503045.05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，下降10.33%，</w:t>
      </w:r>
      <w:r>
        <w:rPr>
          <w:rFonts w:hint="eastAsia" w:eastAsia="仿宋_GB2312"/>
          <w:sz w:val="30"/>
          <w:szCs w:val="30"/>
        </w:rPr>
        <w:t>主要原因是</w:t>
      </w:r>
      <w:r>
        <w:rPr>
          <w:rFonts w:hint="eastAsia" w:ascii="仿宋" w:hAnsi="仿宋" w:eastAsia="仿宋" w:cs="仿宋"/>
          <w:sz w:val="30"/>
          <w:szCs w:val="30"/>
          <w:u w:val="none"/>
          <w:lang w:eastAsia="zh-CN"/>
        </w:rPr>
        <w:t>项目预算收支减少</w:t>
      </w:r>
      <w:r>
        <w:rPr>
          <w:rFonts w:hint="eastAsia" w:eastAsia="仿宋_GB2312"/>
          <w:sz w:val="30"/>
          <w:szCs w:val="30"/>
        </w:rPr>
        <w:t>。</w:t>
      </w:r>
    </w:p>
    <w:p>
      <w:pPr>
        <w:pStyle w:val="3"/>
        <w:spacing w:before="0" w:after="0" w:line="600" w:lineRule="exact"/>
        <w:ind w:firstLine="600" w:firstLineChars="200"/>
        <w:rPr>
          <w:rFonts w:hint="eastAsia" w:ascii="黑体" w:hAnsi="黑体" w:eastAsia="黑体" w:cs="仿宋_GB2312"/>
          <w:b w:val="0"/>
          <w:sz w:val="30"/>
          <w:szCs w:val="30"/>
        </w:rPr>
      </w:pPr>
      <w:bookmarkStart w:id="18" w:name="_Toc11824"/>
      <w:r>
        <w:rPr>
          <w:rFonts w:hint="eastAsia" w:ascii="黑体" w:hAnsi="黑体" w:eastAsia="黑体" w:cs="仿宋_GB2312"/>
          <w:b w:val="0"/>
          <w:sz w:val="30"/>
          <w:szCs w:val="30"/>
        </w:rPr>
        <w:t>二、收入决算情况</w:t>
      </w:r>
      <w:bookmarkEnd w:id="18"/>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天津市津南区住房和建设委员会2021年度本年收入合计1304540726.13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，与2020年度相比减少884221867.01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ascii="仿宋" w:hAnsi="仿宋" w:eastAsia="仿宋" w:cs="仿宋"/>
          <w:sz w:val="30"/>
          <w:szCs w:val="30"/>
          <w:u w:val="none"/>
          <w:lang w:eastAsia="zh-CN"/>
        </w:rPr>
        <w:t>项目预算收入减少</w:t>
      </w:r>
      <w:r>
        <w:rPr>
          <w:rFonts w:hint="eastAsia" w:eastAsia="仿宋_GB2312"/>
          <w:sz w:val="30"/>
          <w:szCs w:val="30"/>
        </w:rPr>
        <w:t>。</w:t>
      </w:r>
      <w:r>
        <w:rPr>
          <w:rFonts w:eastAsia="仿宋_GB2312"/>
          <w:sz w:val="30"/>
          <w:szCs w:val="30"/>
        </w:rPr>
        <w:t>其中：一般公共预算财政拨款收</w:t>
      </w:r>
      <w:r>
        <w:rPr>
          <w:rFonts w:hint="eastAsia" w:ascii="仿宋_GB2312" w:hAnsi="Times New Roman" w:eastAsia="仿宋_GB2312" w:cs="仿宋_GB2312"/>
          <w:sz w:val="30"/>
          <w:szCs w:val="30"/>
          <w:u w:val="none"/>
          <w:lang w:val="en-US" w:eastAsia="zh-CN"/>
        </w:rPr>
        <w:t>入493942033.62</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，占37.86%；政府性基金预算财政拨款收入801266898.68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 61.42%；国有资本经营预算财政拨款收入0.00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，占0.00%；财政专户管理资金收入0.00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，占0.00%；事业单位经营收入0.00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 xml:space="preserve">，占0.00%；上级补助收入0.00 </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，占0.00%；附属单位上缴收入0.00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，占0.00%；其他收入 9331793.83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，占0.72%。</w:t>
      </w:r>
    </w:p>
    <w:p>
      <w:pPr>
        <w:pStyle w:val="3"/>
        <w:spacing w:before="0" w:after="0" w:line="600" w:lineRule="exact"/>
        <w:ind w:firstLine="600" w:firstLineChars="200"/>
        <w:rPr>
          <w:rFonts w:hint="eastAsia" w:ascii="黑体" w:hAnsi="黑体" w:eastAsia="黑体" w:cs="仿宋_GB2312"/>
          <w:b w:val="0"/>
          <w:sz w:val="30"/>
          <w:szCs w:val="30"/>
        </w:rPr>
      </w:pPr>
      <w:bookmarkStart w:id="19" w:name="_Toc16536"/>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天津市津南区住房和建设委员会2021年度本年支出合计1632300137.88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，与2020年度相比增加93875405.73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是机构改革增加3个二级预算单位。</w:t>
      </w:r>
      <w:r>
        <w:rPr>
          <w:rFonts w:eastAsia="仿宋_GB2312"/>
          <w:sz w:val="30"/>
          <w:szCs w:val="30"/>
        </w:rPr>
        <w:t>其中：</w:t>
      </w:r>
      <w:r>
        <w:rPr>
          <w:rFonts w:hint="eastAsia" w:ascii="仿宋_GB2312" w:hAnsi="Times New Roman" w:eastAsia="仿宋_GB2312" w:cs="仿宋_GB2312"/>
          <w:sz w:val="30"/>
          <w:szCs w:val="30"/>
          <w:u w:val="none"/>
          <w:lang w:val="en-US" w:eastAsia="zh-CN"/>
        </w:rPr>
        <w:t>基本支出40015046.69</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，占2.45%；项目支出1592285091.19</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，占97.55%；上缴上级支出0.00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，占0.00%；经营支出0.00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，占0.00%；对附属单位补助支出0.00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3"/>
        <w:spacing w:before="0" w:after="0" w:line="600" w:lineRule="exact"/>
        <w:ind w:firstLine="600" w:firstLineChars="200"/>
        <w:rPr>
          <w:rFonts w:hint="eastAsia" w:ascii="黑体" w:hAnsi="黑体" w:eastAsia="黑体"/>
          <w:b w:val="0"/>
          <w:sz w:val="30"/>
          <w:szCs w:val="30"/>
        </w:rPr>
      </w:pPr>
      <w:bookmarkStart w:id="20" w:name="_Toc18362"/>
      <w:r>
        <w:rPr>
          <w:rFonts w:hint="eastAsia" w:ascii="黑体" w:hAnsi="黑体" w:eastAsia="黑体"/>
          <w:b w:val="0"/>
          <w:sz w:val="30"/>
          <w:szCs w:val="30"/>
        </w:rPr>
        <w:t>四、财政拨款收支决算总体情况</w:t>
      </w:r>
      <w:bookmarkEnd w:id="20"/>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天津市津南区住房和建设委员会2021年度财政拨款收入、支出决算总计1967679861.14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。与2020年度相比，财政拨款收、支总计各减少194336855.21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，下降8.99%，</w:t>
      </w:r>
      <w:r>
        <w:rPr>
          <w:rFonts w:hint="eastAsia" w:eastAsia="仿宋_GB2312"/>
          <w:sz w:val="30"/>
          <w:szCs w:val="30"/>
        </w:rPr>
        <w:t>主要原因是</w:t>
      </w:r>
      <w:r>
        <w:rPr>
          <w:rFonts w:hint="eastAsia" w:ascii="仿宋" w:hAnsi="仿宋" w:eastAsia="仿宋" w:cs="仿宋"/>
          <w:sz w:val="30"/>
          <w:szCs w:val="30"/>
          <w:u w:val="none"/>
          <w:lang w:eastAsia="zh-CN"/>
        </w:rPr>
        <w:t>项目预算收支减少</w:t>
      </w:r>
      <w:r>
        <w:rPr>
          <w:rFonts w:hint="eastAsia" w:eastAsia="仿宋_GB2312"/>
          <w:sz w:val="30"/>
          <w:szCs w:val="30"/>
        </w:rPr>
        <w:t>。</w:t>
      </w:r>
    </w:p>
    <w:p>
      <w:pPr>
        <w:pStyle w:val="3"/>
        <w:spacing w:before="0" w:after="0" w:line="600" w:lineRule="exact"/>
        <w:ind w:firstLine="600" w:firstLineChars="200"/>
        <w:rPr>
          <w:rFonts w:hint="eastAsia" w:ascii="黑体" w:hAnsi="黑体" w:eastAsia="黑体"/>
          <w:b w:val="0"/>
          <w:sz w:val="30"/>
          <w:szCs w:val="30"/>
        </w:rPr>
      </w:pPr>
      <w:bookmarkStart w:id="21" w:name="_Toc2910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r>
        <w:rPr>
          <w:rFonts w:hint="eastAsia" w:ascii="黑体" w:hAnsi="黑体" w:eastAsia="黑体"/>
          <w:b w:val="0"/>
          <w:sz w:val="30"/>
          <w:szCs w:val="30"/>
        </w:rPr>
        <w:t>说明</w:t>
      </w:r>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天津市津南区住房和建设委员会2021年度部门决算一般公共预算财政拨款支出合计493916479.54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，占本年支出合计的24.47%。与2020年度相比，一般公共预算财政拨款支出增加424528727.28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，增长611.82%，</w:t>
      </w:r>
      <w:r>
        <w:rPr>
          <w:rFonts w:hint="eastAsia" w:eastAsia="仿宋_GB2312"/>
          <w:sz w:val="30"/>
          <w:szCs w:val="30"/>
        </w:rPr>
        <w:t>主要原因是</w:t>
      </w:r>
      <w:r>
        <w:rPr>
          <w:rFonts w:hint="eastAsia" w:ascii="仿宋_GB2312" w:hAnsi="Times New Roman" w:eastAsia="仿宋_GB2312" w:cs="仿宋_GB2312"/>
          <w:sz w:val="30"/>
          <w:szCs w:val="30"/>
          <w:u w:val="none"/>
          <w:lang w:val="en-US" w:eastAsia="zh-CN"/>
        </w:rPr>
        <w:t>机构改革增加3个二级预算单位。</w:t>
      </w:r>
    </w:p>
    <w:p>
      <w:pPr>
        <w:spacing w:line="600" w:lineRule="exact"/>
        <w:ind w:firstLine="602" w:firstLineChars="200"/>
        <w:rPr>
          <w:rFonts w:hint="eastAsia"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eastAsia="仿宋_GB2312"/>
          <w:sz w:val="30"/>
          <w:szCs w:val="30"/>
        </w:rPr>
        <w:t>2021年度一般公共预算财政</w:t>
      </w:r>
      <w:r>
        <w:rPr>
          <w:rFonts w:hint="eastAsia" w:ascii="仿宋_GB2312" w:hAnsi="Times New Roman" w:eastAsia="仿宋_GB2312" w:cs="仿宋_GB2312"/>
          <w:sz w:val="30"/>
          <w:szCs w:val="30"/>
          <w:u w:val="none"/>
          <w:lang w:val="en-US" w:eastAsia="zh-CN"/>
        </w:rPr>
        <w:t>拨款支出493916479.54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，主要用于以下方面：</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一般公共服务支出（类）支出12493389.68元，占2.53%；</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社会保障和就业支出（类）支出2818751.28元，占.57%；</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卫生健康支出（类）支出1430118.60元，占.29%；</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城乡社区支出（类）支出393898893.52元，占79.75%；</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住房保障支出（类）支出82457326.46元，占16.69%；</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 xml:space="preserve">    灾害防治及应急管理支出（类）支出818000.00元，占.17%。</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2021年度一般公共预算财政拨款支出年初预算为53146737.50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，支出决算为493916479.54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，完成年初预算的929.34%。其中：</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一般公共服务支出（类）政府办公厅（室）及相关机构事务（款）事业运行（项）年初预算为13242683</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48元，支出决算为12493389.68元，完成年初预算数的</w:t>
      </w:r>
      <w:r>
        <w:rPr>
          <w:rFonts w:hint="eastAsia" w:ascii="仿宋_GB2312" w:eastAsia="仿宋_GB2312" w:cs="仿宋_GB2312"/>
          <w:sz w:val="30"/>
          <w:szCs w:val="30"/>
          <w:u w:val="none"/>
          <w:lang w:val="en-US" w:eastAsia="zh-CN"/>
        </w:rPr>
        <w:t>94.34</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压减经费支出</w:t>
      </w:r>
      <w:r>
        <w:rPr>
          <w:rFonts w:hint="eastAsia" w:ascii="仿宋_GB2312" w:hAnsi="Times New Roman" w:eastAsia="仿宋_GB2312" w:cs="仿宋_GB2312"/>
          <w:sz w:val="30"/>
          <w:szCs w:val="30"/>
          <w:u w:val="none"/>
          <w:lang w:val="en-US" w:eastAsia="zh-CN"/>
        </w:rPr>
        <w:t>。</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社会保障和就业支出（类）行政事业单位养老支出（款）机关事业单位基本养老保险缴费支出（项）年初预算为2028888</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36元，支出决算为1879167.52元，完成年初预算数的</w:t>
      </w:r>
      <w:r>
        <w:rPr>
          <w:rFonts w:hint="eastAsia" w:ascii="仿宋_GB2312" w:eastAsia="仿宋_GB2312" w:cs="仿宋_GB2312"/>
          <w:sz w:val="30"/>
          <w:szCs w:val="30"/>
          <w:u w:val="none"/>
          <w:lang w:val="en-US" w:eastAsia="zh-CN"/>
        </w:rPr>
        <w:t>92.62</w:t>
      </w:r>
      <w:r>
        <w:rPr>
          <w:rFonts w:hint="eastAsia" w:ascii="仿宋_GB2312" w:hAnsi="Times New Roman" w:eastAsia="仿宋_GB2312" w:cs="仿宋_GB2312"/>
          <w:sz w:val="30"/>
          <w:szCs w:val="30"/>
          <w:u w:val="none"/>
          <w:lang w:val="en-US" w:eastAsia="zh-CN"/>
        </w:rPr>
        <w:t>%，决算数小于年初预算数的主要原因是压减经费支出。</w:t>
      </w:r>
    </w:p>
    <w:p>
      <w:pPr>
        <w:spacing w:line="600" w:lineRule="exact"/>
        <w:ind w:firstLine="1200" w:firstLineChars="400"/>
        <w:rPr>
          <w:rFonts w:hint="eastAsia" w:ascii="仿宋_GB2312"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社会保障和就业支出（类）行政事业单位养老支出（款）机关事业单位职业年金缴费支出（项）年初预算为1014444</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36元，支出决算为939583.76元，完成年初预算数的</w:t>
      </w:r>
      <w:r>
        <w:rPr>
          <w:rFonts w:hint="eastAsia" w:ascii="仿宋_GB2312" w:eastAsia="仿宋_GB2312" w:cs="仿宋_GB2312"/>
          <w:sz w:val="30"/>
          <w:szCs w:val="30"/>
          <w:u w:val="none"/>
          <w:lang w:val="en-US" w:eastAsia="zh-CN"/>
        </w:rPr>
        <w:t>92.62</w:t>
      </w:r>
      <w:r>
        <w:rPr>
          <w:rFonts w:hint="eastAsia" w:ascii="仿宋_GB2312" w:hAnsi="Times New Roman" w:eastAsia="仿宋_GB2312" w:cs="仿宋_GB2312"/>
          <w:sz w:val="30"/>
          <w:szCs w:val="30"/>
          <w:u w:val="none"/>
          <w:lang w:val="en-US" w:eastAsia="zh-CN"/>
        </w:rPr>
        <w:t>%，决算数小于年初预算数的主要原因是压减经费支出</w:t>
      </w:r>
      <w:r>
        <w:rPr>
          <w:rFonts w:hint="eastAsia" w:ascii="仿宋_GB2312" w:eastAsia="仿宋_GB2312" w:cs="仿宋_GB2312"/>
          <w:sz w:val="30"/>
          <w:szCs w:val="30"/>
          <w:u w:val="none"/>
          <w:lang w:val="en-US" w:eastAsia="zh-CN"/>
        </w:rPr>
        <w:t>。</w:t>
      </w:r>
    </w:p>
    <w:p>
      <w:pPr>
        <w:spacing w:line="600" w:lineRule="exact"/>
        <w:ind w:firstLine="1200" w:firstLineChars="400"/>
        <w:rPr>
          <w:rFonts w:hint="eastAsia" w:ascii="仿宋_GB2312"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卫生健康支出（类）行政事业单位医疗（款）事业单位医疗（项）年初预算为938138</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4</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元，支出决算为853490.60元，完成年初预算数的</w:t>
      </w:r>
      <w:r>
        <w:rPr>
          <w:rFonts w:hint="eastAsia" w:ascii="仿宋_GB2312" w:eastAsia="仿宋_GB2312" w:cs="仿宋_GB2312"/>
          <w:sz w:val="30"/>
          <w:szCs w:val="30"/>
          <w:u w:val="none"/>
          <w:lang w:val="en-US" w:eastAsia="zh-CN"/>
        </w:rPr>
        <w:t>90.98</w:t>
      </w:r>
      <w:r>
        <w:rPr>
          <w:rFonts w:hint="eastAsia" w:ascii="仿宋_GB2312" w:hAnsi="Times New Roman" w:eastAsia="仿宋_GB2312" w:cs="仿宋_GB2312"/>
          <w:sz w:val="30"/>
          <w:szCs w:val="30"/>
          <w:u w:val="none"/>
          <w:lang w:val="en-US" w:eastAsia="zh-CN"/>
        </w:rPr>
        <w:t>%，决算数小于年初预算数的</w:t>
      </w:r>
      <w:r>
        <w:rPr>
          <w:rFonts w:hint="eastAsia" w:ascii="仿宋_GB2312" w:eastAsia="仿宋_GB2312" w:cs="仿宋_GB2312"/>
          <w:sz w:val="30"/>
          <w:szCs w:val="30"/>
          <w:u w:val="none"/>
          <w:lang w:val="en-US" w:eastAsia="zh-CN"/>
        </w:rPr>
        <w:t>压减经费支出。</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卫生健康支出（类）行政事业单位医疗（款）其他行政事业单位医疗支出（项）年初预算为</w:t>
      </w:r>
      <w:r>
        <w:rPr>
          <w:rFonts w:hint="eastAsia" w:ascii="仿宋_GB2312" w:eastAsia="仿宋_GB2312" w:cs="仿宋_GB2312"/>
          <w:sz w:val="30"/>
          <w:szCs w:val="30"/>
          <w:u w:val="none"/>
          <w:lang w:val="en-US" w:eastAsia="zh-CN"/>
        </w:rPr>
        <w:t>128400</w:t>
      </w:r>
      <w:r>
        <w:rPr>
          <w:rFonts w:hint="eastAsia" w:ascii="仿宋_GB2312" w:hAnsi="Times New Roman" w:eastAsia="仿宋_GB2312" w:cs="仿宋_GB2312"/>
          <w:sz w:val="30"/>
          <w:szCs w:val="30"/>
          <w:u w:val="none"/>
          <w:lang w:val="en-US" w:eastAsia="zh-CN"/>
        </w:rPr>
        <w:t>元，支出决算为127200.00元，完成年初预算数的99.07%，决算数小于年初预算数的主要原因是压减经费支出。</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卫生健康支出（类）行政事业单位医疗（款）公务员医疗补助（项）年初预算为</w:t>
      </w:r>
      <w:r>
        <w:rPr>
          <w:rFonts w:hint="eastAsia" w:ascii="仿宋_GB2312" w:eastAsia="仿宋_GB2312" w:cs="仿宋_GB2312"/>
          <w:sz w:val="30"/>
          <w:szCs w:val="30"/>
          <w:u w:val="none"/>
          <w:lang w:val="en-US" w:eastAsia="zh-CN"/>
        </w:rPr>
        <w:t>135316.00</w:t>
      </w:r>
      <w:r>
        <w:rPr>
          <w:rFonts w:hint="eastAsia" w:ascii="仿宋_GB2312" w:hAnsi="Times New Roman" w:eastAsia="仿宋_GB2312" w:cs="仿宋_GB2312"/>
          <w:sz w:val="30"/>
          <w:szCs w:val="30"/>
          <w:u w:val="none"/>
          <w:lang w:val="en-US" w:eastAsia="zh-CN"/>
        </w:rPr>
        <w:t>元，支出决算为128408.00元，完成年初预算数的</w:t>
      </w:r>
      <w:r>
        <w:rPr>
          <w:rFonts w:hint="eastAsia" w:ascii="仿宋_GB2312" w:eastAsia="仿宋_GB2312" w:cs="仿宋_GB2312"/>
          <w:sz w:val="30"/>
          <w:szCs w:val="30"/>
          <w:u w:val="none"/>
          <w:lang w:val="en-US" w:eastAsia="zh-CN"/>
        </w:rPr>
        <w:t>94.89</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人员社保调整缴回多交医疗补助，于2022年上缴财政</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卫生健康支出（类）行政事业单位医疗（款）行政单位医疗（项）年初预算为329917</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2元，支出决算为321020.00元，完成年初预算数的</w:t>
      </w:r>
      <w:r>
        <w:rPr>
          <w:rFonts w:hint="eastAsia" w:ascii="仿宋_GB2312" w:eastAsia="仿宋_GB2312" w:cs="仿宋_GB2312"/>
          <w:sz w:val="30"/>
          <w:szCs w:val="30"/>
          <w:u w:val="none"/>
          <w:lang w:val="en-US" w:eastAsia="zh-CN"/>
        </w:rPr>
        <w:t>97.30</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人员社保调整缴回多交医疗保险，于2022年上缴财政</w:t>
      </w:r>
      <w:r>
        <w:rPr>
          <w:rFonts w:hint="eastAsia" w:ascii="仿宋_GB2312" w:hAnsi="Times New Roman" w:eastAsia="仿宋_GB2312" w:cs="仿宋_GB2312"/>
          <w:sz w:val="30"/>
          <w:szCs w:val="30"/>
          <w:u w:val="none"/>
          <w:lang w:val="en-US" w:eastAsia="zh-CN"/>
        </w:rPr>
        <w:t>。</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城乡社区支出（类）城乡社区公共设施（款）小城镇基础设施建设（项）年初预算为</w:t>
      </w:r>
      <w:r>
        <w:rPr>
          <w:rFonts w:hint="eastAsia" w:ascii="仿宋_GB2312" w:eastAsia="仿宋_GB2312" w:cs="仿宋_GB2312"/>
          <w:sz w:val="30"/>
          <w:szCs w:val="30"/>
          <w:u w:val="none"/>
          <w:lang w:val="en-US" w:eastAsia="zh-CN"/>
        </w:rPr>
        <w:t>7338800</w:t>
      </w:r>
      <w:r>
        <w:rPr>
          <w:rFonts w:hint="eastAsia" w:ascii="仿宋_GB2312" w:hAnsi="Times New Roman" w:eastAsia="仿宋_GB2312" w:cs="仿宋_GB2312"/>
          <w:sz w:val="30"/>
          <w:szCs w:val="30"/>
          <w:u w:val="none"/>
          <w:lang w:val="en-US" w:eastAsia="zh-CN"/>
        </w:rPr>
        <w:t>元，支出决算为361673549.05元，完成年初预算数的</w:t>
      </w:r>
      <w:r>
        <w:rPr>
          <w:rFonts w:hint="eastAsia" w:ascii="仿宋_GB2312" w:eastAsia="仿宋_GB2312" w:cs="仿宋_GB2312"/>
          <w:sz w:val="30"/>
          <w:szCs w:val="30"/>
          <w:u w:val="none"/>
          <w:lang w:val="en-US" w:eastAsia="zh-CN"/>
        </w:rPr>
        <w:t>49.28</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城乡社区支出（类）城乡社区管理事务（款）其他城乡社区管理事务支出（项）其他城乡社区支出（款）其他城乡社区支出（项）年初预算为</w:t>
      </w:r>
      <w:r>
        <w:rPr>
          <w:rFonts w:hint="eastAsia" w:ascii="仿宋_GB2312" w:eastAsia="仿宋_GB2312" w:cs="仿宋_GB2312"/>
          <w:sz w:val="30"/>
          <w:szCs w:val="30"/>
          <w:u w:val="none"/>
          <w:lang w:val="en-US" w:eastAsia="zh-CN"/>
        </w:rPr>
        <w:t>300000</w:t>
      </w:r>
      <w:r>
        <w:rPr>
          <w:rFonts w:hint="eastAsia" w:ascii="仿宋_GB2312" w:hAnsi="Times New Roman" w:eastAsia="仿宋_GB2312" w:cs="仿宋_GB2312"/>
          <w:sz w:val="30"/>
          <w:szCs w:val="30"/>
          <w:u w:val="none"/>
          <w:lang w:val="en-US" w:eastAsia="zh-CN"/>
        </w:rPr>
        <w:t>元，支出决算为100000.00元，完成年初预算数的</w:t>
      </w:r>
      <w:r>
        <w:rPr>
          <w:rFonts w:hint="eastAsia" w:ascii="仿宋_GB2312" w:eastAsia="仿宋_GB2312" w:cs="仿宋_GB2312"/>
          <w:sz w:val="30"/>
          <w:szCs w:val="30"/>
          <w:u w:val="none"/>
          <w:lang w:val="en-US" w:eastAsia="zh-CN"/>
        </w:rPr>
        <w:t>33.33</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城乡社区支出（类）建设市场管理与监督（款）建设市场管理与监督（项）年初预算为11298304</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08元，支出决算为9870295.37元，完成年初预算数的87.36%，决算数小于年初预算数的主要原因是压减经费支出。</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城乡社区支出（类）城乡社区管理事务（款）行政运行（项）年初预算为10615541</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55元，支出决算为11025049.10元，完成年初预算数的</w:t>
      </w:r>
      <w:r>
        <w:rPr>
          <w:rFonts w:hint="eastAsia" w:ascii="仿宋_GB2312" w:eastAsia="仿宋_GB2312" w:cs="仿宋_GB2312"/>
          <w:sz w:val="30"/>
          <w:szCs w:val="30"/>
          <w:u w:val="none"/>
          <w:lang w:val="en-US" w:eastAsia="zh-CN"/>
        </w:rPr>
        <w:t>103.86</w:t>
      </w:r>
      <w:r>
        <w:rPr>
          <w:rFonts w:hint="eastAsia" w:ascii="仿宋_GB2312" w:hAnsi="Times New Roman" w:eastAsia="仿宋_GB2312" w:cs="仿宋_GB2312"/>
          <w:sz w:val="30"/>
          <w:szCs w:val="30"/>
          <w:u w:val="none"/>
          <w:lang w:val="en-US" w:eastAsia="zh-CN"/>
        </w:rPr>
        <w:t>%，决算数</w:t>
      </w:r>
      <w:r>
        <w:rPr>
          <w:rFonts w:hint="eastAsia" w:ascii="仿宋_GB2312" w:eastAsia="仿宋_GB2312" w:cs="仿宋_GB2312"/>
          <w:sz w:val="30"/>
          <w:szCs w:val="30"/>
          <w:u w:val="none"/>
          <w:lang w:val="en-US" w:eastAsia="zh-CN"/>
        </w:rPr>
        <w:t>大</w:t>
      </w:r>
      <w:r>
        <w:rPr>
          <w:rFonts w:hint="eastAsia" w:ascii="仿宋_GB2312" w:hAnsi="Times New Roman" w:eastAsia="仿宋_GB2312" w:cs="仿宋_GB2312"/>
          <w:sz w:val="30"/>
          <w:szCs w:val="30"/>
          <w:u w:val="none"/>
          <w:lang w:val="en-US" w:eastAsia="zh-CN"/>
        </w:rPr>
        <w:t>于年初预算数的主要原因是</w:t>
      </w:r>
      <w:r>
        <w:rPr>
          <w:rFonts w:hint="eastAsia" w:ascii="仿宋_GB2312" w:eastAsia="仿宋_GB2312" w:cs="仿宋_GB2312"/>
          <w:sz w:val="30"/>
          <w:szCs w:val="30"/>
          <w:u w:val="none"/>
          <w:lang w:val="en-US" w:eastAsia="zh-CN"/>
        </w:rPr>
        <w:t>合并基层单位餐费物业费等</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住房保障支出（类）保障性安居工程支出（款）住房租赁市场发展（项）年初预算为</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元，支出决算为71240000.00元，完成年初预算数的</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市级专项资金，已做调整预算</w:t>
      </w:r>
      <w:r>
        <w:rPr>
          <w:rFonts w:hint="eastAsia" w:ascii="仿宋_GB2312" w:hAnsi="Times New Roman" w:eastAsia="仿宋_GB2312" w:cs="仿宋_GB2312"/>
          <w:sz w:val="30"/>
          <w:szCs w:val="30"/>
          <w:u w:val="none"/>
          <w:lang w:val="en-US" w:eastAsia="zh-CN"/>
        </w:rPr>
        <w:t>。</w:t>
      </w:r>
    </w:p>
    <w:p>
      <w:pPr>
        <w:spacing w:line="600" w:lineRule="exact"/>
        <w:ind w:firstLine="1200" w:firstLineChars="4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住房保障支出（类）住房改革支出（款）住房公积金（项）年初预算为</w:t>
      </w:r>
      <w:r>
        <w:rPr>
          <w:rFonts w:hint="eastAsia" w:ascii="仿宋_GB2312" w:eastAsia="仿宋_GB2312" w:cs="仿宋_GB2312"/>
          <w:sz w:val="30"/>
          <w:szCs w:val="30"/>
          <w:u w:val="none"/>
          <w:lang w:val="en-US" w:eastAsia="zh-CN"/>
        </w:rPr>
        <w:t>1812300</w:t>
      </w:r>
      <w:r>
        <w:rPr>
          <w:rFonts w:hint="eastAsia" w:ascii="仿宋_GB2312" w:hAnsi="Times New Roman" w:eastAsia="仿宋_GB2312" w:cs="仿宋_GB2312"/>
          <w:sz w:val="30"/>
          <w:szCs w:val="30"/>
          <w:u w:val="none"/>
          <w:lang w:val="en-US" w:eastAsia="zh-CN"/>
        </w:rPr>
        <w:t>元，支出决算为1831328.00元，完成年初预算数的</w:t>
      </w:r>
      <w:r>
        <w:rPr>
          <w:rFonts w:hint="eastAsia" w:ascii="仿宋_GB2312" w:eastAsia="仿宋_GB2312" w:cs="仿宋_GB2312"/>
          <w:sz w:val="30"/>
          <w:szCs w:val="30"/>
          <w:u w:val="none"/>
          <w:lang w:val="en-US" w:eastAsia="zh-CN"/>
        </w:rPr>
        <w:t>101.05</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人员调整</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住房保障支出（类）保障性安居工程支出（款）公共租赁住房（项）年初预算为</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元，支出决算为9385998.46元，完成年初预算数的</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市级专项资金，已做调整预算</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w:t>
      </w:r>
      <w:r>
        <w:rPr>
          <w:rFonts w:hint="eastAsia" w:ascii="仿宋_GB2312" w:eastAsia="仿宋_GB2312" w:cs="仿宋_GB2312"/>
          <w:sz w:val="30"/>
          <w:szCs w:val="30"/>
          <w:u w:val="none"/>
          <w:lang w:val="en-US" w:eastAsia="zh-CN"/>
        </w:rPr>
        <w:t xml:space="preserve">  </w:t>
      </w:r>
      <w:bookmarkStart w:id="32" w:name="_GoBack"/>
      <w:bookmarkEnd w:id="32"/>
      <w:r>
        <w:rPr>
          <w:rFonts w:hint="eastAsia" w:ascii="仿宋_GB2312" w:hAnsi="Times New Roman" w:eastAsia="仿宋_GB2312" w:cs="仿宋_GB2312"/>
          <w:sz w:val="30"/>
          <w:szCs w:val="30"/>
          <w:u w:val="none"/>
          <w:lang w:val="en-US" w:eastAsia="zh-CN"/>
        </w:rPr>
        <w:t>灾害防治及应急管理支出（类）应急管理事务（款）安全监管（项）年初预算为</w:t>
      </w:r>
      <w:r>
        <w:rPr>
          <w:rFonts w:hint="eastAsia" w:ascii="仿宋_GB2312" w:eastAsia="仿宋_GB2312" w:cs="仿宋_GB2312"/>
          <w:sz w:val="30"/>
          <w:szCs w:val="30"/>
          <w:u w:val="none"/>
          <w:lang w:val="en-US" w:eastAsia="zh-CN"/>
        </w:rPr>
        <w:t>4700000</w:t>
      </w:r>
      <w:r>
        <w:rPr>
          <w:rFonts w:hint="eastAsia" w:ascii="仿宋_GB2312" w:hAnsi="Times New Roman" w:eastAsia="仿宋_GB2312" w:cs="仿宋_GB2312"/>
          <w:sz w:val="30"/>
          <w:szCs w:val="30"/>
          <w:u w:val="none"/>
          <w:lang w:val="en-US" w:eastAsia="zh-CN"/>
        </w:rPr>
        <w:t>元，支出决算为818000.00元，完成年初预算数的</w:t>
      </w:r>
      <w:r>
        <w:rPr>
          <w:rFonts w:hint="eastAsia" w:ascii="仿宋_GB2312" w:eastAsia="仿宋_GB2312" w:cs="仿宋_GB2312"/>
          <w:sz w:val="30"/>
          <w:szCs w:val="30"/>
          <w:u w:val="none"/>
          <w:lang w:val="en-US" w:eastAsia="zh-CN"/>
        </w:rPr>
        <w:t>17.4</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压减一般公共预算支出</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p>
    <w:p>
      <w:pPr>
        <w:pStyle w:val="3"/>
        <w:spacing w:before="0" w:after="0" w:line="600" w:lineRule="exact"/>
        <w:ind w:firstLine="600" w:firstLineChars="200"/>
        <w:rPr>
          <w:rFonts w:ascii="黑体" w:hAnsi="黑体" w:eastAsia="黑体"/>
          <w:b w:val="0"/>
          <w:sz w:val="30"/>
          <w:szCs w:val="30"/>
        </w:rPr>
      </w:pPr>
      <w:bookmarkStart w:id="22" w:name="_Toc1636"/>
      <w:r>
        <w:rPr>
          <w:rFonts w:ascii="黑体" w:hAnsi="黑体" w:eastAsia="黑体"/>
          <w:b w:val="0"/>
          <w:sz w:val="30"/>
          <w:szCs w:val="30"/>
        </w:rPr>
        <w:t>六、一般公共预算财政拨款基本支出决算情况</w:t>
      </w:r>
      <w:bookmarkEnd w:id="22"/>
      <w:r>
        <w:rPr>
          <w:rFonts w:hint="eastAsia" w:ascii="黑体" w:hAnsi="黑体" w:eastAsia="黑体"/>
          <w:b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hAnsi="Times New Roman" w:eastAsia="仿宋_GB2312" w:cs="仿宋_GB2312"/>
          <w:sz w:val="30"/>
          <w:szCs w:val="30"/>
          <w:u w:val="none"/>
          <w:lang w:val="en-US" w:eastAsia="zh-CN"/>
        </w:rPr>
        <w:t>35017362.03</w:t>
      </w:r>
      <w:r>
        <w:rPr>
          <w:rFonts w:hint="eastAsia" w:ascii="仿宋_GB2312" w:eastAsia="仿宋_GB2312" w:cs="仿宋_GB2312"/>
          <w:sz w:val="30"/>
          <w:szCs w:val="30"/>
          <w:u w:val="none"/>
          <w:lang w:val="en-US" w:eastAsia="zh-CN"/>
        </w:rPr>
        <w:t>元</w:t>
      </w:r>
      <w:r>
        <w:rPr>
          <w:rFonts w:eastAsia="仿宋_GB2312"/>
          <w:sz w:val="30"/>
          <w:szCs w:val="30"/>
        </w:rPr>
        <w:t>，</w:t>
      </w:r>
      <w:r>
        <w:rPr>
          <w:rFonts w:hint="eastAsia" w:eastAsia="仿宋_GB2312"/>
          <w:sz w:val="30"/>
          <w:szCs w:val="30"/>
        </w:rPr>
        <w:t>与2020年</w:t>
      </w:r>
      <w:r>
        <w:rPr>
          <w:rFonts w:hint="eastAsia" w:ascii="仿宋_GB2312" w:hAnsi="Times New Roman" w:eastAsia="仿宋_GB2312" w:cs="仿宋_GB2312"/>
          <w:sz w:val="30"/>
          <w:szCs w:val="30"/>
          <w:u w:val="none"/>
          <w:lang w:val="en-US" w:eastAsia="zh-CN"/>
        </w:rPr>
        <w:t>度相比增加12332813.36</w:t>
      </w:r>
      <w:r>
        <w:rPr>
          <w:rFonts w:hint="eastAsia" w:ascii="仿宋_GB2312" w:eastAsia="仿宋_GB2312" w:cs="仿宋_GB2312"/>
          <w:sz w:val="30"/>
          <w:szCs w:val="30"/>
          <w:u w:val="none"/>
          <w:lang w:val="en-US" w:eastAsia="zh-CN"/>
        </w:rPr>
        <w:t>元</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主要原因是机构改革新增二级预算单位。</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其中：人员经费29928158.94元，主要包括基本工资、津贴补贴、奖金、绩效工资、机关事业单位养老保险缴费、职业年金缴费、职工基本医疗保险缴费、公务员医疗补助缴费、其他社会保障缴费、住房公积金、其他工资福利支出、退休费、抚恤金、生活补助；公用经费5089203.09元，主要包括办公费、咨询费、手续费、水费、电费、邮电费、取暖费、物业管理费、差旅费、维修（护）费、培训费、劳务费、委托物业费、工会经费、福利费、公务用车运行维护费、其他交通费用、其他商品和服务支出。</w:t>
      </w:r>
    </w:p>
    <w:p>
      <w:pPr>
        <w:pStyle w:val="3"/>
        <w:spacing w:before="0" w:after="0" w:line="600" w:lineRule="exact"/>
        <w:ind w:firstLine="600" w:firstLineChars="200"/>
        <w:rPr>
          <w:rFonts w:ascii="黑体" w:hAnsi="黑体" w:eastAsia="黑体"/>
          <w:b w:val="0"/>
          <w:sz w:val="30"/>
          <w:szCs w:val="30"/>
        </w:rPr>
      </w:pPr>
      <w:bookmarkStart w:id="23" w:name="_Toc27173"/>
      <w:r>
        <w:rPr>
          <w:rFonts w:hint="eastAsia" w:ascii="黑体" w:hAnsi="黑体" w:eastAsia="黑体"/>
          <w:b w:val="0"/>
          <w:sz w:val="30"/>
          <w:szCs w:val="30"/>
          <w:lang w:eastAsia="zh-CN"/>
        </w:rPr>
        <w:t>七</w:t>
      </w:r>
      <w:r>
        <w:rPr>
          <w:rFonts w:hint="eastAsia" w:ascii="黑体" w:hAnsi="黑体" w:eastAsia="黑体"/>
          <w:b w:val="0"/>
          <w:sz w:val="30"/>
          <w:szCs w:val="30"/>
        </w:rPr>
        <w:t>、</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3"/>
      <w:r>
        <w:rPr>
          <w:rFonts w:hint="eastAsia" w:ascii="黑体" w:hAnsi="黑体" w:eastAsia="黑体"/>
          <w:b w:val="0"/>
          <w:bCs w:val="0"/>
          <w:sz w:val="30"/>
          <w:szCs w:val="30"/>
          <w:lang w:eastAsia="zh-CN"/>
        </w:rPr>
        <w:t>说明</w:t>
      </w:r>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ascii="仿宋_GB2312" w:hAnsi="Times New Roman" w:eastAsia="仿宋_GB2312" w:cs="仿宋_GB2312"/>
          <w:sz w:val="30"/>
          <w:szCs w:val="30"/>
          <w:u w:val="none"/>
          <w:lang w:val="en-US" w:eastAsia="zh-CN"/>
        </w:rPr>
        <w:t>63834.02</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w:t>
      </w:r>
      <w:r>
        <w:rPr>
          <w:rFonts w:hint="eastAsia" w:ascii="仿宋_GB2312" w:hAnsi="Times New Roman" w:eastAsia="仿宋_GB2312" w:cs="仿宋_GB2312"/>
          <w:sz w:val="30"/>
          <w:szCs w:val="30"/>
          <w:u w:val="none"/>
          <w:lang w:val="en-US" w:eastAsia="zh-CN"/>
        </w:rPr>
        <w:t>减少</w:t>
      </w:r>
      <w:r>
        <w:rPr>
          <w:rFonts w:hint="eastAsia" w:ascii="仿宋_GB2312" w:eastAsia="仿宋_GB2312" w:cs="仿宋_GB2312"/>
          <w:sz w:val="30"/>
          <w:szCs w:val="30"/>
          <w:u w:val="none"/>
          <w:lang w:val="en-US" w:eastAsia="zh-CN"/>
        </w:rPr>
        <w:t>111165.98</w:t>
      </w:r>
      <w:r>
        <w:rPr>
          <w:rFonts w:hint="eastAsia" w:ascii="仿宋_GB2312" w:hAnsi="Times New Roman" w:eastAsia="仿宋_GB2312" w:cs="仿宋_GB2312"/>
          <w:sz w:val="30"/>
          <w:szCs w:val="30"/>
          <w:u w:val="none"/>
          <w:lang w:val="en-US" w:eastAsia="zh-CN"/>
        </w:rPr>
        <w:t>元</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none"/>
          <w:lang w:val="en-US" w:eastAsia="zh-CN"/>
        </w:rPr>
        <w:t>压减“三公”经费支出</w:t>
      </w:r>
      <w:r>
        <w:rPr>
          <w:rFonts w:hint="eastAsia" w:ascii="仿宋_GB2312" w:hAnsi="Times New Roman" w:eastAsia="仿宋_GB2312" w:cs="仿宋_GB2312"/>
          <w:sz w:val="30"/>
          <w:szCs w:val="30"/>
          <w:u w:val="none"/>
          <w:lang w:val="en-US" w:eastAsia="zh-CN"/>
        </w:rPr>
        <w:t>。</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eastAsia="仿宋_GB2312"/>
          <w:sz w:val="30"/>
          <w:szCs w:val="30"/>
        </w:rPr>
        <w:t>，与预算相</w:t>
      </w:r>
      <w:r>
        <w:rPr>
          <w:rFonts w:hint="eastAsia" w:ascii="仿宋_GB2312" w:hAnsi="Times New Roman" w:eastAsia="仿宋_GB2312" w:cs="仿宋_GB2312"/>
          <w:sz w:val="30"/>
          <w:szCs w:val="30"/>
          <w:u w:val="none"/>
          <w:lang w:val="en-US" w:eastAsia="zh-CN"/>
        </w:rPr>
        <w:t>比持平</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hint="eastAsia" w:eastAsia="仿宋_GB2312"/>
          <w:sz w:val="30"/>
          <w:szCs w:val="30"/>
        </w:rPr>
        <w:t>。2021年本单位组织的出国团</w:t>
      </w:r>
      <w:r>
        <w:rPr>
          <w:rFonts w:hint="eastAsia" w:ascii="仿宋_GB2312" w:hAnsi="Times New Roman" w:eastAsia="仿宋_GB2312" w:cs="仿宋_GB2312"/>
          <w:sz w:val="30"/>
          <w:szCs w:val="30"/>
          <w:u w:val="none"/>
          <w:lang w:val="en-US" w:eastAsia="zh-CN"/>
        </w:rPr>
        <w:t>组 0</w:t>
      </w:r>
      <w:r>
        <w:rPr>
          <w:rFonts w:hint="eastAsia" w:eastAsia="仿宋_GB2312"/>
          <w:sz w:val="30"/>
          <w:szCs w:val="30"/>
          <w:lang w:val="en-US" w:eastAsia="zh-CN"/>
        </w:rPr>
        <w:t>个</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出国0人</w:t>
      </w:r>
      <w:r>
        <w:rPr>
          <w:rFonts w:hint="eastAsia" w:eastAsia="仿宋_GB2312"/>
          <w:sz w:val="30"/>
          <w:szCs w:val="30"/>
        </w:rPr>
        <w:t>次。</w:t>
      </w:r>
    </w:p>
    <w:p>
      <w:pPr>
        <w:spacing w:line="600" w:lineRule="exact"/>
        <w:ind w:firstLine="600" w:firstLineChars="200"/>
        <w:jc w:val="both"/>
        <w:rPr>
          <w:rFonts w:hint="eastAsia" w:eastAsia="仿宋_GB2312"/>
          <w:sz w:val="30"/>
          <w:szCs w:val="30"/>
        </w:rPr>
      </w:pPr>
      <w:r>
        <w:rPr>
          <w:rFonts w:hint="eastAsia" w:eastAsia="仿宋_GB2312"/>
          <w:sz w:val="30"/>
          <w:szCs w:val="30"/>
        </w:rPr>
        <w:t>（二）</w:t>
      </w:r>
      <w:r>
        <w:rPr>
          <w:rFonts w:hint="eastAsia" w:ascii="Times New Roman" w:hAnsi="Times New Roman" w:eastAsia="仿宋_GB2312" w:cs="Times New Roman"/>
          <w:sz w:val="30"/>
          <w:szCs w:val="30"/>
        </w:rPr>
        <w:t>2021年公务用车购置及运行维护费</w:t>
      </w:r>
      <w:r>
        <w:rPr>
          <w:rFonts w:hint="eastAsia" w:ascii="仿宋_GB2312" w:hAnsi="Times New Roman" w:eastAsia="仿宋_GB2312" w:cs="仿宋_GB2312"/>
          <w:sz w:val="30"/>
          <w:szCs w:val="30"/>
          <w:u w:val="none"/>
          <w:lang w:val="en-US" w:eastAsia="zh-CN"/>
        </w:rPr>
        <w:t>决算63834.02</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，其中公务用车运行</w:t>
      </w:r>
      <w:r>
        <w:rPr>
          <w:rFonts w:hint="eastAsia" w:ascii="仿宋_GB2312" w:hAnsi="Times New Roman" w:eastAsia="仿宋_GB2312" w:cs="仿宋_GB2312"/>
          <w:sz w:val="30"/>
          <w:szCs w:val="30"/>
          <w:u w:val="none"/>
          <w:lang w:val="en-US" w:eastAsia="zh-CN"/>
        </w:rPr>
        <w:t>维护费63834.02</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，与预算相</w:t>
      </w:r>
      <w:r>
        <w:rPr>
          <w:rFonts w:hint="eastAsia" w:ascii="仿宋_GB2312" w:hAnsi="Times New Roman" w:eastAsia="仿宋_GB2312" w:cs="仿宋_GB2312"/>
          <w:sz w:val="30"/>
          <w:szCs w:val="30"/>
          <w:u w:val="none"/>
          <w:lang w:val="en-US" w:eastAsia="zh-CN"/>
        </w:rPr>
        <w:t>比减少86165.98元</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none"/>
          <w:lang w:val="en-US" w:eastAsia="zh-CN"/>
        </w:rPr>
        <w:t>压减“三公”经费支出</w:t>
      </w:r>
      <w:r>
        <w:rPr>
          <w:rFonts w:hint="eastAsia" w:ascii="仿宋_GB2312" w:hAnsi="Times New Roman" w:eastAsia="仿宋_GB2312" w:cs="仿宋_GB2312"/>
          <w:sz w:val="30"/>
          <w:szCs w:val="30"/>
          <w:u w:val="none"/>
          <w:lang w:val="en-US" w:eastAsia="zh-CN"/>
        </w:rPr>
        <w:t>；</w:t>
      </w:r>
      <w:r>
        <w:rPr>
          <w:rFonts w:eastAsia="仿宋_GB2312"/>
          <w:sz w:val="30"/>
          <w:szCs w:val="30"/>
        </w:rPr>
        <w:t>公务用车购置</w:t>
      </w:r>
      <w:r>
        <w:rPr>
          <w:rFonts w:hint="eastAsia" w:ascii="仿宋_GB2312" w:hAnsi="Times New Roman" w:eastAsia="仿宋_GB2312" w:cs="仿宋_GB2312"/>
          <w:sz w:val="30"/>
          <w:szCs w:val="30"/>
          <w:u w:val="none"/>
          <w:lang w:val="en-US" w:eastAsia="zh-CN"/>
        </w:rPr>
        <w:t>费0.00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预算</w:t>
      </w:r>
      <w:r>
        <w:rPr>
          <w:rFonts w:hint="eastAsia" w:ascii="仿宋_GB2312" w:hAnsi="Times New Roman" w:eastAsia="仿宋_GB2312" w:cs="仿宋_GB2312"/>
          <w:sz w:val="30"/>
          <w:szCs w:val="30"/>
          <w:u w:val="none"/>
          <w:lang w:val="en-US" w:eastAsia="zh-CN"/>
        </w:rPr>
        <w:t>相比持平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w:t>
      </w:r>
      <w:r>
        <w:rPr>
          <w:rFonts w:hint="eastAsia" w:ascii="仿宋_GB2312" w:hAnsi="Times New Roman" w:eastAsia="仿宋_GB2312" w:cs="仿宋_GB2312"/>
          <w:sz w:val="30"/>
          <w:szCs w:val="30"/>
          <w:u w:val="none"/>
          <w:lang w:val="en-US" w:eastAsia="zh-CN"/>
        </w:rPr>
        <w:t>有7辆</w:t>
      </w:r>
      <w:r>
        <w:rPr>
          <w:rFonts w:hint="eastAsia" w:ascii="仿宋_GB2312" w:eastAsia="仿宋_GB2312" w:cs="仿宋_GB2312"/>
          <w:sz w:val="30"/>
          <w:szCs w:val="30"/>
        </w:rPr>
        <w:t>，购置公务</w:t>
      </w:r>
      <w:r>
        <w:rPr>
          <w:rFonts w:hint="eastAsia" w:ascii="仿宋_GB2312" w:hAnsi="Times New Roman" w:eastAsia="仿宋_GB2312" w:cs="仿宋_GB2312"/>
          <w:sz w:val="30"/>
          <w:szCs w:val="30"/>
          <w:u w:val="none"/>
          <w:lang w:val="en-US" w:eastAsia="zh-CN"/>
        </w:rPr>
        <w:t>用车0</w:t>
      </w:r>
      <w:r>
        <w:rPr>
          <w:rFonts w:hint="eastAsia" w:ascii="仿宋_GB2312" w:eastAsia="仿宋_GB2312" w:cs="仿宋_GB2312"/>
          <w:sz w:val="30"/>
          <w:szCs w:val="30"/>
        </w:rPr>
        <w:t>辆。</w:t>
      </w:r>
    </w:p>
    <w:p>
      <w:pPr>
        <w:spacing w:line="600" w:lineRule="exact"/>
        <w:ind w:firstLine="645"/>
        <w:rPr>
          <w:rFonts w:hint="eastAsia"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，与预算相比持平</w:t>
      </w:r>
      <w:r>
        <w:rPr>
          <w:rFonts w:eastAsia="仿宋_GB2312"/>
          <w:sz w:val="30"/>
          <w:szCs w:val="30"/>
        </w:rPr>
        <w:t>，</w:t>
      </w:r>
      <w:r>
        <w:rPr>
          <w:rFonts w:hint="eastAsia" w:ascii="仿宋_GB2312" w:hAnsi="Times New Roman" w:eastAsia="仿宋_GB2312" w:cs="仿宋_GB2312"/>
          <w:sz w:val="30"/>
          <w:szCs w:val="30"/>
          <w:u w:val="none"/>
          <w:lang w:val="en-US" w:eastAsia="zh-CN"/>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w:t>
      </w:r>
      <w:r>
        <w:rPr>
          <w:rFonts w:hint="eastAsia" w:eastAsia="仿宋_GB2312" w:cs="仿宋_GB2312"/>
          <w:sz w:val="30"/>
          <w:szCs w:val="30"/>
        </w:rPr>
        <w:t>次；其中，外事接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0人次</w:t>
      </w:r>
      <w:r>
        <w:rPr>
          <w:rFonts w:hint="eastAsia" w:eastAsia="仿宋_GB2312" w:cs="仿宋_GB2312"/>
          <w:sz w:val="30"/>
          <w:szCs w:val="30"/>
        </w:rPr>
        <w:t>。</w:t>
      </w:r>
    </w:p>
    <w:p>
      <w:pPr>
        <w:pStyle w:val="3"/>
        <w:spacing w:before="0" w:after="0" w:line="600" w:lineRule="exact"/>
        <w:ind w:firstLine="600" w:firstLineChars="200"/>
        <w:rPr>
          <w:rFonts w:hint="eastAsia" w:ascii="楷体" w:hAnsi="楷体" w:eastAsia="楷体" w:cs="仿宋_GB2312"/>
          <w:b w:val="0"/>
          <w:sz w:val="30"/>
          <w:szCs w:val="30"/>
        </w:rPr>
      </w:pPr>
      <w:bookmarkStart w:id="24" w:name="_Toc18682"/>
      <w:r>
        <w:rPr>
          <w:rFonts w:hint="eastAsia" w:ascii="黑体" w:hAnsi="黑体" w:eastAsia="黑体"/>
          <w:b w:val="0"/>
          <w:sz w:val="30"/>
          <w:szCs w:val="30"/>
          <w:lang w:eastAsia="zh-CN"/>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4"/>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2021年度部门决算政府性基金预算财政拨款年初结转和结余672445928.84元，收入801266898.68元，支出1120514402.42元，年末结转和结余353198425.10元。与2020年度相比，政府性基金预算财政拨款支出减少299487441.55元，下降21.09%，主要原因是</w:t>
      </w:r>
      <w:r>
        <w:rPr>
          <w:rFonts w:hint="eastAsia" w:ascii="仿宋_GB2312" w:eastAsia="仿宋_GB2312" w:cs="仿宋_GB2312"/>
          <w:sz w:val="30"/>
          <w:szCs w:val="30"/>
          <w:u w:val="none"/>
          <w:lang w:val="en-US" w:eastAsia="zh-CN"/>
        </w:rPr>
        <w:t>压减政府性基金预算支出</w:t>
      </w:r>
      <w:r>
        <w:rPr>
          <w:rFonts w:hint="eastAsia" w:ascii="仿宋_GB2312" w:hAnsi="Times New Roman" w:eastAsia="仿宋_GB2312" w:cs="仿宋_GB2312"/>
          <w:sz w:val="30"/>
          <w:szCs w:val="30"/>
          <w:u w:val="none"/>
          <w:lang w:val="en-US" w:eastAsia="zh-CN"/>
        </w:rPr>
        <w:t>。</w:t>
      </w:r>
    </w:p>
    <w:p>
      <w:pPr>
        <w:pStyle w:val="3"/>
        <w:spacing w:before="0" w:after="0" w:line="600" w:lineRule="exact"/>
        <w:ind w:firstLine="600" w:firstLineChars="200"/>
        <w:rPr>
          <w:rFonts w:hint="eastAsia" w:eastAsia="黑体"/>
          <w:b w:val="0"/>
          <w:sz w:val="30"/>
          <w:szCs w:val="30"/>
        </w:rPr>
      </w:pPr>
      <w:bookmarkStart w:id="25" w:name="_Toc11823"/>
      <w:r>
        <w:rPr>
          <w:rFonts w:hint="eastAsia" w:eastAsia="黑体"/>
          <w:b w:val="0"/>
          <w:sz w:val="30"/>
          <w:szCs w:val="30"/>
          <w:lang w:eastAsia="zh-CN"/>
        </w:rPr>
        <w:t>九</w:t>
      </w:r>
      <w:r>
        <w:rPr>
          <w:rFonts w:hint="eastAsia" w:eastAsia="黑体"/>
          <w:b w:val="0"/>
          <w:sz w:val="30"/>
          <w:szCs w:val="30"/>
        </w:rPr>
        <w:t>、国有资本经营预算财政拨款收支决算情况</w:t>
      </w:r>
      <w:bookmarkEnd w:id="25"/>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天津市津南区住房和建设委员会2021年度无国有资本经营预算财政拨款收入、支出和结转结余。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6" w:name="_Toc8800"/>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bookmarkEnd w:id="26"/>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机关运行经费是指行政单位和参照公务员法管理的事业单位使用一般公共预算财政拨款安排的基本支出中的日常公用经费支出，天津市津南区住房和建设委员会2021年度机关运行经费决算数2053865.01元，比2020年增加354179.33元，增长20.84%，主要原因是机构改革新增二级预算单位。</w:t>
      </w:r>
    </w:p>
    <w:p>
      <w:pPr>
        <w:pStyle w:val="3"/>
        <w:spacing w:before="0" w:after="0" w:line="600" w:lineRule="exact"/>
        <w:ind w:firstLine="600" w:firstLineChars="200"/>
        <w:rPr>
          <w:rFonts w:ascii="黑体" w:hAnsi="黑体" w:eastAsia="黑体"/>
          <w:b w:val="0"/>
          <w:sz w:val="30"/>
          <w:szCs w:val="30"/>
        </w:rPr>
      </w:pPr>
      <w:bookmarkStart w:id="27" w:name="_Toc8078"/>
      <w:r>
        <w:rPr>
          <w:rFonts w:hint="eastAsia"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7"/>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天津市津南区住房和建设委员会2021年度无政府采购支出。</w:t>
      </w:r>
    </w:p>
    <w:p>
      <w:pPr>
        <w:pStyle w:val="3"/>
        <w:spacing w:before="0" w:after="0" w:line="600" w:lineRule="exact"/>
        <w:ind w:firstLine="600" w:firstLineChars="200"/>
        <w:rPr>
          <w:rFonts w:hint="eastAsia" w:ascii="黑体" w:hAnsi="黑体" w:eastAsia="黑体"/>
          <w:b w:val="0"/>
          <w:sz w:val="30"/>
          <w:szCs w:val="30"/>
        </w:rPr>
      </w:pPr>
      <w:bookmarkStart w:id="28" w:name="_Toc2866"/>
      <w:r>
        <w:rPr>
          <w:rFonts w:hint="eastAsia" w:ascii="黑体" w:hAnsi="黑体" w:eastAsia="黑体"/>
          <w:b w:val="0"/>
          <w:sz w:val="30"/>
          <w:szCs w:val="30"/>
        </w:rPr>
        <w:t>十</w:t>
      </w:r>
      <w:r>
        <w:rPr>
          <w:rFonts w:hint="eastAsia" w:ascii="黑体" w:hAnsi="黑体" w:eastAsia="黑体"/>
          <w:b w:val="0"/>
          <w:sz w:val="30"/>
          <w:szCs w:val="30"/>
          <w:lang w:eastAsia="zh-CN"/>
        </w:rPr>
        <w:t>二</w:t>
      </w:r>
      <w:r>
        <w:rPr>
          <w:rFonts w:hint="eastAsia" w:ascii="黑体" w:hAnsi="黑体" w:eastAsia="黑体"/>
          <w:b w:val="0"/>
          <w:sz w:val="30"/>
          <w:szCs w:val="30"/>
        </w:rPr>
        <w:t>、国有资产占有使用情况</w:t>
      </w:r>
      <w:bookmarkEnd w:id="28"/>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截至2021年12月31日，天津市津南区住房和建设委员会共有车辆13辆，其中：副部（省）级及以上领导用车0辆、主要领导干部用车0辆、机要通信车0辆、应急保障用车0辆、执法执勤用车6辆、特种专业技术用车0辆、离退休干部用车0辆、其他用车7辆，</w:t>
      </w:r>
      <w:r>
        <w:rPr>
          <w:rFonts w:hint="eastAsia" w:ascii="仿宋_GB2312" w:hAnsi="Times New Roman" w:eastAsia="仿宋_GB2312" w:cs="仿宋_GB2312"/>
          <w:color w:val="auto"/>
          <w:sz w:val="30"/>
          <w:szCs w:val="30"/>
          <w:u w:val="none"/>
          <w:lang w:val="en-US" w:eastAsia="zh-CN"/>
        </w:rPr>
        <w:t>其他用车主要包括</w:t>
      </w:r>
      <w:r>
        <w:rPr>
          <w:rFonts w:hint="eastAsia" w:ascii="仿宋_GB2312" w:hAnsi="Times New Roman" w:eastAsia="仿宋_GB2312" w:cs="仿宋_GB2312"/>
          <w:sz w:val="30"/>
          <w:szCs w:val="30"/>
          <w:u w:val="none"/>
          <w:lang w:val="en-US" w:eastAsia="zh-CN"/>
        </w:rPr>
        <w:t>。单价50万元以上的通用设备0台（套），单价100万元以上的专用设备0 台（套）。</w:t>
      </w:r>
    </w:p>
    <w:p>
      <w:pPr>
        <w:pStyle w:val="3"/>
        <w:spacing w:before="0" w:after="0" w:line="600" w:lineRule="exact"/>
        <w:ind w:firstLine="600" w:firstLineChars="200"/>
        <w:rPr>
          <w:rFonts w:hint="eastAsia" w:ascii="黑体" w:hAnsi="黑体" w:eastAsia="黑体"/>
          <w:b w:val="0"/>
          <w:bCs w:val="0"/>
          <w:sz w:val="30"/>
          <w:szCs w:val="30"/>
        </w:rPr>
      </w:pPr>
      <w:bookmarkStart w:id="29" w:name="_Toc3441"/>
      <w:r>
        <w:rPr>
          <w:rFonts w:hint="eastAsia" w:ascii="黑体" w:hAnsi="黑体" w:eastAsia="黑体"/>
          <w:b w:val="0"/>
          <w:bCs w:val="0"/>
          <w:sz w:val="30"/>
          <w:szCs w:val="30"/>
        </w:rPr>
        <w:t>十</w:t>
      </w:r>
      <w:r>
        <w:rPr>
          <w:rFonts w:hint="eastAsia" w:ascii="黑体" w:hAnsi="黑体" w:eastAsia="黑体"/>
          <w:b w:val="0"/>
          <w:bCs w:val="0"/>
          <w:sz w:val="30"/>
          <w:szCs w:val="30"/>
          <w:lang w:eastAsia="zh-CN"/>
        </w:rPr>
        <w:t>三</w:t>
      </w:r>
      <w:r>
        <w:rPr>
          <w:rFonts w:hint="eastAsia" w:ascii="黑体" w:hAnsi="黑体" w:eastAsia="黑体"/>
          <w:b w:val="0"/>
          <w:bCs w:val="0"/>
          <w:sz w:val="30"/>
          <w:szCs w:val="30"/>
        </w:rPr>
        <w:t>、预算绩效情况说明</w:t>
      </w:r>
      <w:bookmarkEnd w:id="29"/>
    </w:p>
    <w:p>
      <w:pPr>
        <w:spacing w:line="600" w:lineRule="exact"/>
        <w:ind w:firstLine="600" w:firstLineChars="200"/>
        <w:jc w:val="both"/>
        <w:rPr>
          <w:rFonts w:hint="eastAsia" w:eastAsia="仿宋_GB2312"/>
          <w:sz w:val="30"/>
          <w:szCs w:val="30"/>
          <w:highlight w:val="none"/>
          <w:u w:val="none"/>
          <w:lang w:val="en-US" w:eastAsia="zh-CN"/>
        </w:rPr>
      </w:pPr>
      <w:bookmarkStart w:id="30" w:name="_Toc11040"/>
      <w:r>
        <w:rPr>
          <w:rFonts w:eastAsia="仿宋_GB2312"/>
          <w:sz w:val="30"/>
          <w:szCs w:val="30"/>
          <w:highlight w:val="none"/>
        </w:rPr>
        <w:t>根据预算绩效管理要求，</w:t>
      </w:r>
      <w:r>
        <w:rPr>
          <w:rFonts w:hint="eastAsia" w:ascii="仿宋_GB2312" w:hAnsi="Times New Roman" w:eastAsia="仿宋_GB2312" w:cs="仿宋_GB2312"/>
          <w:sz w:val="30"/>
          <w:szCs w:val="30"/>
          <w:u w:val="none"/>
          <w:lang w:val="en-US" w:eastAsia="zh-CN"/>
        </w:rPr>
        <w:t>天津市津南区住房和建设委员会</w:t>
      </w:r>
      <w:r>
        <w:rPr>
          <w:rFonts w:eastAsia="仿宋_GB2312"/>
          <w:sz w:val="30"/>
          <w:szCs w:val="30"/>
          <w:highlight w:val="none"/>
        </w:rPr>
        <w:t>202</w:t>
      </w:r>
      <w:r>
        <w:rPr>
          <w:rFonts w:hint="eastAsia" w:eastAsia="仿宋_GB2312"/>
          <w:sz w:val="30"/>
          <w:szCs w:val="30"/>
          <w:highlight w:val="none"/>
        </w:rPr>
        <w:t>1</w:t>
      </w:r>
      <w:r>
        <w:rPr>
          <w:rFonts w:eastAsia="仿宋_GB2312"/>
          <w:sz w:val="30"/>
          <w:szCs w:val="30"/>
          <w:highlight w:val="none"/>
        </w:rPr>
        <w:t>年度</w:t>
      </w:r>
      <w:r>
        <w:rPr>
          <w:rFonts w:hint="eastAsia" w:eastAsia="仿宋_GB2312"/>
          <w:sz w:val="30"/>
          <w:szCs w:val="30"/>
          <w:highlight w:val="none"/>
          <w:u w:val="none"/>
          <w:lang w:val="en-US" w:eastAsia="zh-CN"/>
        </w:rPr>
        <w:t>已对60</w:t>
      </w:r>
      <w:r>
        <w:rPr>
          <w:rFonts w:eastAsia="仿宋_GB2312"/>
          <w:sz w:val="30"/>
          <w:szCs w:val="30"/>
          <w:highlight w:val="none"/>
          <w:u w:val="none"/>
        </w:rPr>
        <w:t>个项目开展绩效自评，涉及金额</w:t>
      </w:r>
      <w:r>
        <w:rPr>
          <w:rFonts w:hint="eastAsia" w:eastAsia="仿宋_GB2312"/>
          <w:sz w:val="30"/>
          <w:szCs w:val="30"/>
          <w:highlight w:val="none"/>
          <w:u w:val="none"/>
          <w:lang w:val="en-US" w:eastAsia="zh-CN"/>
        </w:rPr>
        <w:t>841780047.34</w:t>
      </w:r>
      <w:r>
        <w:rPr>
          <w:rFonts w:hint="eastAsia" w:eastAsia="仿宋_GB2312"/>
          <w:sz w:val="30"/>
          <w:szCs w:val="30"/>
          <w:highlight w:val="none"/>
          <w:u w:val="none"/>
          <w:lang w:eastAsia="zh-CN"/>
        </w:rPr>
        <w:t>元，</w:t>
      </w:r>
      <w:r>
        <w:rPr>
          <w:rFonts w:hint="eastAsia" w:eastAsia="仿宋_GB2312"/>
          <w:sz w:val="30"/>
          <w:szCs w:val="30"/>
          <w:highlight w:val="none"/>
          <w:u w:val="none"/>
        </w:rPr>
        <w:t>自评结果</w:t>
      </w:r>
      <w:r>
        <w:rPr>
          <w:rFonts w:hint="eastAsia" w:eastAsia="仿宋_GB2312"/>
          <w:sz w:val="30"/>
          <w:szCs w:val="30"/>
          <w:highlight w:val="none"/>
          <w:u w:val="none"/>
          <w:lang w:val="en-US" w:eastAsia="zh-CN"/>
        </w:rPr>
        <w:t>已随部门决算和“三公”经费决算一并公开</w:t>
      </w:r>
      <w:r>
        <w:rPr>
          <w:rFonts w:hint="eastAsia" w:eastAsia="仿宋_GB2312"/>
          <w:sz w:val="30"/>
          <w:szCs w:val="30"/>
          <w:highlight w:val="none"/>
          <w:u w:val="none"/>
          <w:lang w:eastAsia="zh-CN"/>
        </w:rPr>
        <w:t>。</w:t>
      </w:r>
      <w:r>
        <w:rPr>
          <w:rFonts w:hint="eastAsia" w:eastAsia="仿宋_GB2312"/>
          <w:sz w:val="30"/>
          <w:szCs w:val="30"/>
          <w:highlight w:val="none"/>
          <w:u w:val="none"/>
          <w:lang w:val="en-US" w:eastAsia="zh-CN"/>
        </w:rPr>
        <w:t>本部门2021年度已自行组织开展9</w:t>
      </w:r>
      <w:r>
        <w:rPr>
          <w:rFonts w:eastAsia="仿宋_GB2312"/>
          <w:sz w:val="30"/>
          <w:szCs w:val="30"/>
          <w:highlight w:val="none"/>
          <w:u w:val="none"/>
        </w:rPr>
        <w:t>个项目</w:t>
      </w:r>
      <w:r>
        <w:rPr>
          <w:rFonts w:hint="eastAsia" w:eastAsia="仿宋_GB2312"/>
          <w:sz w:val="30"/>
          <w:szCs w:val="30"/>
          <w:highlight w:val="none"/>
          <w:u w:val="none"/>
          <w:lang w:val="en-US" w:eastAsia="zh-CN"/>
        </w:rPr>
        <w:t>绩效评价</w:t>
      </w:r>
      <w:r>
        <w:rPr>
          <w:rFonts w:eastAsia="仿宋_GB2312"/>
          <w:sz w:val="30"/>
          <w:szCs w:val="30"/>
          <w:highlight w:val="none"/>
          <w:u w:val="none"/>
        </w:rPr>
        <w:t>，涉及金额</w:t>
      </w:r>
      <w:r>
        <w:rPr>
          <w:rFonts w:hint="eastAsia" w:eastAsia="仿宋_GB2312"/>
          <w:sz w:val="30"/>
          <w:szCs w:val="30"/>
          <w:highlight w:val="none"/>
          <w:u w:val="none"/>
          <w:lang w:val="en-US" w:eastAsia="zh-CN"/>
        </w:rPr>
        <w:t>30905580</w:t>
      </w:r>
      <w:r>
        <w:rPr>
          <w:rFonts w:hint="eastAsia" w:eastAsia="仿宋_GB2312"/>
          <w:sz w:val="30"/>
          <w:szCs w:val="30"/>
          <w:highlight w:val="none"/>
          <w:u w:val="none"/>
          <w:lang w:eastAsia="zh-CN"/>
        </w:rPr>
        <w:t>元。</w:t>
      </w:r>
    </w:p>
    <w:p>
      <w:pPr>
        <w:pStyle w:val="3"/>
        <w:spacing w:before="0" w:after="0" w:line="600" w:lineRule="exact"/>
        <w:ind w:firstLine="600" w:firstLineChars="200"/>
        <w:rPr>
          <w:rFonts w:ascii="Times New Roman" w:hAnsi="Times New Roman" w:eastAsia="黑体"/>
          <w:b w:val="0"/>
          <w:sz w:val="30"/>
          <w:szCs w:val="30"/>
        </w:rPr>
      </w:pPr>
      <w:r>
        <w:rPr>
          <w:rFonts w:hint="eastAsia" w:ascii="Times New Roman" w:hAnsi="Times New Roman" w:eastAsia="黑体"/>
          <w:b w:val="0"/>
          <w:sz w:val="30"/>
          <w:szCs w:val="30"/>
        </w:rPr>
        <w:t>十</w:t>
      </w:r>
      <w:r>
        <w:rPr>
          <w:rFonts w:hint="eastAsia" w:ascii="Times New Roman" w:hAnsi="Times New Roman" w:eastAsia="黑体"/>
          <w:b w:val="0"/>
          <w:sz w:val="30"/>
          <w:szCs w:val="30"/>
          <w:lang w:eastAsia="zh-CN"/>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bookmarkEnd w:id="30"/>
      <w:r>
        <w:rPr>
          <w:rFonts w:hint="eastAsia" w:ascii="黑体" w:hAnsi="黑体" w:eastAsia="黑体"/>
          <w:b w:val="0"/>
          <w:bCs w:val="0"/>
          <w:sz w:val="30"/>
          <w:szCs w:val="30"/>
          <w:lang w:eastAsia="zh-CN"/>
        </w:rPr>
        <w:t>说明</w:t>
      </w:r>
    </w:p>
    <w:p>
      <w:pPr>
        <w:spacing w:line="600" w:lineRule="exact"/>
        <w:ind w:firstLine="645"/>
        <w:rPr>
          <w:rFonts w:hint="eastAsia" w:ascii="Times New Roman" w:hAnsi="Times New Roman" w:eastAsia="仿宋_GB2312" w:cs="仿宋_GB2312"/>
          <w:sz w:val="30"/>
          <w:szCs w:val="30"/>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Times New Roman" w:hAnsi="Times New Roman" w:eastAsia="仿宋_GB2312" w:cs="仿宋_GB2312"/>
          <w:sz w:val="30"/>
          <w:szCs w:val="30"/>
          <w:lang w:val="en-US" w:eastAsia="zh-CN"/>
        </w:rPr>
        <w:t>天津市津南区住房和建设委员会2021年度无教育、医疗卫生、社会保障和就业、住房保障、涉农补贴等民生支出情况。</w:t>
      </w:r>
      <w:bookmarkStart w:id="31" w:name="_Toc18688"/>
    </w:p>
    <w:p>
      <w:pPr>
        <w:spacing w:line="600" w:lineRule="exact"/>
        <w:ind w:firstLine="645"/>
        <w:rPr>
          <w:rFonts w:hint="eastAsia" w:ascii="Times New Roman" w:hAnsi="Times New Roman" w:eastAsia="仿宋_GB2312" w:cs="仿宋_GB2312"/>
          <w:sz w:val="30"/>
          <w:szCs w:val="30"/>
          <w:lang w:val="en-US" w:eastAsia="zh-CN"/>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第四部分  名词解释</w:t>
      </w:r>
      <w:bookmarkEnd w:id="31"/>
    </w:p>
    <w:p>
      <w:pPr>
        <w:spacing w:line="600" w:lineRule="exact"/>
        <w:ind w:firstLine="600" w:firstLineChars="200"/>
        <w:rPr>
          <w:rFonts w:hint="eastAsia" w:ascii="仿宋_GB2312" w:eastAsia="仿宋_GB2312"/>
          <w:sz w:val="30"/>
          <w:szCs w:val="30"/>
        </w:rPr>
      </w:pPr>
    </w:p>
    <w:p>
      <w:pPr>
        <w:numPr>
          <w:ilvl w:val="0"/>
          <w:numId w:val="3"/>
        </w:numPr>
        <w:spacing w:line="600" w:lineRule="exact"/>
        <w:ind w:firstLine="600" w:firstLineChars="200"/>
        <w:rPr>
          <w:rFonts w:hint="eastAsia"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hint="eastAsia"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hint="eastAsia" w:eastAsia="仿宋_GB2312"/>
          <w:sz w:val="30"/>
          <w:szCs w:val="30"/>
          <w:highlight w:val="yellow"/>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WDucJ0QEAAKMDAAAOAAAAAAAAAAEAIAAAACIB&#10;AABkcnMvZTJvRG9jLnhtbFBLBQYAAAAABgAGAFkBAABlBQAAAAA=&#10;">
              <v:fill on="f" focussize="0,0"/>
              <v:stroke on="f" weight="1.25pt"/>
              <v:imagedata o:title=""/>
              <o:lock v:ext="edit" aspectratio="f"/>
              <v:textbox inset="0mm,0mm,0mm,0mm" style="mso-fit-shape-to-text:t;">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04"/>
    <w:multiLevelType w:val="singleLevel"/>
    <w:tmpl w:val="5EF85A04"/>
    <w:lvl w:ilvl="0" w:tentative="0">
      <w:start w:val="1"/>
      <w:numFmt w:val="decimal"/>
      <w:suff w:val="nothing"/>
      <w:lvlText w:val="%1."/>
      <w:lvlJc w:val="left"/>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11D802DB"/>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E5A61"/>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21D09AE"/>
    <w:rsid w:val="02317CA1"/>
    <w:rsid w:val="02C26D17"/>
    <w:rsid w:val="032B2B72"/>
    <w:rsid w:val="03633F1C"/>
    <w:rsid w:val="03877CF5"/>
    <w:rsid w:val="03971CD2"/>
    <w:rsid w:val="03A73B20"/>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2A84775"/>
    <w:rsid w:val="135D03D9"/>
    <w:rsid w:val="13A17616"/>
    <w:rsid w:val="149264E6"/>
    <w:rsid w:val="14D34118"/>
    <w:rsid w:val="14F31DE2"/>
    <w:rsid w:val="15127621"/>
    <w:rsid w:val="156A2C3E"/>
    <w:rsid w:val="157A3189"/>
    <w:rsid w:val="15E37C52"/>
    <w:rsid w:val="169221B4"/>
    <w:rsid w:val="16EA0A1B"/>
    <w:rsid w:val="181D0AF6"/>
    <w:rsid w:val="18E12A26"/>
    <w:rsid w:val="1A2F34CF"/>
    <w:rsid w:val="1AB904EF"/>
    <w:rsid w:val="1B0B6786"/>
    <w:rsid w:val="1C2E1750"/>
    <w:rsid w:val="1C8A5079"/>
    <w:rsid w:val="1DA340AC"/>
    <w:rsid w:val="1E2F4E67"/>
    <w:rsid w:val="1E506972"/>
    <w:rsid w:val="1E652469"/>
    <w:rsid w:val="1E8146FC"/>
    <w:rsid w:val="1EC8639D"/>
    <w:rsid w:val="1EC97805"/>
    <w:rsid w:val="1EFB07B0"/>
    <w:rsid w:val="1F6101B7"/>
    <w:rsid w:val="1FABD71D"/>
    <w:rsid w:val="20505929"/>
    <w:rsid w:val="2093268B"/>
    <w:rsid w:val="228770CD"/>
    <w:rsid w:val="236906A5"/>
    <w:rsid w:val="237564A9"/>
    <w:rsid w:val="23BA0D09"/>
    <w:rsid w:val="24BA0C0F"/>
    <w:rsid w:val="259F5563"/>
    <w:rsid w:val="25AD749C"/>
    <w:rsid w:val="25AE4162"/>
    <w:rsid w:val="261B2634"/>
    <w:rsid w:val="26872640"/>
    <w:rsid w:val="26C653DA"/>
    <w:rsid w:val="26DF31AA"/>
    <w:rsid w:val="26EC5D21"/>
    <w:rsid w:val="27A13E6E"/>
    <w:rsid w:val="28863E70"/>
    <w:rsid w:val="28994B2A"/>
    <w:rsid w:val="28CD1B01"/>
    <w:rsid w:val="290441D9"/>
    <w:rsid w:val="292E4395"/>
    <w:rsid w:val="29867FF5"/>
    <w:rsid w:val="29D72E63"/>
    <w:rsid w:val="29F01BC9"/>
    <w:rsid w:val="2A1248CB"/>
    <w:rsid w:val="2A24302B"/>
    <w:rsid w:val="2A7456B8"/>
    <w:rsid w:val="2BDE345F"/>
    <w:rsid w:val="2CB024EC"/>
    <w:rsid w:val="2D2B1A30"/>
    <w:rsid w:val="2D5BB7F4"/>
    <w:rsid w:val="2DA87FE3"/>
    <w:rsid w:val="2DAB1C1C"/>
    <w:rsid w:val="2DFD2D30"/>
    <w:rsid w:val="2E6455AA"/>
    <w:rsid w:val="2E6E5875"/>
    <w:rsid w:val="2E8231D4"/>
    <w:rsid w:val="2EAA1E45"/>
    <w:rsid w:val="2EBA2F30"/>
    <w:rsid w:val="2F8573F4"/>
    <w:rsid w:val="2FFD4B55"/>
    <w:rsid w:val="31647FEC"/>
    <w:rsid w:val="31F32BCC"/>
    <w:rsid w:val="322D5537"/>
    <w:rsid w:val="32500429"/>
    <w:rsid w:val="329120FA"/>
    <w:rsid w:val="32B00783"/>
    <w:rsid w:val="33987EA4"/>
    <w:rsid w:val="33E55770"/>
    <w:rsid w:val="34082B46"/>
    <w:rsid w:val="34E404B6"/>
    <w:rsid w:val="353874A5"/>
    <w:rsid w:val="356C4B0F"/>
    <w:rsid w:val="357756D0"/>
    <w:rsid w:val="35F83418"/>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F6709D"/>
    <w:rsid w:val="56F540E8"/>
    <w:rsid w:val="574477F3"/>
    <w:rsid w:val="57814C22"/>
    <w:rsid w:val="579303E0"/>
    <w:rsid w:val="57BD125F"/>
    <w:rsid w:val="59005937"/>
    <w:rsid w:val="596D5572"/>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4471E03"/>
    <w:rsid w:val="65737FA2"/>
    <w:rsid w:val="65D920E1"/>
    <w:rsid w:val="65D9655D"/>
    <w:rsid w:val="6656630C"/>
    <w:rsid w:val="66EC0C69"/>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73A73AB"/>
    <w:rsid w:val="775767BB"/>
    <w:rsid w:val="7779068F"/>
    <w:rsid w:val="77B92148"/>
    <w:rsid w:val="77FFE39F"/>
    <w:rsid w:val="781B1736"/>
    <w:rsid w:val="78F051A8"/>
    <w:rsid w:val="79EF18A6"/>
    <w:rsid w:val="7A903B21"/>
    <w:rsid w:val="7C6E6413"/>
    <w:rsid w:val="7CF2196B"/>
    <w:rsid w:val="7D2E7430"/>
    <w:rsid w:val="7D3C6AF6"/>
    <w:rsid w:val="7D9A013D"/>
    <w:rsid w:val="7E9160CF"/>
    <w:rsid w:val="7FDC2489"/>
    <w:rsid w:val="7FFDEEFD"/>
    <w:rsid w:val="D74FDF30"/>
    <w:rsid w:val="DEAEE68D"/>
    <w:rsid w:val="F7F97754"/>
    <w:rsid w:val="FB7FC3E7"/>
    <w:rsid w:val="FF39CB78"/>
    <w:rsid w:val="FF3F61B6"/>
    <w:rsid w:val="FFC7EC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unhideWhenUsed/>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14</Pages>
  <Words>5108</Words>
  <Characters>6120</Characters>
  <Lines>60</Lines>
  <Paragraphs>16</Paragraphs>
  <TotalTime>1</TotalTime>
  <ScaleCrop>false</ScaleCrop>
  <LinksUpToDate>false</LinksUpToDate>
  <CharactersWithSpaces>6220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侯亚琪</cp:lastModifiedBy>
  <cp:lastPrinted>2022-07-15T16:53:00Z</cp:lastPrinted>
  <dcterms:modified xsi:type="dcterms:W3CDTF">2022-10-13T06:42:00Z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797AFC5B62604707B4045161FAE380F4</vt:lpwstr>
  </property>
</Properties>
</file>