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lang w:val="en"/>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天津市津南区住房和建设服务中心</w:t>
      </w:r>
    </w:p>
    <w:p>
      <w:pPr>
        <w:spacing w:line="580" w:lineRule="exact"/>
        <w:jc w:val="center"/>
        <w:rPr>
          <w:rFonts w:ascii="方正小标宋简体" w:hAnsi="方正小标宋简体" w:eastAsia="方正小标宋简体" w:cs="方正小标宋简体"/>
          <w:sz w:val="48"/>
          <w:szCs w:val="48"/>
        </w:rPr>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2022年度部门决算</w:t>
      </w:r>
    </w:p>
    <w:p>
      <w:pPr>
        <w:spacing w:line="600" w:lineRule="exact"/>
        <w:jc w:val="center"/>
        <w:rPr>
          <w:rFonts w:ascii="黑体" w:eastAsia="黑体"/>
          <w:sz w:val="44"/>
          <w:szCs w:val="44"/>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11"/>
        <w:tabs>
          <w:tab w:val="right" w:leader="dot" w:pos="8306"/>
          <w:tab w:val="clear" w:pos="8296"/>
        </w:tabs>
        <w:rPr>
          <w:rFonts w:ascii="仿宋_GB2312" w:hAnsi="Times New Roman" w:eastAsia="仿宋_GB2312" w:cs="Times New Roman"/>
          <w:sz w:val="30"/>
          <w:szCs w:val="30"/>
        </w:rPr>
      </w:pP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TOC \o "1-3" \h \z \u </w:instrText>
      </w:r>
      <w:r>
        <w:rPr>
          <w:rFonts w:hint="eastAsia" w:ascii="仿宋_GB2312" w:hAnsi="Times New Roman" w:eastAsia="仿宋_GB2312" w:cs="Times New Roman"/>
          <w:sz w:val="30"/>
          <w:szCs w:val="30"/>
        </w:rPr>
        <w:fldChar w:fldCharType="separate"/>
      </w:r>
      <w:r>
        <w:fldChar w:fldCharType="begin"/>
      </w:r>
      <w:r>
        <w:instrText xml:space="preserve"> HYPERLINK \l "_Toc859" </w:instrText>
      </w:r>
      <w:r>
        <w:fldChar w:fldCharType="separate"/>
      </w:r>
      <w:r>
        <w:rPr>
          <w:rFonts w:hint="eastAsia" w:ascii="仿宋_GB2312" w:hAnsi="Times New Roman" w:eastAsia="仿宋_GB2312" w:cs="Times New Roman"/>
          <w:sz w:val="30"/>
          <w:szCs w:val="30"/>
        </w:rPr>
        <w:t>第一部分  概 况</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_Toc859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"_Toc21919" </w:instrText>
      </w:r>
      <w:r>
        <w:fldChar w:fldCharType="separate"/>
      </w:r>
      <w:r>
        <w:rPr>
          <w:rFonts w:hint="eastAsia" w:ascii="仿宋_GB2312" w:hAnsi="Times New Roman" w:eastAsia="仿宋_GB2312"/>
          <w:sz w:val="30"/>
          <w:szCs w:val="30"/>
        </w:rPr>
        <w:t>一、主要职责</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_Toc21919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"_Toc17388" </w:instrText>
      </w:r>
      <w:r>
        <w:fldChar w:fldCharType="separate"/>
      </w:r>
      <w:r>
        <w:rPr>
          <w:rFonts w:hint="eastAsia" w:ascii="仿宋_GB2312" w:hAnsi="Times New Roman" w:eastAsia="仿宋_GB2312"/>
          <w:sz w:val="30"/>
          <w:szCs w:val="30"/>
        </w:rPr>
        <w:t>二、机构设置</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_Toc17388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"_Toc24747" </w:instrText>
      </w:r>
      <w:r>
        <w:fldChar w:fldCharType="separate"/>
      </w:r>
      <w:r>
        <w:rPr>
          <w:rFonts w:hint="eastAsia" w:ascii="仿宋_GB2312" w:hAnsi="Times New Roman" w:eastAsia="仿宋_GB2312" w:cs="Times New Roman"/>
          <w:sz w:val="30"/>
          <w:szCs w:val="30"/>
        </w:rPr>
        <w:t>第二部分  2022年度部门决算表</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_Toc24747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"_Toc20142" </w:instrText>
      </w:r>
      <w:r>
        <w:fldChar w:fldCharType="separate"/>
      </w:r>
      <w:r>
        <w:rPr>
          <w:rFonts w:hint="eastAsia" w:ascii="仿宋_GB2312" w:hAnsi="Times New Roman" w:eastAsia="仿宋_GB2312"/>
          <w:sz w:val="30"/>
          <w:szCs w:val="30"/>
        </w:rPr>
        <w:t>一、《收入支出决算总表》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_Toc20142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"_Toc1616" </w:instrText>
      </w:r>
      <w:r>
        <w:fldChar w:fldCharType="separate"/>
      </w:r>
      <w:r>
        <w:rPr>
          <w:rFonts w:hint="eastAsia" w:ascii="仿宋_GB2312" w:hAnsi="Times New Roman" w:eastAsia="仿宋_GB2312"/>
          <w:sz w:val="30"/>
          <w:szCs w:val="30"/>
        </w:rPr>
        <w:t>二、《收入决算表（按功能分类列示）》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_Toc1616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"_Toc12050" </w:instrText>
      </w:r>
      <w:r>
        <w:fldChar w:fldCharType="separate"/>
      </w:r>
      <w:r>
        <w:rPr>
          <w:rFonts w:hint="eastAsia" w:ascii="仿宋_GB2312" w:hAnsi="Times New Roman" w:eastAsia="仿宋_GB2312"/>
          <w:sz w:val="30"/>
          <w:szCs w:val="30"/>
        </w:rPr>
        <w:t>三、《收入决算表（按单位列示）》</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_Toc12050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"_Toc1989" </w:instrText>
      </w:r>
      <w:r>
        <w:fldChar w:fldCharType="separate"/>
      </w:r>
      <w:r>
        <w:rPr>
          <w:rFonts w:hint="eastAsia" w:ascii="仿宋_GB2312" w:hAnsi="Times New Roman" w:eastAsia="仿宋_GB2312"/>
          <w:sz w:val="30"/>
          <w:szCs w:val="30"/>
        </w:rPr>
        <w:t>四、《支出决算表》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_Toc1989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"_Toc32498" </w:instrText>
      </w:r>
      <w:r>
        <w:fldChar w:fldCharType="separate"/>
      </w:r>
      <w:r>
        <w:rPr>
          <w:rFonts w:hint="eastAsia" w:ascii="仿宋_GB2312" w:hAnsi="Times New Roman" w:eastAsia="仿宋_GB2312"/>
          <w:sz w:val="30"/>
          <w:szCs w:val="30"/>
        </w:rPr>
        <w:t>五、《财政拨款收入支出决算总表》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_Toc32498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"_Toc26379" </w:instrText>
      </w:r>
      <w:r>
        <w:fldChar w:fldCharType="separate"/>
      </w:r>
      <w:r>
        <w:rPr>
          <w:rFonts w:hint="eastAsia" w:ascii="仿宋_GB2312" w:hAnsi="Times New Roman" w:eastAsia="仿宋_GB2312"/>
          <w:sz w:val="30"/>
          <w:szCs w:val="30"/>
        </w:rPr>
        <w:t>六、《一般公共预算财政拨款支出决算表》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_Toc26379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"_Toc4498" </w:instrText>
      </w:r>
      <w:r>
        <w:fldChar w:fldCharType="separate"/>
      </w:r>
      <w:r>
        <w:rPr>
          <w:rFonts w:hint="eastAsia" w:ascii="仿宋_GB2312" w:hAnsi="Times New Roman" w:eastAsia="仿宋_GB2312"/>
          <w:sz w:val="30"/>
          <w:szCs w:val="30"/>
        </w:rPr>
        <w:t>七、《一般公共预算财政拨款基本支出决算表》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_Toc4498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"_Toc18038" </w:instrText>
      </w:r>
      <w:r>
        <w:fldChar w:fldCharType="separate"/>
      </w:r>
      <w:r>
        <w:rPr>
          <w:rFonts w:hint="eastAsia" w:ascii="仿宋_GB2312" w:hAnsi="Times New Roman" w:eastAsia="仿宋_GB2312"/>
          <w:sz w:val="30"/>
          <w:szCs w:val="30"/>
        </w:rPr>
        <w:t>八、《政府性基金预算财政拨款收入支出决算表》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_Toc18038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"_Toc13200" </w:instrText>
      </w:r>
      <w:r>
        <w:fldChar w:fldCharType="separate"/>
      </w:r>
      <w:r>
        <w:rPr>
          <w:rFonts w:hint="eastAsia" w:ascii="仿宋_GB2312" w:hAnsi="Times New Roman" w:eastAsia="仿宋_GB2312"/>
          <w:sz w:val="30"/>
          <w:szCs w:val="30"/>
        </w:rPr>
        <w:t>九、《国有资本经营预算财政拨款收入支出决算表》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_Toc13200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"_Toc3423" </w:instrText>
      </w:r>
      <w:r>
        <w:fldChar w:fldCharType="separate"/>
      </w:r>
      <w:r>
        <w:rPr>
          <w:rFonts w:hint="eastAsia" w:ascii="仿宋_GB2312" w:hAnsi="Times New Roman" w:eastAsia="仿宋_GB2312"/>
          <w:sz w:val="30"/>
          <w:szCs w:val="30"/>
        </w:rPr>
        <w:t>十、《一般公共预算财政拨款“三公”经费支出决算表》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_Toc3423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"_Toc3915" </w:instrText>
      </w:r>
      <w:r>
        <w:fldChar w:fldCharType="separate"/>
      </w:r>
      <w:r>
        <w:rPr>
          <w:rFonts w:hint="eastAsia" w:ascii="仿宋_GB2312" w:hAnsi="Times New Roman" w:eastAsia="仿宋_GB2312"/>
          <w:sz w:val="30"/>
          <w:szCs w:val="30"/>
        </w:rPr>
        <w:t>十一、《项目支出决算表》</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_Toc3915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"_Toc17260" </w:instrText>
      </w:r>
      <w:r>
        <w:fldChar w:fldCharType="separate"/>
      </w:r>
      <w:r>
        <w:rPr>
          <w:rFonts w:hint="eastAsia" w:ascii="仿宋_GB2312" w:hAnsi="Times New Roman" w:eastAsia="仿宋_GB2312"/>
          <w:sz w:val="30"/>
          <w:szCs w:val="30"/>
        </w:rPr>
        <w:t>十二、关于空表的说明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_Toc17260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2</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"_Toc396" </w:instrText>
      </w:r>
      <w:r>
        <w:fldChar w:fldCharType="separate"/>
      </w:r>
      <w:r>
        <w:rPr>
          <w:rFonts w:hint="eastAsia" w:ascii="仿宋_GB2312" w:hAnsi="Times New Roman" w:eastAsia="仿宋_GB2312" w:cs="Times New Roman"/>
          <w:sz w:val="30"/>
          <w:szCs w:val="30"/>
        </w:rPr>
        <w:t>第三部分  2022年度部门决算情况说明</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_Toc396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4</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"_Toc24340" </w:instrText>
      </w:r>
      <w:r>
        <w:fldChar w:fldCharType="separate"/>
      </w:r>
      <w:r>
        <w:rPr>
          <w:rFonts w:hint="eastAsia" w:ascii="仿宋_GB2312" w:hAnsi="Times New Roman" w:eastAsia="仿宋_GB2312"/>
          <w:sz w:val="30"/>
          <w:szCs w:val="30"/>
        </w:rPr>
        <w:t>一、收入支出决算总体情况说明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_Toc24340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"_Toc18552" </w:instrText>
      </w:r>
      <w:r>
        <w:fldChar w:fldCharType="separate"/>
      </w:r>
      <w:r>
        <w:rPr>
          <w:rFonts w:hint="eastAsia" w:ascii="仿宋_GB2312" w:hAnsi="Times New Roman" w:eastAsia="仿宋_GB2312"/>
          <w:sz w:val="30"/>
          <w:szCs w:val="30"/>
        </w:rPr>
        <w:t>二、收入决算情况说明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_Toc18552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"_Toc26952" </w:instrText>
      </w:r>
      <w:r>
        <w:fldChar w:fldCharType="separate"/>
      </w:r>
      <w:r>
        <w:rPr>
          <w:rFonts w:hint="eastAsia" w:ascii="仿宋_GB2312" w:hAnsi="Times New Roman" w:eastAsia="仿宋_GB2312"/>
          <w:sz w:val="30"/>
          <w:szCs w:val="30"/>
        </w:rPr>
        <w:t>三、支出决算情况说明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_Toc26952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"_Toc1812" </w:instrText>
      </w:r>
      <w:r>
        <w:fldChar w:fldCharType="separate"/>
      </w:r>
      <w:r>
        <w:rPr>
          <w:rFonts w:hint="eastAsia" w:ascii="仿宋_GB2312" w:hAnsi="Times New Roman" w:eastAsia="仿宋_GB2312"/>
          <w:sz w:val="30"/>
          <w:szCs w:val="30"/>
        </w:rPr>
        <w:t>四、财政拨款收支决算总体情况说明</w:t>
      </w:r>
      <w:bookmarkStart w:id="32" w:name="_GoBack"/>
      <w:bookmarkEnd w:id="32"/>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_Toc1812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4</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"_Toc10091" </w:instrText>
      </w:r>
      <w:r>
        <w:fldChar w:fldCharType="separate"/>
      </w:r>
      <w:r>
        <w:rPr>
          <w:rFonts w:hint="eastAsia" w:ascii="仿宋_GB2312" w:hAnsi="Times New Roman" w:eastAsia="仿宋_GB2312"/>
          <w:sz w:val="30"/>
          <w:szCs w:val="30"/>
        </w:rPr>
        <w:t>五、一般公共预算财政拨款支出决算情况说明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_Toc10091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5</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"_Toc10721" </w:instrText>
      </w:r>
      <w:r>
        <w:fldChar w:fldCharType="separate"/>
      </w:r>
      <w:r>
        <w:rPr>
          <w:rFonts w:hint="eastAsia" w:ascii="仿宋_GB2312" w:hAnsi="Times New Roman" w:eastAsia="仿宋_GB2312"/>
          <w:sz w:val="30"/>
          <w:szCs w:val="30"/>
        </w:rPr>
        <w:t>六、一般公共预算财政拨款基本支出决算情况说明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_Toc10721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7</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"_Toc17918" </w:instrText>
      </w:r>
      <w:r>
        <w:fldChar w:fldCharType="separate"/>
      </w:r>
      <w:r>
        <w:rPr>
          <w:rFonts w:hint="eastAsia" w:ascii="仿宋_GB2312" w:hAnsi="Times New Roman" w:eastAsia="仿宋_GB2312"/>
          <w:sz w:val="30"/>
          <w:szCs w:val="30"/>
        </w:rPr>
        <w:t>七、政府性基金预算财政拨款收支决算情况说明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8</w:t>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"_Toc23897" </w:instrText>
      </w:r>
      <w:r>
        <w:fldChar w:fldCharType="separate"/>
      </w:r>
      <w:r>
        <w:rPr>
          <w:rFonts w:hint="eastAsia" w:ascii="仿宋_GB2312" w:hAnsi="Times New Roman" w:eastAsia="仿宋_GB2312"/>
          <w:sz w:val="30"/>
          <w:szCs w:val="30"/>
        </w:rPr>
        <w:t>八、国有资本经营预算财政拨款收支决算情况说明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8</w:t>
      </w:r>
      <w:r>
        <w:rPr>
          <w:rFonts w:hint="eastAsia" w:ascii="仿宋_GB2312" w:hAnsi="Times New Roman" w:eastAsia="仿宋_GB2312"/>
          <w:sz w:val="30"/>
          <w:szCs w:val="30"/>
        </w:rPr>
        <w:fldChar w:fldCharType="end"/>
      </w:r>
    </w:p>
    <w:p>
      <w:pPr>
        <w:pStyle w:val="12"/>
        <w:tabs>
          <w:tab w:val="right" w:leader="dot" w:pos="8306"/>
        </w:tabs>
        <w:rPr>
          <w:rFonts w:ascii="仿宋_GB2312" w:hAnsi="Times New Roman" w:eastAsia="仿宋_GB2312"/>
          <w:sz w:val="30"/>
          <w:szCs w:val="30"/>
        </w:rPr>
      </w:pPr>
      <w:r>
        <w:fldChar w:fldCharType="begin"/>
      </w:r>
      <w:r>
        <w:instrText xml:space="preserve"> HYPERLINK \l "_Toc4518" </w:instrText>
      </w:r>
      <w:r>
        <w:fldChar w:fldCharType="separate"/>
      </w:r>
      <w:r>
        <w:rPr>
          <w:rFonts w:hint="eastAsia" w:ascii="仿宋_GB2312" w:hAnsi="Times New Roman" w:eastAsia="仿宋_GB2312"/>
          <w:sz w:val="30"/>
          <w:szCs w:val="30"/>
        </w:rPr>
        <w:t>九、一般公共预算财政拨款“三公”经费支出决算情况说明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8</w:t>
      </w:r>
      <w:r>
        <w:rPr>
          <w:rFonts w:hint="eastAsia" w:ascii="仿宋_GB2312" w:hAnsi="Times New Roman" w:eastAsia="仿宋_GB2312"/>
          <w:sz w:val="30"/>
          <w:szCs w:val="30"/>
        </w:rPr>
        <w:fldChar w:fldCharType="end"/>
      </w:r>
    </w:p>
    <w:p>
      <w:pPr>
        <w:pStyle w:val="12"/>
        <w:tabs>
          <w:tab w:val="right" w:leader="dot" w:pos="8306"/>
        </w:tabs>
        <w:rPr>
          <w:rFonts w:hint="eastAsia" w:ascii="仿宋_GB2312" w:hAnsi="Times New Roman" w:eastAsia="仿宋_GB2312"/>
          <w:sz w:val="30"/>
          <w:szCs w:val="30"/>
          <w:lang w:val="en-US" w:eastAsia="zh-CN"/>
        </w:rPr>
      </w:pPr>
      <w:r>
        <w:fldChar w:fldCharType="begin"/>
      </w:r>
      <w:r>
        <w:instrText xml:space="preserve"> HYPERLINK \l "_Toc3411" </w:instrText>
      </w:r>
      <w:r>
        <w:fldChar w:fldCharType="separate"/>
      </w:r>
      <w:r>
        <w:rPr>
          <w:rFonts w:hint="eastAsia" w:ascii="仿宋_GB2312" w:hAnsi="Times New Roman" w:eastAsia="仿宋_GB2312"/>
          <w:sz w:val="30"/>
          <w:szCs w:val="30"/>
        </w:rPr>
        <w:t>十、机关运行经费支出情况说明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lang w:val="en-US" w:eastAsia="zh-CN"/>
        </w:rPr>
        <w:t>0</w:t>
      </w:r>
    </w:p>
    <w:p>
      <w:pPr>
        <w:pStyle w:val="12"/>
        <w:tabs>
          <w:tab w:val="right" w:leader="dot" w:pos="8306"/>
        </w:tabs>
        <w:rPr>
          <w:rFonts w:hint="eastAsia" w:ascii="仿宋_GB2312" w:hAnsi="Times New Roman" w:eastAsia="仿宋_GB2312"/>
          <w:sz w:val="30"/>
          <w:szCs w:val="30"/>
          <w:lang w:val="en-US" w:eastAsia="zh-CN"/>
        </w:rPr>
      </w:pPr>
      <w:r>
        <w:fldChar w:fldCharType="begin"/>
      </w:r>
      <w:r>
        <w:instrText xml:space="preserve"> HYPERLINK \l "_Toc31102" </w:instrText>
      </w:r>
      <w:r>
        <w:fldChar w:fldCharType="separate"/>
      </w:r>
      <w:r>
        <w:rPr>
          <w:rFonts w:hint="eastAsia" w:ascii="仿宋_GB2312" w:hAnsi="Times New Roman" w:eastAsia="仿宋_GB2312"/>
          <w:sz w:val="30"/>
          <w:szCs w:val="30"/>
        </w:rPr>
        <w:t>十一、政府采购支出情况说明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lang w:val="en-US" w:eastAsia="zh-CN"/>
        </w:rPr>
        <w:t>0</w:t>
      </w:r>
    </w:p>
    <w:p>
      <w:pPr>
        <w:pStyle w:val="12"/>
        <w:tabs>
          <w:tab w:val="right" w:leader="dot" w:pos="8306"/>
        </w:tabs>
        <w:rPr>
          <w:rFonts w:ascii="仿宋_GB2312" w:hAnsi="Times New Roman" w:eastAsia="仿宋_GB2312"/>
          <w:sz w:val="30"/>
          <w:szCs w:val="30"/>
        </w:rPr>
      </w:pPr>
      <w:r>
        <w:fldChar w:fldCharType="begin"/>
      </w:r>
      <w:r>
        <w:instrText xml:space="preserve"> HYPERLINK \l "_Toc23709" </w:instrText>
      </w:r>
      <w:r>
        <w:fldChar w:fldCharType="separate"/>
      </w:r>
      <w:r>
        <w:rPr>
          <w:rFonts w:hint="eastAsia" w:ascii="仿宋_GB2312" w:hAnsi="Times New Roman" w:eastAsia="仿宋_GB2312"/>
          <w:sz w:val="30"/>
          <w:szCs w:val="30"/>
        </w:rPr>
        <w:t>十二、国有资产占有使用情况说明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_Toc23709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10</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2"/>
        <w:tabs>
          <w:tab w:val="right" w:leader="dot" w:pos="8306"/>
        </w:tabs>
        <w:rPr>
          <w:rFonts w:hint="eastAsia" w:ascii="仿宋_GB2312" w:hAnsi="Times New Roman" w:eastAsia="仿宋_GB2312"/>
          <w:sz w:val="30"/>
          <w:szCs w:val="30"/>
          <w:lang w:val="en-US" w:eastAsia="zh-CN"/>
        </w:rPr>
      </w:pPr>
      <w:r>
        <w:fldChar w:fldCharType="begin"/>
      </w:r>
      <w:r>
        <w:instrText xml:space="preserve"> HYPERLINK \l "_Toc11467" </w:instrText>
      </w:r>
      <w:r>
        <w:fldChar w:fldCharType="separate"/>
      </w:r>
      <w:r>
        <w:rPr>
          <w:rFonts w:hint="eastAsia" w:ascii="仿宋_GB2312" w:hAnsi="Times New Roman" w:eastAsia="仿宋_GB2312"/>
          <w:sz w:val="30"/>
          <w:szCs w:val="30"/>
        </w:rPr>
        <w:t>十三、预算绩效情况说明</w:t>
      </w:r>
      <w:r>
        <w:rPr>
          <w:rFonts w:hint="eastAsia" w:ascii="仿宋_GB2312" w:hAnsi="Times New Roman" w:eastAsia="仿宋_GB2312"/>
          <w:sz w:val="30"/>
          <w:szCs w:val="30"/>
        </w:rPr>
        <w:tab/>
      </w:r>
      <w:r>
        <w:rPr>
          <w:rFonts w:hint="eastAsia" w:ascii="仿宋_GB2312" w:hAnsi="Times New Roman" w:eastAsia="仿宋_GB2312"/>
          <w:sz w:val="30"/>
          <w:szCs w:val="30"/>
          <w:lang w:val="en-US" w:eastAsia="zh-CN"/>
        </w:rPr>
        <w:t>1</w:t>
      </w:r>
      <w:r>
        <w:rPr>
          <w:rFonts w:hint="eastAsia" w:ascii="仿宋_GB2312" w:hAnsi="Times New Roman" w:eastAsia="仿宋_GB2312"/>
          <w:sz w:val="30"/>
          <w:szCs w:val="30"/>
        </w:rPr>
        <w:fldChar w:fldCharType="end"/>
      </w:r>
      <w:r>
        <w:rPr>
          <w:rFonts w:hint="eastAsia" w:ascii="仿宋_GB2312" w:hAnsi="Times New Roman" w:eastAsia="仿宋_GB2312"/>
          <w:sz w:val="30"/>
          <w:szCs w:val="30"/>
          <w:lang w:val="en-US" w:eastAsia="zh-CN"/>
        </w:rPr>
        <w:t>1</w:t>
      </w:r>
    </w:p>
    <w:p>
      <w:pPr>
        <w:pStyle w:val="12"/>
        <w:tabs>
          <w:tab w:val="right" w:leader="dot" w:pos="8306"/>
        </w:tabs>
        <w:rPr>
          <w:rFonts w:ascii="仿宋_GB2312" w:hAnsi="Times New Roman" w:eastAsia="仿宋_GB2312"/>
          <w:sz w:val="30"/>
          <w:szCs w:val="30"/>
        </w:rPr>
      </w:pPr>
      <w:r>
        <w:fldChar w:fldCharType="begin"/>
      </w:r>
      <w:r>
        <w:instrText xml:space="preserve"> HYPERLINK \l "_Toc15949" </w:instrText>
      </w:r>
      <w:r>
        <w:fldChar w:fldCharType="separate"/>
      </w:r>
      <w:r>
        <w:rPr>
          <w:rFonts w:hint="eastAsia" w:ascii="仿宋_GB2312" w:hAnsi="Times New Roman" w:eastAsia="仿宋_GB2312"/>
          <w:sz w:val="30"/>
          <w:szCs w:val="30"/>
        </w:rPr>
        <w:t>十四、教育、医疗卫生、社会保障和就业、住房保障、涉农补贴等民生支出情况说明</w:t>
      </w:r>
      <w:r>
        <w:rPr>
          <w:rFonts w:hint="eastAsia" w:ascii="仿宋_GB2312" w:hAnsi="Times New Roman" w:eastAsia="仿宋_GB2312"/>
          <w:sz w:val="30"/>
          <w:szCs w:val="30"/>
        </w:rPr>
        <w:tab/>
      </w:r>
      <w:r>
        <w:rPr>
          <w:rFonts w:hint="eastAsia" w:ascii="仿宋_GB2312" w:hAnsi="Times New Roman" w:eastAsia="仿宋_GB2312"/>
          <w:sz w:val="30"/>
          <w:szCs w:val="30"/>
        </w:rPr>
        <w:fldChar w:fldCharType="begin"/>
      </w:r>
      <w:r>
        <w:rPr>
          <w:rFonts w:hint="eastAsia" w:ascii="仿宋_GB2312" w:hAnsi="Times New Roman" w:eastAsia="仿宋_GB2312"/>
          <w:sz w:val="30"/>
          <w:szCs w:val="30"/>
        </w:rPr>
        <w:instrText xml:space="preserve"> PAGEREF _Toc15949 \h </w:instrText>
      </w:r>
      <w:r>
        <w:rPr>
          <w:rFonts w:hint="eastAsia" w:ascii="仿宋_GB2312" w:hAnsi="Times New Roman" w:eastAsia="仿宋_GB2312"/>
          <w:sz w:val="30"/>
          <w:szCs w:val="30"/>
        </w:rPr>
        <w:fldChar w:fldCharType="separate"/>
      </w:r>
      <w:r>
        <w:rPr>
          <w:rFonts w:hint="eastAsia" w:ascii="仿宋_GB2312" w:hAnsi="Times New Roman" w:eastAsia="仿宋_GB2312"/>
          <w:sz w:val="30"/>
          <w:szCs w:val="30"/>
        </w:rPr>
        <w:t>11</w:t>
      </w:r>
      <w:r>
        <w:rPr>
          <w:rFonts w:hint="eastAsia" w:ascii="仿宋_GB2312" w:hAnsi="Times New Roman" w:eastAsia="仿宋_GB2312"/>
          <w:sz w:val="30"/>
          <w:szCs w:val="30"/>
        </w:rPr>
        <w:fldChar w:fldCharType="end"/>
      </w:r>
      <w:r>
        <w:rPr>
          <w:rFonts w:hint="eastAsia" w:ascii="仿宋_GB2312" w:hAnsi="Times New Roman" w:eastAsia="仿宋_GB2312"/>
          <w:sz w:val="30"/>
          <w:szCs w:val="30"/>
        </w:rPr>
        <w:fldChar w:fldCharType="end"/>
      </w:r>
    </w:p>
    <w:p>
      <w:pPr>
        <w:pStyle w:val="11"/>
        <w:tabs>
          <w:tab w:val="right" w:leader="dot" w:pos="8306"/>
          <w:tab w:val="clear" w:pos="8296"/>
        </w:tabs>
        <w:rPr>
          <w:rFonts w:ascii="仿宋_GB2312" w:hAnsi="Times New Roman" w:eastAsia="仿宋_GB2312" w:cs="Times New Roman"/>
          <w:sz w:val="30"/>
          <w:szCs w:val="30"/>
        </w:rPr>
      </w:pPr>
      <w:r>
        <w:fldChar w:fldCharType="begin"/>
      </w:r>
      <w:r>
        <w:instrText xml:space="preserve"> HYPERLINK \l "_Toc30612" </w:instrText>
      </w:r>
      <w:r>
        <w:fldChar w:fldCharType="separate"/>
      </w:r>
      <w:r>
        <w:rPr>
          <w:rFonts w:hint="eastAsia" w:ascii="仿宋_GB2312" w:hAnsi="Times New Roman" w:eastAsia="仿宋_GB2312" w:cs="Times New Roman"/>
          <w:sz w:val="30"/>
          <w:szCs w:val="30"/>
        </w:rPr>
        <w:t>第四部分  名词解释</w:t>
      </w:r>
      <w:r>
        <w:rPr>
          <w:rFonts w:hint="eastAsia" w:ascii="仿宋_GB2312" w:hAnsi="Times New Roman" w:eastAsia="仿宋_GB2312" w:cs="Times New Roman"/>
          <w:sz w:val="30"/>
          <w:szCs w:val="30"/>
        </w:rPr>
        <w:tab/>
      </w:r>
      <w:r>
        <w:rPr>
          <w:rFonts w:hint="eastAsia" w:ascii="仿宋_GB2312" w:hAnsi="Times New Roman" w:eastAsia="仿宋_GB2312" w:cs="Times New Roman"/>
          <w:sz w:val="30"/>
          <w:szCs w:val="30"/>
        </w:rPr>
        <w:fldChar w:fldCharType="begin"/>
      </w:r>
      <w:r>
        <w:rPr>
          <w:rFonts w:hint="eastAsia" w:ascii="仿宋_GB2312" w:hAnsi="Times New Roman" w:eastAsia="仿宋_GB2312" w:cs="Times New Roman"/>
          <w:sz w:val="30"/>
          <w:szCs w:val="30"/>
        </w:rPr>
        <w:instrText xml:space="preserve"> PAGEREF _Toc30612 \h </w:instrText>
      </w:r>
      <w:r>
        <w:rPr>
          <w:rFonts w:hint="eastAsia" w:ascii="仿宋_GB2312" w:hAnsi="Times New Roman" w:eastAsia="仿宋_GB2312" w:cs="Times New Roman"/>
          <w:sz w:val="30"/>
          <w:szCs w:val="30"/>
        </w:rPr>
        <w:fldChar w:fldCharType="separate"/>
      </w:r>
      <w:r>
        <w:rPr>
          <w:rFonts w:hint="eastAsia" w:ascii="仿宋_GB2312" w:hAnsi="Times New Roman" w:eastAsia="仿宋_GB2312" w:cs="Times New Roman"/>
          <w:sz w:val="30"/>
          <w:szCs w:val="30"/>
        </w:rPr>
        <w:t>12</w:t>
      </w:r>
      <w:r>
        <w:rPr>
          <w:rFonts w:hint="eastAsia" w:ascii="仿宋_GB2312" w:hAnsi="Times New Roman" w:eastAsia="仿宋_GB2312" w:cs="Times New Roman"/>
          <w:sz w:val="30"/>
          <w:szCs w:val="30"/>
        </w:rPr>
        <w:fldChar w:fldCharType="end"/>
      </w:r>
      <w:r>
        <w:rPr>
          <w:rFonts w:hint="eastAsia" w:ascii="仿宋_GB2312" w:hAnsi="Times New Roman" w:eastAsia="仿宋_GB2312" w:cs="Times New Roman"/>
          <w:sz w:val="30"/>
          <w:szCs w:val="30"/>
        </w:rPr>
        <w:fldChar w:fldCharType="end"/>
      </w:r>
    </w:p>
    <w:p>
      <w:pPr>
        <w:pStyle w:val="12"/>
        <w:tabs>
          <w:tab w:val="right" w:leader="dot" w:pos="8296"/>
        </w:tabs>
        <w:spacing w:after="0" w:line="600" w:lineRule="exact"/>
        <w:rPr>
          <w:rFonts w:ascii="Times New Roman" w:hAnsi="Times New Roman" w:eastAsia="仿宋_GB2312"/>
          <w:sz w:val="32"/>
          <w:szCs w:val="32"/>
        </w:rPr>
        <w:sectPr>
          <w:footerReference r:id="rId7" w:type="default"/>
          <w:pgSz w:w="11906" w:h="16838"/>
          <w:pgMar w:top="1440" w:right="1800" w:bottom="1440" w:left="1800" w:header="851" w:footer="992" w:gutter="0"/>
          <w:pgNumType w:start="1"/>
          <w:cols w:space="720" w:num="1"/>
          <w:docGrid w:type="lines" w:linePitch="312" w:charSpace="0"/>
        </w:sectPr>
      </w:pPr>
      <w:r>
        <w:rPr>
          <w:rFonts w:hint="eastAsia" w:ascii="仿宋_GB2312" w:hAnsi="Times New Roman" w:eastAsia="仿宋_GB2312"/>
          <w:sz w:val="30"/>
          <w:szCs w:val="30"/>
        </w:rPr>
        <w:fldChar w:fldCharType="end"/>
      </w:r>
    </w:p>
    <w:p/>
    <w:p>
      <w:pPr>
        <w:pStyle w:val="4"/>
        <w:spacing w:before="0" w:after="0" w:line="600" w:lineRule="exact"/>
        <w:jc w:val="center"/>
        <w:rPr>
          <w:rFonts w:ascii="方正小标宋简体" w:hAnsi="方正小标宋简体" w:eastAsia="方正小标宋简体" w:cs="方正小标宋简体"/>
          <w:b w:val="0"/>
          <w:sz w:val="48"/>
          <w:szCs w:val="48"/>
        </w:rPr>
      </w:pPr>
    </w:p>
    <w:p>
      <w:pPr>
        <w:pStyle w:val="4"/>
        <w:spacing w:before="0" w:after="0" w:line="600" w:lineRule="exact"/>
        <w:jc w:val="center"/>
        <w:rPr>
          <w:rFonts w:ascii="方正小标宋简体" w:hAnsi="方正小标宋简体" w:eastAsia="方正小标宋简体" w:cs="方正小标宋简体"/>
          <w:b w:val="0"/>
        </w:rPr>
      </w:pPr>
      <w:bookmarkStart w:id="0" w:name="_Toc859"/>
      <w:r>
        <w:rPr>
          <w:rFonts w:hint="eastAsia" w:ascii="方正小标宋简体" w:hAnsi="方正小标宋简体" w:eastAsia="方正小标宋简体" w:cs="方正小标宋简体"/>
          <w:b w:val="0"/>
        </w:rPr>
        <w:t>第一部分  概 况</w:t>
      </w:r>
      <w:bookmarkEnd w:id="0"/>
    </w:p>
    <w:p>
      <w:pPr>
        <w:spacing w:line="600" w:lineRule="exact"/>
      </w:pPr>
    </w:p>
    <w:p>
      <w:pPr>
        <w:pStyle w:val="5"/>
        <w:spacing w:before="0" w:after="0" w:line="600" w:lineRule="exact"/>
        <w:ind w:firstLine="600" w:firstLineChars="200"/>
        <w:rPr>
          <w:rFonts w:ascii="黑体" w:hAnsi="黑体" w:eastAsia="黑体"/>
          <w:b w:val="0"/>
          <w:bCs w:val="0"/>
          <w:sz w:val="30"/>
          <w:szCs w:val="30"/>
        </w:rPr>
      </w:pPr>
      <w:bookmarkStart w:id="1" w:name="_Toc21919"/>
      <w:r>
        <w:rPr>
          <w:rFonts w:hint="eastAsia" w:ascii="黑体" w:hAnsi="黑体" w:eastAsia="黑体"/>
          <w:b w:val="0"/>
          <w:bCs w:val="0"/>
          <w:sz w:val="30"/>
          <w:szCs w:val="30"/>
        </w:rPr>
        <w:t>一、主要职责</w:t>
      </w:r>
      <w:bookmarkEnd w:id="1"/>
    </w:p>
    <w:p>
      <w:pPr>
        <w:snapToGrid w:val="0"/>
        <w:spacing w:line="520" w:lineRule="exact"/>
        <w:ind w:firstLine="640" w:firstLineChars="200"/>
        <w:rPr>
          <w:rFonts w:hint="eastAsia" w:ascii="仿宋_GB2312" w:hAnsi="仿宋" w:eastAsia="仿宋_GB2312"/>
          <w:sz w:val="32"/>
          <w:szCs w:val="32"/>
        </w:rPr>
      </w:pPr>
      <w:bookmarkStart w:id="2" w:name="_Toc17388"/>
      <w:r>
        <w:rPr>
          <w:rFonts w:hint="eastAsia" w:ascii="仿宋_GB2312" w:hAnsi="仿宋" w:eastAsia="仿宋_GB2312"/>
          <w:sz w:val="32"/>
          <w:szCs w:val="32"/>
          <w:lang w:eastAsia="zh-CN"/>
        </w:rPr>
        <w:t>党建办公室：负责中心党建和党员管理工作；落实全面从严治党、党风廉政建设主体责任工作，推动落实“三重一大”制度等；房屋征收科：负责编制区国有土地上房屋征收年度计划，指导、监督各项目国有土地上房屋征收与补偿等相关事务性工作等；资金监管科：负责市、区重点项目、示范镇项目以及国有土地征收项目拆迁资金使用的审核、监管、拨付和核算的相关事务性工作等；房屋保障科：负责辖区内历史风貌建筑日常保护，既有建筑玻璃幕墙使用维护，已竣工验收并交付使用房屋使用安全，农村房屋管理，推动修缮，危险房屋解危，房屋安全鉴定等事务性工作；负责公用公房的经营等事务性工作等；房地产服务科：负责各类不动产权属登记核税，商品房备案注销以及档案管理工作等；工程建设科：负责有关市政基础设施专项规划编制，项目储备，建设管理的相关事务性工作等。</w:t>
      </w:r>
    </w:p>
    <w:p>
      <w:pPr>
        <w:pStyle w:val="5"/>
        <w:spacing w:before="0" w:after="0" w:line="600" w:lineRule="exact"/>
        <w:ind w:firstLine="600" w:firstLineChars="200"/>
        <w:rPr>
          <w:rFonts w:ascii="黑体" w:hAnsi="黑体" w:eastAsia="黑体"/>
          <w:b w:val="0"/>
          <w:bCs w:val="0"/>
          <w:sz w:val="30"/>
          <w:szCs w:val="30"/>
        </w:rPr>
      </w:pPr>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天津市津南区住房和建设服务中心部门</w:t>
      </w:r>
      <w:r>
        <w:rPr>
          <w:rFonts w:eastAsia="仿宋_GB2312"/>
          <w:sz w:val="30"/>
          <w:szCs w:val="30"/>
        </w:rPr>
        <w:t>内设</w:t>
      </w:r>
      <w:r>
        <w:rPr>
          <w:rFonts w:hint="default" w:eastAsia="仿宋_GB2312"/>
          <w:sz w:val="30"/>
          <w:szCs w:val="30"/>
          <w:u w:val="none"/>
          <w:lang w:val="en"/>
        </w:rPr>
        <w:t>6</w:t>
      </w:r>
      <w:r>
        <w:rPr>
          <w:rFonts w:eastAsia="仿宋_GB2312"/>
          <w:sz w:val="30"/>
          <w:szCs w:val="30"/>
        </w:rPr>
        <w:t>个职能</w:t>
      </w:r>
      <w:r>
        <w:rPr>
          <w:rFonts w:hint="eastAsia" w:eastAsia="仿宋_GB2312"/>
          <w:sz w:val="30"/>
          <w:szCs w:val="30"/>
          <w:lang w:eastAsia="zh-CN"/>
        </w:rPr>
        <w:t>科</w:t>
      </w:r>
      <w:r>
        <w:rPr>
          <w:rFonts w:eastAsia="仿宋_GB2312"/>
          <w:sz w:val="30"/>
          <w:szCs w:val="30"/>
        </w:rPr>
        <w:t>室</w:t>
      </w:r>
      <w:r>
        <w:rPr>
          <w:rFonts w:hint="eastAsia" w:ascii="仿宋_GB2312" w:eastAsia="仿宋_GB2312" w:cs="仿宋_GB2312"/>
          <w:sz w:val="30"/>
          <w:szCs w:val="30"/>
        </w:rPr>
        <w:t>。</w:t>
      </w:r>
    </w:p>
    <w:p>
      <w:pPr>
        <w:spacing w:line="600" w:lineRule="exact"/>
        <w:rPr>
          <w:rFonts w:eastAsia="楷体_GB2312"/>
          <w:b/>
          <w:sz w:val="30"/>
          <w:szCs w:val="30"/>
        </w:rPr>
        <w:sectPr>
          <w:footerReference r:id="rId8" w:type="default"/>
          <w:pgSz w:w="11906" w:h="16838"/>
          <w:pgMar w:top="1440" w:right="1800" w:bottom="1440" w:left="1800" w:header="851" w:footer="992" w:gutter="0"/>
          <w:pgNumType w:start="1"/>
          <w:cols w:space="720" w:num="1"/>
          <w:docGrid w:type="lines" w:linePitch="312" w:charSpace="0"/>
        </w:sectPr>
      </w:pPr>
      <w:r>
        <w:rPr>
          <w:rFonts w:eastAsia="楷体_GB2312"/>
          <w:b/>
          <w:sz w:val="30"/>
          <w:szCs w:val="30"/>
        </w:rPr>
        <w:br w:type="textWrapping"/>
      </w:r>
    </w:p>
    <w:p>
      <w:pPr>
        <w:spacing w:line="600" w:lineRule="exact"/>
        <w:rPr>
          <w:rFonts w:eastAsia="楷体_GB2312"/>
          <w:b/>
          <w:sz w:val="30"/>
          <w:szCs w:val="30"/>
        </w:rPr>
      </w:pPr>
    </w:p>
    <w:p>
      <w:pPr>
        <w:pStyle w:val="4"/>
        <w:spacing w:before="0" w:after="0" w:line="600" w:lineRule="exact"/>
        <w:jc w:val="center"/>
        <w:rPr>
          <w:rFonts w:ascii="方正小标宋简体" w:hAnsi="方正小标宋简体" w:eastAsia="方正小标宋简体" w:cs="方正小标宋简体"/>
          <w:b w:val="0"/>
        </w:rPr>
      </w:pPr>
      <w:bookmarkStart w:id="3" w:name="_Toc24747"/>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5"/>
        <w:spacing w:before="0" w:after="0" w:line="800" w:lineRule="exact"/>
        <w:ind w:firstLine="600" w:firstLineChars="200"/>
        <w:rPr>
          <w:rFonts w:ascii="黑体" w:hAnsi="黑体" w:eastAsia="黑体"/>
          <w:b w:val="0"/>
          <w:sz w:val="30"/>
          <w:szCs w:val="30"/>
        </w:rPr>
      </w:pPr>
      <w:bookmarkStart w:id="4" w:name="_Toc2014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5"/>
        <w:spacing w:before="0" w:after="0" w:line="800" w:lineRule="exact"/>
        <w:ind w:firstLine="600" w:firstLineChars="200"/>
        <w:rPr>
          <w:rFonts w:ascii="黑体" w:hAnsi="黑体" w:eastAsia="黑体"/>
          <w:b w:val="0"/>
          <w:sz w:val="30"/>
          <w:szCs w:val="30"/>
        </w:rPr>
      </w:pPr>
      <w:bookmarkStart w:id="5" w:name="_Toc1616"/>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5"/>
        <w:spacing w:before="0" w:after="0" w:line="800" w:lineRule="exact"/>
        <w:ind w:firstLine="600" w:firstLineChars="200"/>
        <w:rPr>
          <w:rFonts w:ascii="黑体" w:hAnsi="黑体" w:eastAsia="黑体"/>
          <w:b w:val="0"/>
          <w:sz w:val="30"/>
          <w:szCs w:val="30"/>
        </w:rPr>
      </w:pPr>
      <w:bookmarkStart w:id="6" w:name="_Toc1205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5"/>
        <w:spacing w:before="0" w:after="0" w:line="800" w:lineRule="exact"/>
        <w:ind w:firstLine="600" w:firstLineChars="200"/>
        <w:rPr>
          <w:rFonts w:ascii="黑体" w:hAnsi="黑体" w:eastAsia="黑体"/>
          <w:b w:val="0"/>
          <w:sz w:val="30"/>
          <w:szCs w:val="30"/>
        </w:rPr>
      </w:pPr>
      <w:bookmarkStart w:id="7" w:name="_Toc1989"/>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5"/>
        <w:spacing w:before="0" w:after="0" w:line="800" w:lineRule="exact"/>
        <w:ind w:firstLine="600" w:firstLineChars="200"/>
        <w:rPr>
          <w:rFonts w:ascii="黑体" w:hAnsi="黑体" w:eastAsia="黑体"/>
          <w:b w:val="0"/>
          <w:sz w:val="30"/>
          <w:szCs w:val="30"/>
        </w:rPr>
      </w:pPr>
      <w:bookmarkStart w:id="8" w:name="_Toc32498"/>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5"/>
        <w:spacing w:before="0" w:after="0" w:line="800" w:lineRule="exact"/>
        <w:ind w:firstLine="600" w:firstLineChars="200"/>
        <w:rPr>
          <w:rFonts w:ascii="黑体" w:hAnsi="黑体" w:eastAsia="黑体"/>
          <w:b w:val="0"/>
          <w:sz w:val="30"/>
          <w:szCs w:val="30"/>
        </w:rPr>
      </w:pPr>
      <w:bookmarkStart w:id="9" w:name="_Toc2637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5"/>
        <w:spacing w:before="0" w:after="0" w:line="800" w:lineRule="exact"/>
        <w:ind w:firstLine="600" w:firstLineChars="200"/>
        <w:rPr>
          <w:rFonts w:ascii="黑体" w:hAnsi="黑体" w:eastAsia="黑体"/>
          <w:b w:val="0"/>
          <w:sz w:val="30"/>
          <w:szCs w:val="30"/>
        </w:rPr>
      </w:pPr>
      <w:bookmarkStart w:id="10" w:name="_Toc449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5"/>
        <w:spacing w:before="0" w:after="0" w:line="800" w:lineRule="exact"/>
        <w:ind w:firstLine="600" w:firstLineChars="200"/>
        <w:rPr>
          <w:rFonts w:ascii="黑体" w:hAnsi="黑体" w:eastAsia="黑体"/>
          <w:b w:val="0"/>
          <w:sz w:val="30"/>
          <w:szCs w:val="30"/>
        </w:rPr>
      </w:pPr>
      <w:bookmarkStart w:id="11" w:name="_Toc18038"/>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5"/>
        <w:spacing w:before="0" w:after="0" w:line="800" w:lineRule="exact"/>
        <w:ind w:firstLine="600" w:firstLineChars="200"/>
        <w:rPr>
          <w:rFonts w:ascii="黑体" w:hAnsi="黑体" w:eastAsia="黑体"/>
          <w:b w:val="0"/>
          <w:sz w:val="30"/>
          <w:szCs w:val="30"/>
        </w:rPr>
      </w:pPr>
      <w:bookmarkStart w:id="12" w:name="_Toc13200"/>
      <w:r>
        <w:rPr>
          <w:rFonts w:hint="eastAsia" w:ascii="黑体" w:hAnsi="黑体" w:eastAsia="黑体"/>
          <w:b w:val="0"/>
          <w:sz w:val="30"/>
          <w:szCs w:val="30"/>
        </w:rPr>
        <w:t>九、</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2"/>
    </w:p>
    <w:p>
      <w:pPr>
        <w:pStyle w:val="5"/>
        <w:spacing w:before="0" w:after="0" w:line="800" w:lineRule="exact"/>
        <w:ind w:firstLine="600" w:firstLineChars="200"/>
        <w:rPr>
          <w:rFonts w:ascii="黑体" w:hAnsi="黑体" w:eastAsia="黑体"/>
          <w:b w:val="0"/>
          <w:sz w:val="30"/>
          <w:szCs w:val="30"/>
        </w:rPr>
      </w:pPr>
      <w:bookmarkStart w:id="13" w:name="_Toc3423"/>
      <w:r>
        <w:rPr>
          <w:rFonts w:hint="eastAsia" w:ascii="黑体" w:hAnsi="黑体" w:eastAsia="黑体"/>
          <w:b w:val="0"/>
          <w:sz w:val="30"/>
          <w:szCs w:val="30"/>
        </w:rPr>
        <w:t>十、</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3"/>
    </w:p>
    <w:p>
      <w:pPr>
        <w:pStyle w:val="5"/>
        <w:spacing w:before="0" w:after="0" w:line="800" w:lineRule="exact"/>
        <w:ind w:firstLine="600" w:firstLineChars="200"/>
        <w:rPr>
          <w:rFonts w:ascii="黑体" w:hAnsi="黑体" w:eastAsia="黑体"/>
          <w:b w:val="0"/>
          <w:sz w:val="30"/>
          <w:szCs w:val="30"/>
        </w:rPr>
      </w:pPr>
      <w:bookmarkStart w:id="14" w:name="_Toc3915"/>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pPr>
      <w:r>
        <w:rPr>
          <w:rFonts w:hint="eastAsia" w:eastAsia="楷体"/>
          <w:sz w:val="30"/>
          <w:szCs w:val="30"/>
        </w:rPr>
        <w:t>注：以上决算公开表均作为附表，附于决算公开说明文档后。</w:t>
      </w:r>
    </w:p>
    <w:p>
      <w:pPr>
        <w:pStyle w:val="5"/>
        <w:numPr>
          <w:ilvl w:val="0"/>
          <w:numId w:val="1"/>
        </w:numPr>
        <w:spacing w:before="0" w:after="0" w:line="800" w:lineRule="exact"/>
        <w:ind w:firstLine="600" w:firstLineChars="200"/>
        <w:rPr>
          <w:rFonts w:ascii="黑体" w:hAnsi="黑体" w:eastAsia="黑体"/>
          <w:b w:val="0"/>
          <w:bCs w:val="0"/>
          <w:sz w:val="30"/>
          <w:szCs w:val="30"/>
        </w:rPr>
      </w:pPr>
      <w:bookmarkStart w:id="15" w:name="_Toc17260"/>
      <w:r>
        <w:rPr>
          <w:rFonts w:hint="eastAsia" w:ascii="黑体" w:hAnsi="黑体" w:eastAsia="黑体"/>
          <w:b w:val="0"/>
          <w:bCs w:val="0"/>
          <w:sz w:val="30"/>
          <w:szCs w:val="30"/>
        </w:rPr>
        <w:t>关于空表的说明</w:t>
      </w:r>
      <w:bookmarkEnd w:id="15"/>
    </w:p>
    <w:p>
      <w:pPr>
        <w:spacing w:line="600" w:lineRule="exact"/>
        <w:rPr>
          <w:rFonts w:ascii="仿宋_GB2312" w:eastAsia="仿宋_GB2312" w:cs="仿宋_GB2312"/>
          <w:sz w:val="30"/>
          <w:szCs w:val="30"/>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rPr>
        <w:t xml:space="preserve">    天津市津南区住房和建设服务中心2022年度政府性基金预算财政拨款收入支出决算表为空表。</w:t>
      </w:r>
      <w:r>
        <w:rPr>
          <w:rFonts w:hint="eastAsia" w:ascii="仿宋_GB2312" w:eastAsia="仿宋_GB2312" w:cs="仿宋_GB2312"/>
          <w:sz w:val="30"/>
          <w:szCs w:val="30"/>
        </w:rPr>
        <w:br w:type="textWrapping"/>
      </w:r>
      <w:r>
        <w:rPr>
          <w:rFonts w:hint="eastAsia" w:ascii="仿宋_GB2312" w:eastAsia="仿宋_GB2312" w:cs="仿宋_GB2312"/>
          <w:sz w:val="30"/>
          <w:szCs w:val="30"/>
        </w:rPr>
        <w:t xml:space="preserve">    天津市津南区住房和建设服务中心2022年度国有资本经营预算财政拨款收入支出决算表为空表。</w:t>
      </w:r>
    </w:p>
    <w:p>
      <w:pPr>
        <w:spacing w:line="600" w:lineRule="exact"/>
        <w:rPr>
          <w:rFonts w:ascii="仿宋_GB2312" w:eastAsia="仿宋_GB2312" w:cs="仿宋_GB2312"/>
          <w:sz w:val="30"/>
          <w:szCs w:val="30"/>
        </w:rPr>
      </w:pPr>
    </w:p>
    <w:p>
      <w:pPr>
        <w:pStyle w:val="4"/>
        <w:spacing w:before="0" w:after="0" w:line="600" w:lineRule="exact"/>
        <w:jc w:val="center"/>
        <w:rPr>
          <w:rFonts w:ascii="方正小标宋简体" w:hAnsi="方正小标宋简体" w:eastAsia="方正小标宋简体" w:cs="方正小标宋简体"/>
          <w:b w:val="0"/>
        </w:rPr>
      </w:pPr>
      <w:bookmarkStart w:id="16" w:name="_Toc396"/>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2022</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5"/>
        <w:spacing w:before="0" w:after="0" w:line="600" w:lineRule="exact"/>
        <w:ind w:firstLine="600" w:firstLineChars="200"/>
        <w:rPr>
          <w:rFonts w:ascii="黑体" w:hAnsi="黑体" w:eastAsia="黑体"/>
          <w:b w:val="0"/>
          <w:sz w:val="30"/>
          <w:szCs w:val="30"/>
        </w:rPr>
      </w:pPr>
      <w:bookmarkStart w:id="17" w:name="_Toc24340"/>
      <w:r>
        <w:rPr>
          <w:rFonts w:hint="eastAsia" w:ascii="黑体" w:hAnsi="黑体" w:eastAsia="黑体"/>
          <w:b w:val="0"/>
          <w:sz w:val="30"/>
          <w:szCs w:val="30"/>
        </w:rPr>
        <w:t>一、收入支出决算总体情况说明</w:t>
      </w:r>
      <w:bookmarkEnd w:id="17"/>
    </w:p>
    <w:p>
      <w:pPr>
        <w:spacing w:line="600" w:lineRule="exact"/>
        <w:rPr>
          <w:rFonts w:eastAsia="楷体_GB2312"/>
          <w:b/>
          <w:sz w:val="30"/>
          <w:szCs w:val="30"/>
          <w:u w:val="none"/>
        </w:rPr>
      </w:pPr>
      <w:r>
        <w:rPr>
          <w:rFonts w:hint="eastAsia" w:eastAsia="仿宋_GB2312"/>
          <w:sz w:val="30"/>
          <w:szCs w:val="30"/>
        </w:rPr>
        <w:t xml:space="preserve">    </w:t>
      </w:r>
      <w:r>
        <w:rPr>
          <w:rFonts w:hint="eastAsia" w:ascii="仿宋_GB2312" w:eastAsia="仿宋_GB2312" w:cs="仿宋_GB2312"/>
          <w:sz w:val="30"/>
          <w:szCs w:val="30"/>
        </w:rPr>
        <w:t>天津市津南区住房和建设服务中心</w:t>
      </w:r>
      <w:r>
        <w:rPr>
          <w:rFonts w:hint="eastAsia" w:eastAsia="楷体"/>
          <w:sz w:val="30"/>
          <w:szCs w:val="30"/>
        </w:rPr>
        <w:t>2022</w:t>
      </w:r>
      <w:r>
        <w:rPr>
          <w:rFonts w:hint="eastAsia" w:ascii="仿宋_GB2312" w:eastAsia="仿宋_GB2312" w:cs="仿宋_GB2312"/>
          <w:sz w:val="30"/>
          <w:szCs w:val="30"/>
        </w:rPr>
        <w:t>年度收入、支出决算总计557605760.60元。与20</w:t>
      </w:r>
      <w:r>
        <w:rPr>
          <w:rFonts w:hint="eastAsia" w:ascii="仿宋_GB2312" w:eastAsia="仿宋_GB2312" w:cs="仿宋_GB2312"/>
          <w:sz w:val="30"/>
          <w:szCs w:val="30"/>
          <w:u w:val="none"/>
        </w:rPr>
        <w:t>21年度相比，收、支总计各增加318936595.54元，增长133.63%，主要原因是</w:t>
      </w:r>
      <w:r>
        <w:rPr>
          <w:rFonts w:hint="eastAsia" w:eastAsia="仿宋_GB2312"/>
          <w:sz w:val="30"/>
          <w:szCs w:val="30"/>
          <w:u w:val="none"/>
          <w:lang w:eastAsia="zh-CN"/>
        </w:rPr>
        <w:t>本年新增海鑫路、吉泰道桥、谊达路、白万路等专项债券资金收、支情况</w:t>
      </w:r>
      <w:r>
        <w:rPr>
          <w:rFonts w:hint="eastAsia" w:eastAsia="仿宋_GB2312"/>
          <w:sz w:val="30"/>
          <w:szCs w:val="30"/>
          <w:u w:val="none"/>
        </w:rPr>
        <w:t>。</w:t>
      </w:r>
    </w:p>
    <w:p>
      <w:pPr>
        <w:pStyle w:val="5"/>
        <w:spacing w:before="0" w:after="0" w:line="600" w:lineRule="exact"/>
        <w:ind w:firstLine="600" w:firstLineChars="200"/>
        <w:rPr>
          <w:rFonts w:ascii="黑体" w:hAnsi="黑体" w:eastAsia="黑体" w:cs="仿宋_GB2312"/>
          <w:b w:val="0"/>
          <w:sz w:val="30"/>
          <w:szCs w:val="30"/>
          <w:u w:val="none"/>
        </w:rPr>
      </w:pPr>
      <w:bookmarkStart w:id="18" w:name="_Toc18552"/>
      <w:r>
        <w:rPr>
          <w:rFonts w:hint="eastAsia" w:ascii="黑体" w:hAnsi="黑体" w:eastAsia="黑体" w:cs="仿宋_GB2312"/>
          <w:b w:val="0"/>
          <w:sz w:val="30"/>
          <w:szCs w:val="30"/>
          <w:u w:val="none"/>
        </w:rPr>
        <w:t>二、收入决算情况说明</w:t>
      </w:r>
      <w:bookmarkEnd w:id="18"/>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u w:val="none"/>
        </w:rPr>
        <w:t>天津市津南区住房和建设服务中心</w:t>
      </w:r>
      <w:r>
        <w:rPr>
          <w:rFonts w:hint="eastAsia" w:eastAsia="楷体"/>
          <w:sz w:val="30"/>
          <w:szCs w:val="30"/>
          <w:u w:val="none"/>
        </w:rPr>
        <w:t>2022</w:t>
      </w:r>
      <w:r>
        <w:rPr>
          <w:rFonts w:hint="eastAsia" w:ascii="仿宋_GB2312" w:eastAsia="仿宋_GB2312" w:cs="仿宋_GB2312"/>
          <w:sz w:val="30"/>
          <w:szCs w:val="30"/>
          <w:u w:val="none"/>
        </w:rPr>
        <w:t>年度本年收入合计557605760.60元，与2021年度相比增加318936595.54元，主要原因是</w:t>
      </w:r>
      <w:r>
        <w:rPr>
          <w:rFonts w:hint="eastAsia" w:eastAsia="仿宋_GB2312"/>
          <w:sz w:val="30"/>
          <w:szCs w:val="30"/>
          <w:u w:val="none"/>
          <w:lang w:eastAsia="zh-CN"/>
        </w:rPr>
        <w:t>本年新增海鑫路、吉泰道桥、谊达路、白万路等专项债券资金收入情况</w:t>
      </w:r>
      <w:r>
        <w:rPr>
          <w:rFonts w:hint="eastAsia" w:eastAsia="仿宋_GB2312"/>
          <w:sz w:val="30"/>
          <w:szCs w:val="30"/>
          <w:u w:val="none"/>
        </w:rPr>
        <w:t>。</w:t>
      </w:r>
      <w:r>
        <w:rPr>
          <w:rFonts w:hint="eastAsia" w:ascii="仿宋_GB2312" w:eastAsia="仿宋_GB2312" w:cs="仿宋_GB2312"/>
          <w:sz w:val="30"/>
          <w:szCs w:val="30"/>
          <w:u w:val="none"/>
        </w:rPr>
        <w:t>其中：一般公共预算财政拨款收入26739279.20元，占4.80%；其他收入530866481.40元，占95.20%。</w:t>
      </w:r>
    </w:p>
    <w:p>
      <w:pPr>
        <w:pStyle w:val="5"/>
        <w:spacing w:before="0" w:after="0" w:line="600" w:lineRule="exact"/>
        <w:ind w:firstLine="600" w:firstLineChars="200"/>
        <w:rPr>
          <w:rFonts w:ascii="黑体" w:hAnsi="黑体" w:eastAsia="黑体" w:cs="仿宋_GB2312"/>
          <w:b w:val="0"/>
          <w:sz w:val="30"/>
          <w:szCs w:val="30"/>
          <w:u w:val="none"/>
        </w:rPr>
      </w:pPr>
      <w:bookmarkStart w:id="19" w:name="_Toc26952"/>
      <w:r>
        <w:rPr>
          <w:rFonts w:hint="eastAsia" w:ascii="黑体" w:hAnsi="黑体" w:eastAsia="黑体" w:cs="仿宋_GB2312"/>
          <w:b w:val="0"/>
          <w:sz w:val="30"/>
          <w:szCs w:val="30"/>
          <w:u w:val="none"/>
        </w:rPr>
        <w:t>三、</w:t>
      </w:r>
      <w:r>
        <w:rPr>
          <w:rFonts w:ascii="黑体" w:hAnsi="黑体" w:eastAsia="黑体" w:cs="仿宋_GB2312"/>
          <w:b w:val="0"/>
          <w:sz w:val="30"/>
          <w:szCs w:val="30"/>
          <w:u w:val="none"/>
        </w:rPr>
        <w:t>支出</w:t>
      </w:r>
      <w:r>
        <w:rPr>
          <w:rFonts w:hint="eastAsia" w:ascii="黑体" w:hAnsi="黑体" w:eastAsia="黑体" w:cs="仿宋_GB2312"/>
          <w:b w:val="0"/>
          <w:sz w:val="30"/>
          <w:szCs w:val="30"/>
          <w:u w:val="none"/>
        </w:rPr>
        <w:t>决算</w:t>
      </w:r>
      <w:r>
        <w:rPr>
          <w:rFonts w:ascii="黑体" w:hAnsi="黑体" w:eastAsia="黑体" w:cs="仿宋_GB2312"/>
          <w:b w:val="0"/>
          <w:sz w:val="30"/>
          <w:szCs w:val="30"/>
          <w:u w:val="none"/>
        </w:rPr>
        <w:t>情况</w:t>
      </w:r>
      <w:r>
        <w:rPr>
          <w:rFonts w:hint="eastAsia" w:ascii="黑体" w:hAnsi="黑体" w:eastAsia="黑体" w:cs="仿宋_GB2312"/>
          <w:b w:val="0"/>
          <w:sz w:val="30"/>
          <w:szCs w:val="30"/>
          <w:u w:val="none"/>
        </w:rPr>
        <w:t>说明</w:t>
      </w:r>
      <w:bookmarkEnd w:id="19"/>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u w:val="none"/>
        </w:rPr>
        <w:t>天津市津南区住房和建设服务中心</w:t>
      </w:r>
      <w:r>
        <w:rPr>
          <w:rFonts w:hint="eastAsia" w:eastAsia="楷体"/>
          <w:sz w:val="30"/>
          <w:szCs w:val="30"/>
          <w:u w:val="none"/>
        </w:rPr>
        <w:t>2022</w:t>
      </w:r>
      <w:r>
        <w:rPr>
          <w:rFonts w:hint="eastAsia" w:ascii="仿宋_GB2312" w:eastAsia="仿宋_GB2312" w:cs="仿宋_GB2312"/>
          <w:sz w:val="30"/>
          <w:szCs w:val="30"/>
          <w:u w:val="none"/>
        </w:rPr>
        <w:t>年度本年支出合计77621509.65元，与2021年度相比减少160350118.68元，主要原因是</w:t>
      </w:r>
      <w:r>
        <w:rPr>
          <w:rFonts w:hint="eastAsia" w:eastAsia="仿宋_GB2312"/>
          <w:sz w:val="30"/>
          <w:szCs w:val="30"/>
          <w:u w:val="none"/>
          <w:lang w:eastAsia="zh-CN"/>
        </w:rPr>
        <w:t>本年度无政府性基金预算项目支出预算</w:t>
      </w:r>
      <w:r>
        <w:rPr>
          <w:rFonts w:hint="eastAsia" w:eastAsia="仿宋_GB2312"/>
          <w:sz w:val="30"/>
          <w:szCs w:val="30"/>
          <w:u w:val="none"/>
        </w:rPr>
        <w:t>。</w:t>
      </w:r>
      <w:r>
        <w:rPr>
          <w:rFonts w:hint="eastAsia" w:ascii="仿宋_GB2312" w:eastAsia="仿宋_GB2312" w:cs="仿宋_GB2312"/>
          <w:sz w:val="30"/>
          <w:szCs w:val="30"/>
          <w:u w:val="none"/>
        </w:rPr>
        <w:t>其中：基本支出13916412.35元，占17.93%；项目支出63705097.30元，占82.07%。</w:t>
      </w:r>
    </w:p>
    <w:p>
      <w:pPr>
        <w:pStyle w:val="5"/>
        <w:spacing w:before="0" w:after="0" w:line="600" w:lineRule="exact"/>
        <w:ind w:firstLine="600" w:firstLineChars="200"/>
        <w:rPr>
          <w:rFonts w:ascii="黑体" w:hAnsi="黑体" w:eastAsia="黑体"/>
          <w:b w:val="0"/>
          <w:sz w:val="30"/>
          <w:szCs w:val="30"/>
          <w:u w:val="none"/>
        </w:rPr>
      </w:pPr>
      <w:bookmarkStart w:id="20" w:name="_Toc1812"/>
      <w:r>
        <w:rPr>
          <w:rFonts w:hint="eastAsia" w:ascii="黑体" w:hAnsi="黑体" w:eastAsia="黑体"/>
          <w:b w:val="0"/>
          <w:sz w:val="30"/>
          <w:szCs w:val="30"/>
          <w:u w:val="none"/>
        </w:rPr>
        <w:t>四、财政拨款收支决算总体情况说明</w:t>
      </w:r>
      <w:bookmarkEnd w:id="20"/>
    </w:p>
    <w:p>
      <w:pPr>
        <w:spacing w:line="600" w:lineRule="exact"/>
        <w:rPr>
          <w:rFonts w:eastAsia="楷体_GB2312"/>
          <w:b/>
          <w:sz w:val="30"/>
          <w:szCs w:val="30"/>
          <w:u w:val="none"/>
        </w:rPr>
      </w:pPr>
      <w:r>
        <w:rPr>
          <w:rFonts w:hint="eastAsia" w:eastAsia="仿宋_GB2312"/>
          <w:sz w:val="30"/>
          <w:szCs w:val="30"/>
          <w:u w:val="none"/>
        </w:rPr>
        <w:t xml:space="preserve">    </w:t>
      </w:r>
      <w:r>
        <w:rPr>
          <w:rFonts w:hint="eastAsia" w:ascii="仿宋_GB2312" w:eastAsia="仿宋_GB2312" w:cs="仿宋_GB2312"/>
          <w:sz w:val="30"/>
          <w:szCs w:val="30"/>
          <w:u w:val="none"/>
        </w:rPr>
        <w:t>天津市津南区住房和建设服务中心</w:t>
      </w:r>
      <w:r>
        <w:rPr>
          <w:rFonts w:hint="eastAsia" w:eastAsia="楷体"/>
          <w:sz w:val="30"/>
          <w:szCs w:val="30"/>
          <w:u w:val="none"/>
        </w:rPr>
        <w:t>2022</w:t>
      </w:r>
      <w:r>
        <w:rPr>
          <w:rFonts w:hint="eastAsia" w:ascii="仿宋_GB2312" w:eastAsia="仿宋_GB2312" w:cs="仿宋_GB2312"/>
          <w:sz w:val="30"/>
          <w:szCs w:val="30"/>
          <w:u w:val="none"/>
        </w:rPr>
        <w:t>年度财政拨款收入、支出决算总计26739279.20元。与2021年度相比，财政拨款收、支总计各减少209266647.34元，下降88.67%，主要原因是</w:t>
      </w:r>
      <w:r>
        <w:rPr>
          <w:rFonts w:hint="eastAsia" w:eastAsia="仿宋_GB2312"/>
          <w:sz w:val="30"/>
          <w:szCs w:val="30"/>
          <w:u w:val="none"/>
          <w:lang w:eastAsia="zh-CN"/>
        </w:rPr>
        <w:t>本年度无政府性基金预算项目支出预算</w:t>
      </w:r>
      <w:r>
        <w:rPr>
          <w:rFonts w:hint="eastAsia" w:eastAsia="仿宋_GB2312"/>
          <w:sz w:val="30"/>
          <w:szCs w:val="30"/>
          <w:u w:val="none"/>
        </w:rPr>
        <w:t>。</w:t>
      </w:r>
    </w:p>
    <w:p>
      <w:pPr>
        <w:pStyle w:val="5"/>
        <w:spacing w:before="0" w:after="0" w:line="600" w:lineRule="exact"/>
        <w:ind w:firstLine="600" w:firstLineChars="200"/>
        <w:rPr>
          <w:rFonts w:ascii="黑体" w:hAnsi="黑体" w:eastAsia="黑体"/>
          <w:b w:val="0"/>
          <w:sz w:val="30"/>
          <w:szCs w:val="30"/>
          <w:u w:val="none"/>
        </w:rPr>
      </w:pPr>
      <w:bookmarkStart w:id="21" w:name="_Toc10091"/>
      <w:r>
        <w:rPr>
          <w:rFonts w:ascii="黑体" w:hAnsi="黑体" w:eastAsia="黑体"/>
          <w:b w:val="0"/>
          <w:sz w:val="30"/>
          <w:szCs w:val="30"/>
          <w:u w:val="none"/>
        </w:rPr>
        <w:t>五</w:t>
      </w:r>
      <w:r>
        <w:rPr>
          <w:rFonts w:hint="eastAsia" w:ascii="黑体" w:hAnsi="黑体" w:eastAsia="黑体"/>
          <w:b w:val="0"/>
          <w:sz w:val="30"/>
          <w:szCs w:val="30"/>
          <w:u w:val="none"/>
        </w:rPr>
        <w:t>、</w:t>
      </w:r>
      <w:r>
        <w:rPr>
          <w:rFonts w:ascii="黑体" w:hAnsi="黑体" w:eastAsia="黑体"/>
          <w:b w:val="0"/>
          <w:sz w:val="30"/>
          <w:szCs w:val="30"/>
          <w:u w:val="none"/>
        </w:rPr>
        <w:t>一般公共预算财政拨款支出决算情况</w:t>
      </w:r>
      <w:r>
        <w:rPr>
          <w:rFonts w:hint="eastAsia" w:ascii="黑体" w:hAnsi="黑体" w:eastAsia="黑体"/>
          <w:b w:val="0"/>
          <w:sz w:val="30"/>
          <w:szCs w:val="30"/>
          <w:u w:val="none"/>
        </w:rPr>
        <w:t>说明</w:t>
      </w:r>
      <w:bookmarkEnd w:id="21"/>
    </w:p>
    <w:p>
      <w:pPr>
        <w:spacing w:line="600" w:lineRule="exact"/>
        <w:ind w:left="480" w:leftChars="200"/>
        <w:rPr>
          <w:rFonts w:ascii="楷体" w:hAnsi="楷体" w:eastAsia="楷体" w:cs="仿宋_GB2312"/>
          <w:b/>
          <w:sz w:val="30"/>
          <w:szCs w:val="30"/>
          <w:u w:val="none"/>
        </w:rPr>
      </w:pPr>
      <w:r>
        <w:rPr>
          <w:rFonts w:hint="eastAsia" w:ascii="楷体" w:hAnsi="楷体" w:eastAsia="楷体" w:cs="仿宋_GB2312"/>
          <w:b/>
          <w:sz w:val="30"/>
          <w:szCs w:val="30"/>
          <w:u w:val="none"/>
        </w:rPr>
        <w:t>（一）总体情况</w:t>
      </w:r>
    </w:p>
    <w:p>
      <w:pPr>
        <w:spacing w:line="600" w:lineRule="exact"/>
        <w:ind w:firstLine="600" w:firstLineChars="200"/>
        <w:rPr>
          <w:rFonts w:eastAsia="仿宋_GB2312"/>
          <w:sz w:val="30"/>
          <w:szCs w:val="30"/>
          <w:u w:val="none"/>
        </w:rPr>
      </w:pPr>
      <w:r>
        <w:rPr>
          <w:rFonts w:hint="eastAsia" w:ascii="仿宋_GB2312" w:eastAsia="仿宋_GB2312" w:cs="仿宋_GB2312"/>
          <w:sz w:val="30"/>
          <w:szCs w:val="30"/>
          <w:u w:val="none"/>
        </w:rPr>
        <w:t>天津市津南区住房和建设服务中心</w:t>
      </w:r>
      <w:r>
        <w:rPr>
          <w:rFonts w:hint="eastAsia" w:eastAsia="楷体"/>
          <w:sz w:val="30"/>
          <w:szCs w:val="30"/>
          <w:u w:val="none"/>
        </w:rPr>
        <w:t>2022</w:t>
      </w:r>
      <w:r>
        <w:rPr>
          <w:rFonts w:hint="eastAsia" w:ascii="仿宋_GB2312" w:eastAsia="仿宋_GB2312" w:cs="仿宋_GB2312"/>
          <w:sz w:val="30"/>
          <w:szCs w:val="30"/>
          <w:u w:val="none"/>
        </w:rPr>
        <w:t>年度一般公共预算财政拨款支出合计26738080.20元，占本年支出合计的</w:t>
      </w:r>
      <w:r>
        <w:rPr>
          <w:rFonts w:hint="eastAsia" w:ascii="仿宋_GB2312" w:eastAsia="仿宋_GB2312" w:cs="仿宋_GB2312"/>
          <w:color w:val="auto"/>
          <w:sz w:val="30"/>
          <w:szCs w:val="30"/>
          <w:u w:val="none"/>
          <w:lang w:val="en-US" w:eastAsia="zh-CN"/>
        </w:rPr>
        <w:t>34.45</w:t>
      </w:r>
      <w:r>
        <w:rPr>
          <w:rFonts w:hint="eastAsia" w:ascii="仿宋_GB2312" w:eastAsia="仿宋_GB2312" w:cs="仿宋_GB2312"/>
          <w:color w:val="auto"/>
          <w:sz w:val="30"/>
          <w:szCs w:val="30"/>
          <w:u w:val="none"/>
        </w:rPr>
        <w:t>%。</w:t>
      </w:r>
      <w:r>
        <w:rPr>
          <w:rFonts w:hint="eastAsia" w:ascii="仿宋_GB2312" w:eastAsia="仿宋_GB2312" w:cs="仿宋_GB2312"/>
          <w:sz w:val="30"/>
          <w:szCs w:val="30"/>
          <w:u w:val="none"/>
        </w:rPr>
        <w:t>与2021年度相比，一般公共预算财政拨款支出增加5462346.05元，增长25.67%，主要原因是</w:t>
      </w:r>
      <w:r>
        <w:rPr>
          <w:rFonts w:hint="eastAsia" w:eastAsia="仿宋_GB2312"/>
          <w:sz w:val="30"/>
          <w:szCs w:val="30"/>
          <w:u w:val="none"/>
          <w:lang w:eastAsia="zh-CN"/>
        </w:rPr>
        <w:t>本年度一般公共预算项目支出较上年有所增加，且人员工资有所调整</w:t>
      </w:r>
      <w:r>
        <w:rPr>
          <w:rFonts w:hint="eastAsia" w:eastAsia="仿宋_GB2312"/>
          <w:sz w:val="30"/>
          <w:szCs w:val="30"/>
          <w:u w:val="none"/>
        </w:rPr>
        <w:t>。</w:t>
      </w:r>
    </w:p>
    <w:p>
      <w:pPr>
        <w:spacing w:line="600" w:lineRule="exact"/>
        <w:ind w:firstLine="602" w:firstLineChars="200"/>
        <w:rPr>
          <w:rFonts w:ascii="楷体" w:hAnsi="楷体" w:eastAsia="楷体" w:cs="仿宋_GB2312"/>
          <w:b/>
          <w:sz w:val="30"/>
          <w:szCs w:val="30"/>
          <w:u w:val="none"/>
        </w:rPr>
      </w:pPr>
      <w:r>
        <w:rPr>
          <w:rFonts w:hint="eastAsia" w:ascii="楷体" w:hAnsi="楷体" w:eastAsia="楷体" w:cs="仿宋_GB2312"/>
          <w:b/>
          <w:sz w:val="30"/>
          <w:szCs w:val="30"/>
          <w:u w:val="none"/>
        </w:rPr>
        <w:t>（二）支出结构情况</w:t>
      </w:r>
    </w:p>
    <w:p>
      <w:pPr>
        <w:spacing w:line="600" w:lineRule="exact"/>
        <w:ind w:firstLine="645"/>
        <w:jc w:val="both"/>
        <w:rPr>
          <w:rFonts w:ascii="仿宋_GB2312" w:eastAsia="仿宋_GB2312" w:cs="仿宋_GB2312"/>
          <w:sz w:val="30"/>
          <w:szCs w:val="30"/>
          <w:u w:val="none"/>
        </w:rPr>
      </w:pPr>
      <w:r>
        <w:rPr>
          <w:rFonts w:hint="eastAsia" w:eastAsia="楷体"/>
          <w:sz w:val="30"/>
          <w:szCs w:val="30"/>
          <w:u w:val="none"/>
        </w:rPr>
        <w:t>2022</w:t>
      </w:r>
      <w:r>
        <w:rPr>
          <w:rFonts w:hint="eastAsia" w:ascii="仿宋_GB2312" w:eastAsia="仿宋_GB2312" w:cs="仿宋_GB2312"/>
          <w:sz w:val="30"/>
          <w:szCs w:val="30"/>
          <w:u w:val="none"/>
        </w:rPr>
        <w:t>年度一般公共预算财政拨款支出26738080.20元，主要用于以下方面：</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一般公共服务支出（类）支出9293164.36元，占34.76%；</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社会保障和就业支出（类）支出847074.24元，占3.17%；</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卫生健康支出（类）支出432297.60元，占1.62%；</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城乡社区支出（类）支出15601480.00元，占58.35%；</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住房保障支出（类）支出564064.00元，占2.11%。</w:t>
      </w:r>
    </w:p>
    <w:p>
      <w:pPr>
        <w:numPr>
          <w:ilvl w:val="0"/>
          <w:numId w:val="2"/>
        </w:numPr>
        <w:spacing w:line="600" w:lineRule="exact"/>
        <w:ind w:firstLine="602" w:firstLineChars="200"/>
        <w:rPr>
          <w:rFonts w:ascii="楷体" w:hAnsi="楷体" w:eastAsia="楷体" w:cs="仿宋_GB2312"/>
          <w:b/>
          <w:color w:val="000000" w:themeColor="text1"/>
          <w:sz w:val="30"/>
          <w:szCs w:val="30"/>
          <w:highlight w:val="none"/>
          <w:u w:val="none"/>
          <w14:textFill>
            <w14:solidFill>
              <w14:schemeClr w14:val="tx1"/>
            </w14:solidFill>
          </w14:textFill>
        </w:rPr>
      </w:pPr>
      <w:r>
        <w:rPr>
          <w:rFonts w:ascii="楷体" w:hAnsi="楷体" w:eastAsia="楷体" w:cs="仿宋_GB2312"/>
          <w:b/>
          <w:color w:val="000000" w:themeColor="text1"/>
          <w:sz w:val="30"/>
          <w:szCs w:val="30"/>
          <w:highlight w:val="none"/>
          <w:u w:val="none"/>
          <w14:textFill>
            <w14:solidFill>
              <w14:schemeClr w14:val="tx1"/>
            </w14:solidFill>
          </w14:textFill>
        </w:rPr>
        <w:t>具体情况</w:t>
      </w:r>
    </w:p>
    <w:p>
      <w:pPr>
        <w:spacing w:line="600" w:lineRule="exact"/>
        <w:ind w:firstLine="645"/>
        <w:jc w:val="both"/>
        <w:rPr>
          <w:rFonts w:ascii="仿宋_GB2312" w:eastAsia="仿宋_GB2312" w:cs="仿宋_GB2312"/>
          <w:sz w:val="30"/>
          <w:szCs w:val="30"/>
          <w:u w:val="none"/>
        </w:rPr>
      </w:pPr>
      <w:r>
        <w:rPr>
          <w:rFonts w:hint="eastAsia" w:eastAsia="楷体"/>
          <w:sz w:val="30"/>
          <w:szCs w:val="30"/>
          <w:u w:val="none"/>
        </w:rPr>
        <w:t>2022</w:t>
      </w:r>
      <w:r>
        <w:rPr>
          <w:rFonts w:hint="eastAsia" w:ascii="仿宋_GB2312" w:eastAsia="仿宋_GB2312" w:cs="仿宋_GB2312"/>
          <w:sz w:val="30"/>
          <w:szCs w:val="30"/>
          <w:u w:val="none"/>
        </w:rPr>
        <w:t>年度一般公共预算财政拨款支出年初预算为13868506.49元，支出决算为26738080.20元，完成年初预算的192.80%。其中：</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一般公共服务支出（类）政府办公厅（室）及相关机构事务（款）事业运行（项）年初预算为9888357</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45元，支出决算为9293164.36元，完成年初预算数的</w:t>
      </w:r>
      <w:r>
        <w:rPr>
          <w:rFonts w:hint="eastAsia" w:ascii="仿宋_GB2312" w:eastAsia="仿宋_GB2312" w:cs="仿宋_GB2312"/>
          <w:sz w:val="30"/>
          <w:szCs w:val="30"/>
          <w:u w:val="none"/>
          <w:lang w:val="en-US" w:eastAsia="zh-CN"/>
        </w:rPr>
        <w:t>93.98</w:t>
      </w:r>
      <w:r>
        <w:rPr>
          <w:rFonts w:hint="eastAsia" w:ascii="仿宋_GB2312" w:eastAsia="仿宋_GB2312" w:cs="仿宋_GB2312"/>
          <w:sz w:val="30"/>
          <w:szCs w:val="30"/>
          <w:u w:val="none"/>
        </w:rPr>
        <w:t>%，决算数小于年初预算数的主要原因是</w:t>
      </w:r>
      <w:r>
        <w:rPr>
          <w:rFonts w:hint="eastAsia" w:ascii="仿宋_GB2312" w:eastAsia="仿宋_GB2312" w:cs="仿宋_GB2312"/>
          <w:sz w:val="30"/>
          <w:szCs w:val="30"/>
          <w:u w:val="none"/>
          <w:lang w:eastAsia="zh-CN"/>
        </w:rPr>
        <w:t>秉承过紧日子思想，压缩办公经费，且有人员调出</w:t>
      </w:r>
      <w:r>
        <w:rPr>
          <w:rFonts w:hint="eastAsia" w:ascii="仿宋_GB2312" w:eastAsia="仿宋_GB2312" w:cs="仿宋_GB2312"/>
          <w:sz w:val="30"/>
          <w:szCs w:val="30"/>
          <w:u w:val="none"/>
          <w:lang w:val="en-US" w:eastAsia="zh-CN"/>
        </w:rPr>
        <w:t>1人、退休1人</w:t>
      </w:r>
      <w:r>
        <w:rPr>
          <w:rFonts w:hint="eastAsia" w:ascii="仿宋_GB2312" w:eastAsia="仿宋_GB2312" w:cs="仿宋_GB2312"/>
          <w:sz w:val="30"/>
          <w:szCs w:val="30"/>
          <w:u w:val="none"/>
        </w:rPr>
        <w:t>。</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xml:space="preserve">    社会保障和就业支出（类）行政事业单位养老支出（款）机关事业单位基本养老保险缴费支出（项）年初预算为587448</w:t>
      </w:r>
      <w:r>
        <w:rPr>
          <w:rFonts w:hint="eastAsia" w:ascii="仿宋_GB2312" w:eastAsia="仿宋_GB2312" w:cs="仿宋_GB2312"/>
          <w:sz w:val="30"/>
          <w:szCs w:val="30"/>
          <w:u w:val="none"/>
          <w:lang w:val="en-US" w:eastAsia="zh-CN"/>
        </w:rPr>
        <w:t>.</w:t>
      </w:r>
      <w:r>
        <w:rPr>
          <w:rFonts w:hint="eastAsia" w:ascii="仿宋_GB2312" w:eastAsia="仿宋_GB2312" w:cs="仿宋_GB2312"/>
          <w:sz w:val="30"/>
          <w:szCs w:val="30"/>
          <w:u w:val="none"/>
        </w:rPr>
        <w:t>96元，支出决算为564716.16元，完成年初预算数的</w:t>
      </w:r>
      <w:r>
        <w:rPr>
          <w:rFonts w:hint="eastAsia" w:ascii="仿宋_GB2312" w:eastAsia="仿宋_GB2312" w:cs="仿宋_GB2312"/>
          <w:sz w:val="30"/>
          <w:szCs w:val="30"/>
          <w:u w:val="none"/>
          <w:lang w:val="en-US" w:eastAsia="zh-CN"/>
        </w:rPr>
        <w:t>96.13</w:t>
      </w:r>
      <w:r>
        <w:rPr>
          <w:rFonts w:hint="eastAsia" w:ascii="仿宋_GB2312" w:eastAsia="仿宋_GB2312" w:cs="仿宋_GB2312"/>
          <w:sz w:val="30"/>
          <w:szCs w:val="30"/>
          <w:u w:val="none"/>
        </w:rPr>
        <w:t>%，决</w:t>
      </w:r>
      <w:r>
        <w:rPr>
          <w:rFonts w:hint="eastAsia" w:ascii="仿宋_GB2312" w:eastAsia="仿宋_GB2312" w:cs="仿宋_GB2312"/>
          <w:color w:val="auto"/>
          <w:sz w:val="30"/>
          <w:szCs w:val="30"/>
          <w:u w:val="none"/>
        </w:rPr>
        <w:t>算数小于年初预算数的主要原因是</w:t>
      </w:r>
      <w:r>
        <w:rPr>
          <w:rFonts w:hint="eastAsia" w:ascii="仿宋_GB2312" w:eastAsia="仿宋_GB2312" w:cs="仿宋_GB2312"/>
          <w:color w:val="auto"/>
          <w:sz w:val="30"/>
          <w:szCs w:val="30"/>
          <w:u w:val="none"/>
          <w:lang w:eastAsia="zh-CN"/>
        </w:rPr>
        <w:t>本年度有人员调出</w:t>
      </w:r>
      <w:r>
        <w:rPr>
          <w:rFonts w:hint="eastAsia" w:ascii="仿宋_GB2312" w:eastAsia="仿宋_GB2312" w:cs="仿宋_GB2312"/>
          <w:color w:val="auto"/>
          <w:sz w:val="30"/>
          <w:szCs w:val="30"/>
          <w:u w:val="none"/>
          <w:lang w:val="en-US" w:eastAsia="zh-CN"/>
        </w:rPr>
        <w:t>1人、退休1人</w:t>
      </w:r>
      <w:r>
        <w:rPr>
          <w:rFonts w:hint="eastAsia" w:ascii="仿宋_GB2312" w:eastAsia="仿宋_GB2312" w:cs="仿宋_GB2312"/>
          <w:color w:val="auto"/>
          <w:sz w:val="30"/>
          <w:szCs w:val="30"/>
          <w:u w:val="none"/>
        </w:rPr>
        <w:t>。</w:t>
      </w:r>
      <w:r>
        <w:rPr>
          <w:rFonts w:hint="eastAsia" w:ascii="仿宋_GB2312" w:eastAsia="仿宋_GB2312" w:cs="仿宋_GB2312"/>
          <w:color w:val="auto"/>
          <w:sz w:val="30"/>
          <w:szCs w:val="30"/>
          <w:u w:val="none"/>
        </w:rPr>
        <w:br w:type="textWrapping"/>
      </w:r>
      <w:r>
        <w:rPr>
          <w:rFonts w:hint="eastAsia" w:ascii="仿宋_GB2312" w:eastAsia="仿宋_GB2312" w:cs="仿宋_GB2312"/>
          <w:color w:val="auto"/>
          <w:sz w:val="30"/>
          <w:szCs w:val="30"/>
          <w:u w:val="none"/>
        </w:rPr>
        <w:t xml:space="preserve">    社会保障和就业支出（类）行政事业单位养老支出（款）机关事业单位职业年金缴费支出（项）年初预算为293724</w:t>
      </w:r>
      <w:r>
        <w:rPr>
          <w:rFonts w:hint="eastAsia" w:ascii="仿宋_GB2312" w:eastAsia="仿宋_GB2312" w:cs="仿宋_GB2312"/>
          <w:color w:val="auto"/>
          <w:sz w:val="30"/>
          <w:szCs w:val="30"/>
          <w:u w:val="none"/>
          <w:lang w:val="en-US" w:eastAsia="zh-CN"/>
        </w:rPr>
        <w:t>.</w:t>
      </w:r>
      <w:r>
        <w:rPr>
          <w:rFonts w:hint="eastAsia" w:ascii="仿宋_GB2312" w:eastAsia="仿宋_GB2312" w:cs="仿宋_GB2312"/>
          <w:color w:val="auto"/>
          <w:sz w:val="30"/>
          <w:szCs w:val="30"/>
          <w:u w:val="none"/>
        </w:rPr>
        <w:t>48元，支出决算为282358.08元，完成年初预算数的</w:t>
      </w:r>
      <w:r>
        <w:rPr>
          <w:rFonts w:hint="eastAsia" w:ascii="仿宋_GB2312" w:eastAsia="仿宋_GB2312" w:cs="仿宋_GB2312"/>
          <w:color w:val="auto"/>
          <w:sz w:val="30"/>
          <w:szCs w:val="30"/>
          <w:u w:val="none"/>
          <w:lang w:val="en-US" w:eastAsia="zh-CN"/>
        </w:rPr>
        <w:t>96.13</w:t>
      </w:r>
      <w:r>
        <w:rPr>
          <w:rFonts w:hint="eastAsia" w:ascii="仿宋_GB2312" w:eastAsia="仿宋_GB2312" w:cs="仿宋_GB2312"/>
          <w:color w:val="auto"/>
          <w:sz w:val="30"/>
          <w:szCs w:val="30"/>
          <w:u w:val="none"/>
        </w:rPr>
        <w:t>%，决算数小于年初预算数的主要原因是</w:t>
      </w:r>
      <w:r>
        <w:rPr>
          <w:rFonts w:hint="eastAsia" w:ascii="仿宋_GB2312" w:eastAsia="仿宋_GB2312" w:cs="仿宋_GB2312"/>
          <w:color w:val="auto"/>
          <w:sz w:val="30"/>
          <w:szCs w:val="30"/>
          <w:u w:val="none"/>
          <w:lang w:eastAsia="zh-CN"/>
        </w:rPr>
        <w:t>本年度有人员调出</w:t>
      </w:r>
      <w:r>
        <w:rPr>
          <w:rFonts w:hint="eastAsia" w:ascii="仿宋_GB2312" w:eastAsia="仿宋_GB2312" w:cs="仿宋_GB2312"/>
          <w:color w:val="auto"/>
          <w:sz w:val="30"/>
          <w:szCs w:val="30"/>
          <w:u w:val="none"/>
          <w:lang w:val="en-US" w:eastAsia="zh-CN"/>
        </w:rPr>
        <w:t>1人、退休1人</w:t>
      </w:r>
      <w:r>
        <w:rPr>
          <w:rFonts w:hint="eastAsia" w:ascii="仿宋_GB2312" w:eastAsia="仿宋_GB2312" w:cs="仿宋_GB2312"/>
          <w:color w:val="auto"/>
          <w:sz w:val="30"/>
          <w:szCs w:val="30"/>
          <w:u w:val="none"/>
        </w:rPr>
        <w:t>。</w:t>
      </w:r>
      <w:r>
        <w:rPr>
          <w:rFonts w:hint="eastAsia" w:ascii="仿宋_GB2312" w:eastAsia="仿宋_GB2312" w:cs="仿宋_GB2312"/>
          <w:color w:val="auto"/>
          <w:sz w:val="30"/>
          <w:szCs w:val="30"/>
          <w:u w:val="none"/>
        </w:rPr>
        <w:br w:type="textWrapping"/>
      </w:r>
      <w:r>
        <w:rPr>
          <w:rFonts w:hint="eastAsia" w:ascii="仿宋_GB2312" w:eastAsia="仿宋_GB2312" w:cs="仿宋_GB2312"/>
          <w:color w:val="auto"/>
          <w:sz w:val="30"/>
          <w:szCs w:val="30"/>
          <w:u w:val="none"/>
        </w:rPr>
        <w:t xml:space="preserve">    卫生健康支出（类）行政事业单位医疗（款）事业单位医疗（项）年初预算为367155</w:t>
      </w:r>
      <w:r>
        <w:rPr>
          <w:rFonts w:hint="eastAsia" w:ascii="仿宋_GB2312" w:eastAsia="仿宋_GB2312" w:cs="仿宋_GB2312"/>
          <w:color w:val="auto"/>
          <w:sz w:val="30"/>
          <w:szCs w:val="30"/>
          <w:u w:val="none"/>
          <w:lang w:val="en-US" w:eastAsia="zh-CN"/>
        </w:rPr>
        <w:t>.</w:t>
      </w:r>
      <w:r>
        <w:rPr>
          <w:rFonts w:hint="eastAsia" w:ascii="仿宋_GB2312" w:eastAsia="仿宋_GB2312" w:cs="仿宋_GB2312"/>
          <w:color w:val="auto"/>
          <w:sz w:val="30"/>
          <w:szCs w:val="30"/>
          <w:u w:val="none"/>
        </w:rPr>
        <w:t>6元，支出决算为352947.60元，完成年初预算数的</w:t>
      </w:r>
      <w:r>
        <w:rPr>
          <w:rFonts w:hint="eastAsia" w:ascii="仿宋_GB2312" w:eastAsia="仿宋_GB2312" w:cs="仿宋_GB2312"/>
          <w:color w:val="auto"/>
          <w:sz w:val="30"/>
          <w:szCs w:val="30"/>
          <w:u w:val="none"/>
          <w:lang w:val="en-US" w:eastAsia="zh-CN"/>
        </w:rPr>
        <w:t>96.13</w:t>
      </w:r>
      <w:r>
        <w:rPr>
          <w:rFonts w:hint="eastAsia" w:ascii="仿宋_GB2312" w:eastAsia="仿宋_GB2312" w:cs="仿宋_GB2312"/>
          <w:color w:val="auto"/>
          <w:sz w:val="30"/>
          <w:szCs w:val="30"/>
          <w:u w:val="none"/>
        </w:rPr>
        <w:t>%，决算数小于年初预算数的主要原因是</w:t>
      </w:r>
      <w:r>
        <w:rPr>
          <w:rFonts w:hint="eastAsia" w:ascii="仿宋_GB2312" w:eastAsia="仿宋_GB2312" w:cs="仿宋_GB2312"/>
          <w:color w:val="auto"/>
          <w:sz w:val="30"/>
          <w:szCs w:val="30"/>
          <w:u w:val="none"/>
          <w:lang w:eastAsia="zh-CN"/>
        </w:rPr>
        <w:t>本年度有人员调出</w:t>
      </w:r>
      <w:r>
        <w:rPr>
          <w:rFonts w:hint="eastAsia" w:ascii="仿宋_GB2312" w:eastAsia="仿宋_GB2312" w:cs="仿宋_GB2312"/>
          <w:color w:val="auto"/>
          <w:sz w:val="30"/>
          <w:szCs w:val="30"/>
          <w:u w:val="none"/>
          <w:lang w:val="en-US" w:eastAsia="zh-CN"/>
        </w:rPr>
        <w:t>1人、退休1人</w:t>
      </w:r>
      <w:r>
        <w:rPr>
          <w:rFonts w:hint="eastAsia" w:ascii="仿宋_GB2312" w:eastAsia="仿宋_GB2312" w:cs="仿宋_GB2312"/>
          <w:color w:val="auto"/>
          <w:sz w:val="30"/>
          <w:szCs w:val="30"/>
          <w:u w:val="none"/>
        </w:rPr>
        <w:t>。</w:t>
      </w:r>
      <w:r>
        <w:rPr>
          <w:rFonts w:hint="eastAsia" w:ascii="仿宋_GB2312" w:eastAsia="仿宋_GB2312" w:cs="仿宋_GB2312"/>
          <w:color w:val="auto"/>
          <w:sz w:val="30"/>
          <w:szCs w:val="30"/>
          <w:u w:val="none"/>
        </w:rPr>
        <w:br w:type="textWrapping"/>
      </w:r>
      <w:r>
        <w:rPr>
          <w:rFonts w:hint="eastAsia" w:ascii="仿宋_GB2312" w:eastAsia="仿宋_GB2312" w:cs="仿宋_GB2312"/>
          <w:color w:val="auto"/>
          <w:sz w:val="30"/>
          <w:szCs w:val="30"/>
          <w:u w:val="none"/>
        </w:rPr>
        <w:t xml:space="preserve">    卫生健康支出（类）行政事业单位医疗（款）其他行政事业单位医疗支出（项）年初预算为</w:t>
      </w:r>
      <w:r>
        <w:rPr>
          <w:rFonts w:hint="eastAsia" w:ascii="仿宋_GB2312" w:eastAsia="仿宋_GB2312" w:cs="仿宋_GB2312"/>
          <w:color w:val="auto"/>
          <w:sz w:val="30"/>
          <w:szCs w:val="30"/>
          <w:u w:val="none"/>
          <w:lang w:val="en-US" w:eastAsia="zh-CN"/>
        </w:rPr>
        <w:t>82800</w:t>
      </w:r>
      <w:r>
        <w:rPr>
          <w:rFonts w:hint="eastAsia" w:ascii="仿宋_GB2312" w:eastAsia="仿宋_GB2312" w:cs="仿宋_GB2312"/>
          <w:color w:val="auto"/>
          <w:sz w:val="30"/>
          <w:szCs w:val="30"/>
          <w:u w:val="none"/>
        </w:rPr>
        <w:t>元，支出决算为79350.00元，完成年初预算数的</w:t>
      </w:r>
      <w:r>
        <w:rPr>
          <w:rFonts w:hint="eastAsia" w:ascii="仿宋_GB2312" w:eastAsia="仿宋_GB2312" w:cs="仿宋_GB2312"/>
          <w:color w:val="auto"/>
          <w:sz w:val="30"/>
          <w:szCs w:val="30"/>
          <w:u w:val="none"/>
          <w:lang w:val="en-US" w:eastAsia="zh-CN"/>
        </w:rPr>
        <w:t>95.83</w:t>
      </w:r>
      <w:r>
        <w:rPr>
          <w:rFonts w:hint="eastAsia" w:ascii="仿宋_GB2312" w:eastAsia="仿宋_GB2312" w:cs="仿宋_GB2312"/>
          <w:color w:val="auto"/>
          <w:sz w:val="30"/>
          <w:szCs w:val="30"/>
          <w:u w:val="none"/>
        </w:rPr>
        <w:t>%，决算数小于年初预算数的主要原因是</w:t>
      </w:r>
      <w:r>
        <w:rPr>
          <w:rFonts w:hint="eastAsia" w:ascii="仿宋_GB2312" w:eastAsia="仿宋_GB2312" w:cs="仿宋_GB2312"/>
          <w:color w:val="auto"/>
          <w:sz w:val="30"/>
          <w:szCs w:val="30"/>
          <w:u w:val="none"/>
          <w:lang w:eastAsia="zh-CN"/>
        </w:rPr>
        <w:t>本年度有人员调出</w:t>
      </w:r>
      <w:r>
        <w:rPr>
          <w:rFonts w:hint="eastAsia" w:ascii="仿宋_GB2312" w:eastAsia="仿宋_GB2312" w:cs="仿宋_GB2312"/>
          <w:color w:val="auto"/>
          <w:sz w:val="30"/>
          <w:szCs w:val="30"/>
          <w:u w:val="none"/>
          <w:lang w:val="en-US" w:eastAsia="zh-CN"/>
        </w:rPr>
        <w:t>1人、退休1人</w:t>
      </w:r>
      <w:r>
        <w:rPr>
          <w:rFonts w:hint="eastAsia" w:ascii="仿宋_GB2312" w:eastAsia="仿宋_GB2312" w:cs="仿宋_GB2312"/>
          <w:color w:val="auto"/>
          <w:sz w:val="30"/>
          <w:szCs w:val="30"/>
          <w:u w:val="none"/>
        </w:rPr>
        <w:t>。</w:t>
      </w:r>
      <w:r>
        <w:rPr>
          <w:rFonts w:hint="eastAsia" w:ascii="仿宋_GB2312" w:eastAsia="仿宋_GB2312" w:cs="仿宋_GB2312"/>
          <w:color w:val="auto"/>
          <w:sz w:val="30"/>
          <w:szCs w:val="30"/>
          <w:u w:val="none"/>
        </w:rPr>
        <w:br w:type="textWrapping"/>
      </w:r>
      <w:r>
        <w:rPr>
          <w:rFonts w:hint="eastAsia" w:ascii="仿宋_GB2312" w:eastAsia="仿宋_GB2312" w:cs="仿宋_GB2312"/>
          <w:color w:val="auto"/>
          <w:sz w:val="30"/>
          <w:szCs w:val="30"/>
          <w:u w:val="none"/>
        </w:rPr>
        <w:t xml:space="preserve">    城乡社区支出（类）城乡社区管理事务（款）其他城乡社区管理事务支出（项）年初预算为204554</w:t>
      </w:r>
      <w:r>
        <w:rPr>
          <w:rFonts w:hint="eastAsia" w:ascii="仿宋_GB2312" w:eastAsia="仿宋_GB2312" w:cs="仿宋_GB2312"/>
          <w:color w:val="auto"/>
          <w:sz w:val="30"/>
          <w:szCs w:val="30"/>
          <w:u w:val="none"/>
          <w:lang w:val="en-US" w:eastAsia="zh-CN"/>
        </w:rPr>
        <w:t>0</w:t>
      </w:r>
      <w:r>
        <w:rPr>
          <w:rFonts w:hint="eastAsia" w:ascii="仿宋_GB2312" w:eastAsia="仿宋_GB2312" w:cs="仿宋_GB2312"/>
          <w:color w:val="auto"/>
          <w:sz w:val="30"/>
          <w:szCs w:val="30"/>
          <w:u w:val="none"/>
        </w:rPr>
        <w:t>元，支出决算为251480.00元，完成年初预算数的</w:t>
      </w:r>
      <w:r>
        <w:rPr>
          <w:rFonts w:hint="eastAsia" w:ascii="仿宋_GB2312" w:eastAsia="仿宋_GB2312" w:cs="仿宋_GB2312"/>
          <w:color w:val="auto"/>
          <w:sz w:val="30"/>
          <w:szCs w:val="30"/>
          <w:u w:val="none"/>
          <w:lang w:val="en-US" w:eastAsia="zh-CN"/>
        </w:rPr>
        <w:t>12.29</w:t>
      </w:r>
      <w:r>
        <w:rPr>
          <w:rFonts w:hint="eastAsia" w:ascii="仿宋_GB2312" w:eastAsia="仿宋_GB2312" w:cs="仿宋_GB2312"/>
          <w:color w:val="auto"/>
          <w:sz w:val="30"/>
          <w:szCs w:val="30"/>
          <w:u w:val="none"/>
        </w:rPr>
        <w:t>%，决算数小于年初预算数的主要原因是</w:t>
      </w:r>
      <w:r>
        <w:rPr>
          <w:rFonts w:hint="eastAsia" w:ascii="仿宋_GB2312" w:eastAsia="仿宋_GB2312" w:cs="仿宋_GB2312"/>
          <w:color w:val="auto"/>
          <w:sz w:val="30"/>
          <w:szCs w:val="30"/>
          <w:u w:val="none"/>
          <w:lang w:eastAsia="zh-CN"/>
        </w:rPr>
        <w:t>预算指标未予批复</w:t>
      </w:r>
      <w:r>
        <w:rPr>
          <w:rFonts w:hint="eastAsia" w:ascii="仿宋_GB2312" w:eastAsia="仿宋_GB2312" w:cs="仿宋_GB2312"/>
          <w:color w:val="auto"/>
          <w:sz w:val="30"/>
          <w:szCs w:val="30"/>
          <w:u w:val="none"/>
        </w:rPr>
        <w:t>。</w:t>
      </w:r>
      <w:r>
        <w:rPr>
          <w:rFonts w:hint="eastAsia" w:ascii="仿宋_GB2312" w:eastAsia="仿宋_GB2312" w:cs="仿宋_GB2312"/>
          <w:color w:val="auto"/>
          <w:sz w:val="30"/>
          <w:szCs w:val="30"/>
          <w:u w:val="none"/>
        </w:rPr>
        <w:br w:type="textWrapping"/>
      </w:r>
      <w:r>
        <w:rPr>
          <w:rFonts w:hint="eastAsia" w:ascii="仿宋_GB2312" w:eastAsia="仿宋_GB2312" w:cs="仿宋_GB2312"/>
          <w:color w:val="auto"/>
          <w:sz w:val="30"/>
          <w:szCs w:val="30"/>
          <w:u w:val="none"/>
        </w:rPr>
        <w:t xml:space="preserve">    城乡社区支出（类）城乡社区公共设施（款）其他城乡社区公共设施支出（项）年初预算为</w:t>
      </w:r>
      <w:r>
        <w:rPr>
          <w:rFonts w:hint="eastAsia" w:ascii="仿宋_GB2312" w:eastAsia="仿宋_GB2312" w:cs="仿宋_GB2312"/>
          <w:color w:val="auto"/>
          <w:sz w:val="30"/>
          <w:szCs w:val="30"/>
          <w:u w:val="none"/>
          <w:lang w:val="en-US" w:eastAsia="zh-CN"/>
        </w:rPr>
        <w:t>0</w:t>
      </w:r>
      <w:r>
        <w:rPr>
          <w:rFonts w:hint="eastAsia" w:ascii="仿宋_GB2312" w:eastAsia="仿宋_GB2312" w:cs="仿宋_GB2312"/>
          <w:color w:val="auto"/>
          <w:sz w:val="30"/>
          <w:szCs w:val="30"/>
          <w:u w:val="none"/>
        </w:rPr>
        <w:t>元，支出决算为15350000.00元，决算数大于年初预算数的主要原因是</w:t>
      </w:r>
      <w:r>
        <w:rPr>
          <w:rFonts w:hint="eastAsia" w:ascii="仿宋_GB2312" w:eastAsia="仿宋_GB2312" w:cs="仿宋_GB2312"/>
          <w:color w:val="auto"/>
          <w:sz w:val="30"/>
          <w:szCs w:val="30"/>
          <w:u w:val="none"/>
          <w:lang w:eastAsia="zh-CN"/>
        </w:rPr>
        <w:t>预算指标未予批复</w:t>
      </w:r>
      <w:r>
        <w:rPr>
          <w:rFonts w:hint="eastAsia" w:ascii="仿宋_GB2312" w:eastAsia="仿宋_GB2312" w:cs="仿宋_GB2312"/>
          <w:color w:val="auto"/>
          <w:sz w:val="30"/>
          <w:szCs w:val="30"/>
          <w:u w:val="none"/>
        </w:rPr>
        <w:t>。</w:t>
      </w:r>
      <w:r>
        <w:rPr>
          <w:rFonts w:hint="eastAsia" w:ascii="仿宋_GB2312" w:eastAsia="仿宋_GB2312" w:cs="仿宋_GB2312"/>
          <w:color w:val="auto"/>
          <w:sz w:val="30"/>
          <w:szCs w:val="30"/>
          <w:u w:val="none"/>
        </w:rPr>
        <w:br w:type="textWrapping"/>
      </w:r>
      <w:r>
        <w:rPr>
          <w:rFonts w:hint="eastAsia" w:ascii="仿宋_GB2312" w:eastAsia="仿宋_GB2312" w:cs="仿宋_GB2312"/>
          <w:color w:val="auto"/>
          <w:sz w:val="30"/>
          <w:szCs w:val="30"/>
          <w:u w:val="none"/>
        </w:rPr>
        <w:t xml:space="preserve">    住房保障支出（类）住房改革支出（款）住房公积金（项）年初预算为60348</w:t>
      </w:r>
      <w:r>
        <w:rPr>
          <w:rFonts w:hint="eastAsia" w:ascii="仿宋_GB2312" w:eastAsia="仿宋_GB2312" w:cs="仿宋_GB2312"/>
          <w:color w:val="auto"/>
          <w:sz w:val="30"/>
          <w:szCs w:val="30"/>
          <w:u w:val="none"/>
          <w:lang w:val="en-US" w:eastAsia="zh-CN"/>
        </w:rPr>
        <w:t>0</w:t>
      </w:r>
      <w:r>
        <w:rPr>
          <w:rFonts w:hint="eastAsia" w:ascii="仿宋_GB2312" w:eastAsia="仿宋_GB2312" w:cs="仿宋_GB2312"/>
          <w:color w:val="auto"/>
          <w:sz w:val="30"/>
          <w:szCs w:val="30"/>
          <w:u w:val="none"/>
        </w:rPr>
        <w:t>元，支出决算为564064.00元，完成年初预算数的</w:t>
      </w:r>
      <w:r>
        <w:rPr>
          <w:rFonts w:hint="eastAsia" w:ascii="仿宋_GB2312" w:eastAsia="仿宋_GB2312" w:cs="仿宋_GB2312"/>
          <w:color w:val="auto"/>
          <w:sz w:val="30"/>
          <w:szCs w:val="30"/>
          <w:u w:val="none"/>
          <w:lang w:val="en-US" w:eastAsia="zh-CN"/>
        </w:rPr>
        <w:t>93.47</w:t>
      </w:r>
      <w:r>
        <w:rPr>
          <w:rFonts w:hint="eastAsia" w:ascii="仿宋_GB2312" w:eastAsia="仿宋_GB2312" w:cs="仿宋_GB2312"/>
          <w:color w:val="auto"/>
          <w:sz w:val="30"/>
          <w:szCs w:val="30"/>
          <w:u w:val="none"/>
        </w:rPr>
        <w:t>%，决算数小于年初预算数的主要原因是</w:t>
      </w:r>
      <w:r>
        <w:rPr>
          <w:rFonts w:hint="eastAsia" w:ascii="仿宋_GB2312" w:eastAsia="仿宋_GB2312" w:cs="仿宋_GB2312"/>
          <w:color w:val="auto"/>
          <w:sz w:val="30"/>
          <w:szCs w:val="30"/>
          <w:u w:val="none"/>
          <w:lang w:eastAsia="zh-CN"/>
        </w:rPr>
        <w:t>公积金</w:t>
      </w:r>
      <w:r>
        <w:rPr>
          <w:rFonts w:hint="eastAsia" w:ascii="仿宋_GB2312" w:eastAsia="仿宋_GB2312" w:cs="仿宋_GB2312"/>
          <w:sz w:val="30"/>
          <w:szCs w:val="30"/>
          <w:u w:val="none"/>
          <w:lang w:eastAsia="zh-CN"/>
        </w:rPr>
        <w:t>基数调整</w:t>
      </w:r>
      <w:r>
        <w:rPr>
          <w:rFonts w:hint="eastAsia" w:ascii="仿宋_GB2312" w:eastAsia="仿宋_GB2312" w:cs="仿宋_GB2312"/>
          <w:sz w:val="30"/>
          <w:szCs w:val="30"/>
          <w:u w:val="none"/>
        </w:rPr>
        <w:t>。</w:t>
      </w:r>
    </w:p>
    <w:p>
      <w:pPr>
        <w:pStyle w:val="5"/>
        <w:spacing w:before="0" w:after="0" w:line="600" w:lineRule="exact"/>
        <w:ind w:firstLine="600" w:firstLineChars="200"/>
        <w:rPr>
          <w:rFonts w:ascii="黑体" w:hAnsi="黑体" w:eastAsia="黑体"/>
          <w:b w:val="0"/>
          <w:color w:val="000000" w:themeColor="text1"/>
          <w:sz w:val="30"/>
          <w:szCs w:val="30"/>
          <w:highlight w:val="none"/>
          <w:u w:val="none"/>
          <w14:textFill>
            <w14:solidFill>
              <w14:schemeClr w14:val="tx1"/>
            </w14:solidFill>
          </w14:textFill>
        </w:rPr>
      </w:pPr>
      <w:bookmarkStart w:id="22" w:name="_Toc10721"/>
      <w:r>
        <w:rPr>
          <w:rFonts w:ascii="黑体" w:hAnsi="黑体" w:eastAsia="黑体"/>
          <w:b w:val="0"/>
          <w:color w:val="000000" w:themeColor="text1"/>
          <w:sz w:val="30"/>
          <w:szCs w:val="30"/>
          <w:highlight w:val="none"/>
          <w:u w:val="none"/>
          <w14:textFill>
            <w14:solidFill>
              <w14:schemeClr w14:val="tx1"/>
            </w14:solidFill>
          </w14:textFill>
        </w:rPr>
        <w:t>六、一般公共预算财政拨款基本支出决算情况</w:t>
      </w:r>
      <w:r>
        <w:rPr>
          <w:rFonts w:hint="eastAsia" w:ascii="黑体" w:hAnsi="黑体" w:eastAsia="黑体"/>
          <w:b w:val="0"/>
          <w:color w:val="000000" w:themeColor="text1"/>
          <w:sz w:val="30"/>
          <w:szCs w:val="30"/>
          <w:highlight w:val="none"/>
          <w:u w:val="none"/>
          <w14:textFill>
            <w14:solidFill>
              <w14:schemeClr w14:val="tx1"/>
            </w14:solidFill>
          </w14:textFill>
        </w:rPr>
        <w:t>说明</w:t>
      </w:r>
      <w:bookmarkEnd w:id="22"/>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天津市津南区住房和建设服务中心</w:t>
      </w:r>
      <w:r>
        <w:rPr>
          <w:rFonts w:hint="eastAsia" w:eastAsia="楷体"/>
          <w:sz w:val="30"/>
          <w:szCs w:val="30"/>
          <w:u w:val="none"/>
        </w:rPr>
        <w:t>2022</w:t>
      </w:r>
      <w:r>
        <w:rPr>
          <w:rFonts w:hint="eastAsia" w:ascii="仿宋_GB2312" w:eastAsia="仿宋_GB2312" w:cs="仿宋_GB2312"/>
          <w:sz w:val="30"/>
          <w:szCs w:val="30"/>
          <w:u w:val="none"/>
        </w:rPr>
        <w:t>年度一般公共预算财政拨款基本支出合计11136600.20元，与2021年度相比增加990866.05元，主要原因是</w:t>
      </w:r>
      <w:r>
        <w:rPr>
          <w:rFonts w:hint="eastAsia" w:ascii="仿宋_GB2312" w:eastAsia="仿宋_GB2312" w:cs="仿宋_GB2312"/>
          <w:sz w:val="30"/>
          <w:szCs w:val="30"/>
          <w:u w:val="none"/>
          <w:lang w:eastAsia="zh-CN"/>
        </w:rPr>
        <w:t>工资调增并补发以前年度调增部分，且</w:t>
      </w:r>
      <w:r>
        <w:rPr>
          <w:rFonts w:hint="eastAsia" w:ascii="仿宋_GB2312" w:eastAsia="仿宋_GB2312" w:cs="仿宋_GB2312"/>
          <w:sz w:val="30"/>
          <w:szCs w:val="30"/>
          <w:u w:val="none"/>
          <w:lang w:val="en-US" w:eastAsia="zh-CN"/>
        </w:rPr>
        <w:t>2022年度搬迁到新办公地点，水电费较以前年度有所增加。</w:t>
      </w:r>
      <w:r>
        <w:rPr>
          <w:rFonts w:hint="eastAsia" w:ascii="仿宋_GB2312" w:eastAsia="仿宋_GB2312" w:cs="仿宋_GB2312"/>
          <w:sz w:val="30"/>
          <w:szCs w:val="30"/>
          <w:u w:val="none"/>
        </w:rPr>
        <w:t>其中：</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人员经费9644032.39元，主要包括基本工资、津贴补贴、绩效工资、机关事业单位养老保险缴费、职业年金缴费、职工基本医疗保险缴费、其他社会保障缴费、住房公积金、其他工资福利支出、退休费、抚恤金；</w:t>
      </w:r>
      <w:r>
        <w:rPr>
          <w:rFonts w:hint="eastAsia" w:ascii="仿宋_GB2312" w:eastAsia="仿宋_GB2312" w:cs="仿宋_GB2312"/>
          <w:sz w:val="30"/>
          <w:szCs w:val="30"/>
          <w:u w:val="none"/>
        </w:rPr>
        <w:br w:type="textWrapping"/>
      </w:r>
      <w:r>
        <w:rPr>
          <w:rFonts w:hint="eastAsia" w:ascii="仿宋_GB2312" w:eastAsia="仿宋_GB2312" w:cs="仿宋_GB2312"/>
          <w:sz w:val="30"/>
          <w:szCs w:val="30"/>
          <w:u w:val="none"/>
        </w:rPr>
        <w:t>　　公用经费1492567.81元，主要包括办公费、手续费、水费、电费、邮电费、取暖费、物业管理费、维修（护）费、培训费、工会经费、福利费、公务用车运行维护费、其他交通费用、其他商品和服务支出。</w:t>
      </w:r>
    </w:p>
    <w:p>
      <w:pPr>
        <w:pStyle w:val="5"/>
        <w:spacing w:before="0" w:after="0" w:line="600" w:lineRule="exact"/>
        <w:ind w:firstLine="600" w:firstLineChars="200"/>
        <w:rPr>
          <w:rFonts w:ascii="楷体" w:hAnsi="楷体" w:eastAsia="楷体" w:cs="仿宋_GB2312"/>
          <w:b w:val="0"/>
          <w:sz w:val="30"/>
          <w:szCs w:val="30"/>
          <w:u w:val="none"/>
        </w:rPr>
      </w:pPr>
      <w:bookmarkStart w:id="23" w:name="_Toc17918"/>
      <w:r>
        <w:rPr>
          <w:rFonts w:hint="eastAsia" w:ascii="黑体" w:hAnsi="黑体" w:eastAsia="黑体"/>
          <w:b w:val="0"/>
          <w:sz w:val="30"/>
          <w:szCs w:val="30"/>
          <w:u w:val="none"/>
        </w:rPr>
        <w:t>七</w:t>
      </w:r>
      <w:r>
        <w:rPr>
          <w:rFonts w:ascii="黑体" w:hAnsi="黑体" w:eastAsia="黑体"/>
          <w:b w:val="0"/>
          <w:sz w:val="30"/>
          <w:szCs w:val="30"/>
          <w:u w:val="none"/>
        </w:rPr>
        <w:t>、政府性基金预算财政拨款</w:t>
      </w:r>
      <w:r>
        <w:rPr>
          <w:rFonts w:hint="eastAsia" w:ascii="黑体" w:hAnsi="黑体" w:eastAsia="黑体"/>
          <w:b w:val="0"/>
          <w:sz w:val="30"/>
          <w:szCs w:val="30"/>
          <w:u w:val="none"/>
        </w:rPr>
        <w:t>收支决算</w:t>
      </w:r>
      <w:r>
        <w:rPr>
          <w:rFonts w:ascii="黑体" w:hAnsi="黑体" w:eastAsia="黑体"/>
          <w:b w:val="0"/>
          <w:sz w:val="30"/>
          <w:szCs w:val="30"/>
          <w:u w:val="none"/>
        </w:rPr>
        <w:t>情况</w:t>
      </w:r>
      <w:r>
        <w:rPr>
          <w:rFonts w:hint="eastAsia" w:ascii="黑体" w:hAnsi="黑体" w:eastAsia="黑体"/>
          <w:b w:val="0"/>
          <w:bCs w:val="0"/>
          <w:sz w:val="30"/>
          <w:szCs w:val="30"/>
          <w:u w:val="none"/>
        </w:rPr>
        <w:t>说明</w:t>
      </w:r>
      <w:bookmarkEnd w:id="23"/>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天津市津南区住房和建设服务中心2022年度无政府性基金预算财政拨款收入、支出和结转结余。</w:t>
      </w:r>
    </w:p>
    <w:p>
      <w:pPr>
        <w:pStyle w:val="5"/>
        <w:spacing w:before="0" w:after="0" w:line="600" w:lineRule="exact"/>
        <w:ind w:firstLine="600" w:firstLineChars="200"/>
        <w:rPr>
          <w:rFonts w:eastAsia="黑体"/>
          <w:b w:val="0"/>
          <w:sz w:val="30"/>
          <w:szCs w:val="30"/>
          <w:u w:val="none"/>
        </w:rPr>
      </w:pPr>
      <w:bookmarkStart w:id="24" w:name="_Toc23897"/>
      <w:r>
        <w:rPr>
          <w:rFonts w:hint="eastAsia" w:eastAsia="黑体"/>
          <w:b w:val="0"/>
          <w:sz w:val="30"/>
          <w:szCs w:val="30"/>
          <w:u w:val="none"/>
        </w:rPr>
        <w:t>八、国有资本经营预算财政拨款收支决算情况</w:t>
      </w:r>
      <w:r>
        <w:rPr>
          <w:rFonts w:hint="eastAsia" w:ascii="黑体" w:hAnsi="黑体" w:eastAsia="黑体"/>
          <w:b w:val="0"/>
          <w:bCs w:val="0"/>
          <w:sz w:val="30"/>
          <w:szCs w:val="30"/>
          <w:u w:val="none"/>
        </w:rPr>
        <w:t>说明</w:t>
      </w:r>
      <w:bookmarkEnd w:id="24"/>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天津市津南区住房和建设服务中心2022年度无国有资本经营预算财政拨款收入、支出和结转结余。</w:t>
      </w:r>
    </w:p>
    <w:p>
      <w:pPr>
        <w:pStyle w:val="5"/>
        <w:spacing w:before="0" w:after="0" w:line="600" w:lineRule="exact"/>
        <w:ind w:firstLine="600" w:firstLineChars="200"/>
        <w:rPr>
          <w:rFonts w:ascii="黑体" w:hAnsi="黑体" w:eastAsia="黑体"/>
          <w:b w:val="0"/>
          <w:sz w:val="30"/>
          <w:szCs w:val="30"/>
          <w:u w:val="none"/>
        </w:rPr>
      </w:pPr>
      <w:bookmarkStart w:id="25" w:name="_Toc4518"/>
      <w:r>
        <w:rPr>
          <w:rFonts w:hint="eastAsia" w:ascii="黑体" w:hAnsi="黑体" w:eastAsia="黑体"/>
          <w:b w:val="0"/>
          <w:sz w:val="30"/>
          <w:szCs w:val="30"/>
          <w:u w:val="none"/>
        </w:rPr>
        <w:t>九、</w:t>
      </w:r>
      <w:r>
        <w:rPr>
          <w:rFonts w:ascii="黑体" w:hAnsi="黑体" w:eastAsia="黑体"/>
          <w:b w:val="0"/>
          <w:sz w:val="30"/>
          <w:szCs w:val="30"/>
          <w:u w:val="none"/>
        </w:rPr>
        <w:t>一般公共预算财政拨款“三公”经费</w:t>
      </w:r>
      <w:r>
        <w:rPr>
          <w:rFonts w:hint="eastAsia" w:ascii="黑体" w:hAnsi="黑体" w:eastAsia="黑体"/>
          <w:b w:val="0"/>
          <w:sz w:val="30"/>
          <w:szCs w:val="30"/>
          <w:u w:val="none"/>
        </w:rPr>
        <w:t>支出决算</w:t>
      </w:r>
      <w:r>
        <w:rPr>
          <w:rFonts w:ascii="黑体" w:hAnsi="黑体" w:eastAsia="黑体"/>
          <w:b w:val="0"/>
          <w:sz w:val="30"/>
          <w:szCs w:val="30"/>
          <w:u w:val="none"/>
        </w:rPr>
        <w:t>情况</w:t>
      </w:r>
      <w:r>
        <w:rPr>
          <w:rFonts w:hint="eastAsia" w:ascii="黑体" w:hAnsi="黑体" w:eastAsia="黑体"/>
          <w:b w:val="0"/>
          <w:bCs w:val="0"/>
          <w:sz w:val="30"/>
          <w:szCs w:val="30"/>
          <w:u w:val="none"/>
        </w:rPr>
        <w:t>说明</w:t>
      </w:r>
      <w:bookmarkEnd w:id="25"/>
    </w:p>
    <w:p>
      <w:pPr>
        <w:spacing w:line="600" w:lineRule="exact"/>
        <w:ind w:firstLine="602" w:firstLineChars="200"/>
        <w:jc w:val="both"/>
        <w:rPr>
          <w:rFonts w:ascii="楷体" w:hAnsi="楷体" w:eastAsia="楷体" w:cs="楷体"/>
          <w:b/>
          <w:bCs/>
          <w:sz w:val="30"/>
          <w:szCs w:val="30"/>
          <w:u w:val="none"/>
        </w:rPr>
      </w:pPr>
      <w:r>
        <w:rPr>
          <w:rFonts w:hint="eastAsia" w:ascii="楷体" w:hAnsi="楷体" w:eastAsia="楷体" w:cs="楷体"/>
          <w:b/>
          <w:bCs/>
          <w:sz w:val="30"/>
          <w:szCs w:val="30"/>
          <w:u w:val="none"/>
        </w:rPr>
        <w:t>（一）总体情况</w:t>
      </w:r>
    </w:p>
    <w:p>
      <w:pPr>
        <w:spacing w:line="600" w:lineRule="exact"/>
        <w:ind w:firstLine="645"/>
        <w:jc w:val="both"/>
        <w:rPr>
          <w:rFonts w:ascii="仿宋_GB2312" w:eastAsia="仿宋_GB2312" w:cs="仿宋_GB2312"/>
          <w:sz w:val="30"/>
          <w:szCs w:val="30"/>
          <w:u w:val="none"/>
        </w:rPr>
      </w:pPr>
      <w:r>
        <w:rPr>
          <w:rFonts w:hint="eastAsia" w:eastAsia="楷体"/>
          <w:sz w:val="30"/>
          <w:szCs w:val="30"/>
          <w:u w:val="none"/>
        </w:rPr>
        <w:t>2022</w:t>
      </w:r>
      <w:r>
        <w:rPr>
          <w:rFonts w:hint="eastAsia" w:ascii="仿宋_GB2312" w:eastAsia="仿宋_GB2312" w:cs="仿宋_GB2312"/>
          <w:sz w:val="30"/>
          <w:szCs w:val="30"/>
          <w:u w:val="none"/>
        </w:rPr>
        <w:t>年一般公共预算财政拨款“三公”经费预算5807.67元，支出决算5807.67元（去年同期24998.25元），支出决算与</w:t>
      </w:r>
      <w:r>
        <w:rPr>
          <w:rFonts w:hint="eastAsia" w:eastAsia="楷体"/>
          <w:sz w:val="30"/>
          <w:szCs w:val="30"/>
          <w:u w:val="none"/>
        </w:rPr>
        <w:t>2022</w:t>
      </w:r>
      <w:r>
        <w:rPr>
          <w:rFonts w:hint="eastAsia" w:ascii="仿宋_GB2312" w:eastAsia="仿宋_GB2312" w:cs="仿宋_GB2312"/>
          <w:sz w:val="30"/>
          <w:szCs w:val="30"/>
          <w:u w:val="none"/>
        </w:rPr>
        <w:t>年预算相比</w:t>
      </w:r>
      <w:r>
        <w:rPr>
          <w:rFonts w:hint="eastAsia" w:ascii="仿宋_GB2312" w:eastAsia="仿宋_GB2312" w:cs="仿宋_GB2312"/>
          <w:sz w:val="30"/>
          <w:szCs w:val="30"/>
          <w:u w:val="none"/>
          <w:lang w:eastAsia="zh-CN"/>
        </w:rPr>
        <w:t>持平</w:t>
      </w:r>
      <w:r>
        <w:rPr>
          <w:rFonts w:hint="eastAsia" w:ascii="仿宋_GB2312" w:eastAsia="仿宋_GB2312" w:cs="仿宋_GB2312"/>
          <w:sz w:val="30"/>
          <w:szCs w:val="30"/>
          <w:u w:val="none"/>
        </w:rPr>
        <w:t>,完成预算的</w:t>
      </w:r>
      <w:r>
        <w:rPr>
          <w:rFonts w:hint="eastAsia" w:ascii="仿宋_GB2312" w:eastAsia="仿宋_GB2312" w:cs="仿宋_GB2312"/>
          <w:sz w:val="30"/>
          <w:szCs w:val="30"/>
          <w:u w:val="none"/>
          <w:lang w:val="en-US" w:eastAsia="zh-CN"/>
        </w:rPr>
        <w:t>100</w:t>
      </w:r>
      <w:r>
        <w:rPr>
          <w:rFonts w:hint="eastAsia" w:ascii="仿宋_GB2312" w:eastAsia="仿宋_GB2312" w:cs="仿宋_GB2312"/>
          <w:sz w:val="30"/>
          <w:szCs w:val="30"/>
          <w:u w:val="none"/>
        </w:rPr>
        <w:t>%；支出决算较上年减少19190.58元，下降76.77%。决算数小于预算数的主要原因是</w:t>
      </w:r>
      <w:r>
        <w:rPr>
          <w:rFonts w:hint="eastAsia" w:ascii="仿宋_GB2312" w:eastAsia="仿宋_GB2312" w:cs="仿宋_GB2312"/>
          <w:sz w:val="30"/>
          <w:szCs w:val="30"/>
          <w:u w:val="none"/>
          <w:lang w:eastAsia="zh-CN"/>
        </w:rPr>
        <w:t>秉承过紧日子思想，大量压缩三公经费支出，在办证公车保险和日常维修维护的基础上，不再增加油费，消化以前年度油卡里油费余额</w:t>
      </w:r>
      <w:r>
        <w:rPr>
          <w:rFonts w:hint="eastAsia" w:ascii="仿宋_GB2312" w:eastAsia="仿宋_GB2312" w:cs="仿宋_GB2312"/>
          <w:sz w:val="30"/>
          <w:szCs w:val="30"/>
          <w:u w:val="none"/>
        </w:rPr>
        <w:t>。决算数较上年减少的主要原因是</w:t>
      </w:r>
      <w:r>
        <w:rPr>
          <w:rFonts w:hint="eastAsia" w:ascii="仿宋_GB2312" w:eastAsia="仿宋_GB2312" w:cs="仿宋_GB2312"/>
          <w:sz w:val="30"/>
          <w:szCs w:val="30"/>
          <w:u w:val="none"/>
          <w:lang w:eastAsia="zh-CN"/>
        </w:rPr>
        <w:t>秉承过紧日子思想，大量压缩三公经费支出，在办证公车保险和日常维修维护的基础上，不再增加油费，消化以前年度油卡里油费余额</w:t>
      </w:r>
      <w:r>
        <w:rPr>
          <w:rFonts w:hint="eastAsia" w:ascii="仿宋_GB2312" w:eastAsia="仿宋_GB2312" w:cs="仿宋_GB2312"/>
          <w:sz w:val="30"/>
          <w:szCs w:val="30"/>
          <w:u w:val="none"/>
        </w:rPr>
        <w:t>。</w:t>
      </w:r>
    </w:p>
    <w:p>
      <w:pPr>
        <w:spacing w:line="600" w:lineRule="exact"/>
        <w:ind w:firstLine="602" w:firstLineChars="200"/>
        <w:jc w:val="both"/>
        <w:rPr>
          <w:rFonts w:ascii="楷体" w:hAnsi="楷体" w:eastAsia="楷体" w:cs="楷体"/>
          <w:b/>
          <w:bCs/>
          <w:sz w:val="30"/>
          <w:szCs w:val="30"/>
          <w:u w:val="none"/>
        </w:rPr>
      </w:pPr>
      <w:r>
        <w:rPr>
          <w:rFonts w:hint="eastAsia" w:ascii="楷体" w:hAnsi="楷体" w:eastAsia="楷体" w:cs="楷体"/>
          <w:b/>
          <w:bCs/>
          <w:sz w:val="30"/>
          <w:szCs w:val="30"/>
          <w:u w:val="none"/>
        </w:rPr>
        <w:t>（二）具体情况</w:t>
      </w:r>
    </w:p>
    <w:p>
      <w:pPr>
        <w:spacing w:line="600" w:lineRule="exact"/>
        <w:ind w:firstLine="600" w:firstLineChars="200"/>
        <w:jc w:val="both"/>
        <w:rPr>
          <w:rFonts w:eastAsia="仿宋_GB2312"/>
          <w:sz w:val="30"/>
          <w:szCs w:val="30"/>
          <w:u w:val="none"/>
        </w:rPr>
      </w:pPr>
      <w:r>
        <w:rPr>
          <w:rFonts w:hint="eastAsia" w:eastAsia="仿宋_GB2312"/>
          <w:sz w:val="30"/>
          <w:szCs w:val="30"/>
          <w:u w:val="none"/>
        </w:rPr>
        <w:t>1.</w:t>
      </w:r>
      <w:r>
        <w:rPr>
          <w:rFonts w:hint="eastAsia" w:ascii="仿宋_GB2312" w:eastAsia="仿宋_GB2312" w:cs="仿宋_GB2312"/>
          <w:sz w:val="30"/>
          <w:szCs w:val="30"/>
          <w:u w:val="none"/>
        </w:rPr>
        <w:t>因公出国（境）费预算0.00元，支出决算0.00元（去年同期0.00元），支出决算与预算相比持平；支出决算较上年持平。</w:t>
      </w:r>
      <w:r>
        <w:rPr>
          <w:rFonts w:ascii="仿宋_GB2312" w:eastAsia="仿宋_GB2312" w:cs="仿宋_GB2312"/>
          <w:sz w:val="30"/>
          <w:szCs w:val="30"/>
          <w:u w:val="none"/>
        </w:rPr>
        <w:t>因本年及去年同期均未使用一般公共预算财政拨款列支“因公出国（境）”经费，故本年支出决算与本年预算、上年支出决算均持平为0。2022</w:t>
      </w:r>
      <w:r>
        <w:rPr>
          <w:rFonts w:hint="eastAsia" w:ascii="仿宋_GB2312" w:eastAsia="仿宋_GB2312" w:cs="仿宋_GB2312"/>
          <w:sz w:val="30"/>
          <w:szCs w:val="30"/>
          <w:u w:val="none"/>
        </w:rPr>
        <w:t>年本单位组织的出国团组0个，出国0人次。</w:t>
      </w:r>
    </w:p>
    <w:p>
      <w:pPr>
        <w:spacing w:line="600" w:lineRule="exact"/>
        <w:ind w:firstLine="600" w:firstLineChars="200"/>
        <w:jc w:val="both"/>
        <w:rPr>
          <w:rFonts w:eastAsia="仿宋_GB2312"/>
          <w:sz w:val="30"/>
          <w:szCs w:val="30"/>
          <w:u w:val="none"/>
        </w:rPr>
      </w:pPr>
      <w:r>
        <w:rPr>
          <w:rFonts w:hint="eastAsia" w:eastAsia="仿宋_GB2312"/>
          <w:sz w:val="30"/>
          <w:szCs w:val="30"/>
          <w:u w:val="none"/>
        </w:rPr>
        <w:t>2.</w:t>
      </w:r>
      <w:r>
        <w:rPr>
          <w:rFonts w:hint="eastAsia" w:ascii="仿宋_GB2312" w:eastAsia="仿宋_GB2312" w:cs="仿宋_GB2312"/>
          <w:sz w:val="30"/>
          <w:szCs w:val="30"/>
          <w:u w:val="none"/>
        </w:rPr>
        <w:t>公务用车购置及运行维护费预算</w:t>
      </w:r>
      <w:r>
        <w:rPr>
          <w:rFonts w:hint="eastAsia" w:ascii="仿宋_GB2312" w:eastAsia="仿宋_GB2312" w:cs="仿宋_GB2312"/>
          <w:color w:val="auto"/>
          <w:sz w:val="30"/>
          <w:szCs w:val="30"/>
          <w:u w:val="none"/>
          <w:lang w:val="en-US" w:eastAsia="zh-CN"/>
        </w:rPr>
        <w:t>5807.67</w:t>
      </w:r>
      <w:r>
        <w:rPr>
          <w:rFonts w:hint="eastAsia" w:ascii="仿宋_GB2312" w:eastAsia="仿宋_GB2312" w:cs="仿宋_GB2312"/>
          <w:sz w:val="30"/>
          <w:szCs w:val="30"/>
          <w:u w:val="none"/>
        </w:rPr>
        <w:t>元，支出决算5807.67元（去年同期24998.25元），支出决算与预算相比减少19192.33元,完成预算的23.23%；支出决算较上年减少19190.58元，下降76.77%。其中：</w:t>
      </w:r>
    </w:p>
    <w:p>
      <w:pPr>
        <w:spacing w:line="600" w:lineRule="exact"/>
        <w:ind w:firstLine="600" w:firstLineChars="200"/>
        <w:jc w:val="both"/>
        <w:rPr>
          <w:rFonts w:eastAsia="仿宋_GB2312"/>
          <w:sz w:val="30"/>
          <w:szCs w:val="30"/>
          <w:u w:val="none"/>
        </w:rPr>
      </w:pPr>
      <w:r>
        <w:rPr>
          <w:rFonts w:hint="eastAsia" w:ascii="仿宋_GB2312" w:eastAsia="仿宋_GB2312" w:cs="仿宋_GB2312"/>
          <w:sz w:val="30"/>
          <w:szCs w:val="30"/>
          <w:u w:val="none"/>
        </w:rPr>
        <w:t>公务用车运行维护费预算</w:t>
      </w:r>
      <w:r>
        <w:rPr>
          <w:rFonts w:hint="eastAsia" w:ascii="仿宋_GB2312" w:eastAsia="仿宋_GB2312" w:cs="仿宋_GB2312"/>
          <w:color w:val="auto"/>
          <w:sz w:val="30"/>
          <w:szCs w:val="30"/>
          <w:u w:val="none"/>
          <w:lang w:val="en-US" w:eastAsia="zh-CN"/>
        </w:rPr>
        <w:t>5807.67</w:t>
      </w:r>
      <w:r>
        <w:rPr>
          <w:rFonts w:hint="eastAsia" w:ascii="仿宋_GB2312" w:eastAsia="仿宋_GB2312" w:cs="仿宋_GB2312"/>
          <w:sz w:val="30"/>
          <w:szCs w:val="30"/>
          <w:u w:val="none"/>
        </w:rPr>
        <w:t>元，支出决算5807.67元（去年同期24998.25元），支出决算与预算相比减少19192.33元,完成预算的23.23%；支出决算较上年减少19190.58元，下降76.77%。决算数小于预算数的主要原因是</w:t>
      </w:r>
      <w:r>
        <w:rPr>
          <w:rFonts w:hint="eastAsia" w:ascii="仿宋_GB2312" w:eastAsia="仿宋_GB2312" w:cs="仿宋_GB2312"/>
          <w:sz w:val="30"/>
          <w:szCs w:val="30"/>
          <w:u w:val="none"/>
          <w:lang w:eastAsia="zh-CN"/>
        </w:rPr>
        <w:t>秉承过紧日子思想，大量压缩三公经费支出，在办证公车保险和日常维修维护的基础上，不再增加油费，消化以前年度油卡里油费余额</w:t>
      </w:r>
      <w:r>
        <w:rPr>
          <w:rFonts w:hint="eastAsia" w:ascii="仿宋_GB2312" w:eastAsia="仿宋_GB2312" w:cs="仿宋_GB2312"/>
          <w:sz w:val="30"/>
          <w:szCs w:val="30"/>
          <w:u w:val="none"/>
        </w:rPr>
        <w:t>。决算数较上年减少的主要原因是</w:t>
      </w:r>
      <w:r>
        <w:rPr>
          <w:rFonts w:hint="eastAsia" w:ascii="仿宋_GB2312" w:eastAsia="仿宋_GB2312" w:cs="仿宋_GB2312"/>
          <w:sz w:val="30"/>
          <w:szCs w:val="30"/>
          <w:u w:val="none"/>
          <w:lang w:eastAsia="zh-CN"/>
        </w:rPr>
        <w:t>秉承过紧日子思想，大量压缩三公经费支出，在办证公车保险和日常维修维护的基础上，不再增加油费，消化以前年度油卡里油费余额</w:t>
      </w:r>
      <w:r>
        <w:rPr>
          <w:rFonts w:hint="eastAsia" w:ascii="仿宋_GB2312" w:eastAsia="仿宋_GB2312" w:cs="仿宋_GB2312"/>
          <w:sz w:val="30"/>
          <w:szCs w:val="30"/>
          <w:u w:val="none"/>
        </w:rPr>
        <w:t>。截至2022年12月31日，使用</w:t>
      </w:r>
      <w:r>
        <w:rPr>
          <w:rFonts w:hint="eastAsia" w:eastAsia="仿宋_GB2312"/>
          <w:sz w:val="30"/>
          <w:szCs w:val="30"/>
          <w:u w:val="none"/>
        </w:rPr>
        <w:t>一般公共预算</w:t>
      </w:r>
      <w:r>
        <w:rPr>
          <w:rFonts w:hint="eastAsia" w:ascii="仿宋_GB2312" w:eastAsia="仿宋_GB2312" w:cs="仿宋_GB2312"/>
          <w:sz w:val="30"/>
          <w:szCs w:val="30"/>
          <w:u w:val="none"/>
        </w:rPr>
        <w:t>财政拨款开支运行维护费的公务用车保有量为1辆。</w:t>
      </w:r>
    </w:p>
    <w:p>
      <w:pPr>
        <w:spacing w:line="600" w:lineRule="exact"/>
        <w:ind w:firstLine="600" w:firstLineChars="200"/>
        <w:jc w:val="both"/>
        <w:rPr>
          <w:rFonts w:eastAsia="仿宋_GB2312"/>
          <w:sz w:val="30"/>
          <w:szCs w:val="30"/>
          <w:u w:val="none"/>
        </w:rPr>
      </w:pPr>
      <w:r>
        <w:rPr>
          <w:rFonts w:hint="eastAsia" w:ascii="仿宋_GB2312" w:eastAsia="仿宋_GB2312" w:cs="仿宋_GB2312"/>
          <w:sz w:val="30"/>
          <w:szCs w:val="30"/>
          <w:u w:val="none"/>
        </w:rPr>
        <w:t>公务用车购置费预算0.00元，支出决算0.00元（去年同期</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00元），支出决算与预算相比持平；支出决算较上年持平。因本年及去年同期均未使用一般公共预算财政拨款列支“公务用车购置”经费，故本年支出决算与本年预算、上年支出决算均持平为0。2022年购置公务用车0辆。</w:t>
      </w:r>
    </w:p>
    <w:p>
      <w:pPr>
        <w:spacing w:line="600" w:lineRule="exact"/>
        <w:ind w:firstLine="645"/>
        <w:jc w:val="both"/>
        <w:rPr>
          <w:rFonts w:eastAsia="仿宋_GB2312" w:cs="仿宋_GB2312"/>
          <w:sz w:val="30"/>
          <w:szCs w:val="30"/>
          <w:u w:val="none"/>
        </w:rPr>
      </w:pPr>
      <w:r>
        <w:rPr>
          <w:rFonts w:hint="eastAsia" w:eastAsia="仿宋_GB2312"/>
          <w:sz w:val="30"/>
          <w:szCs w:val="30"/>
          <w:u w:val="none"/>
        </w:rPr>
        <w:t>3.</w:t>
      </w:r>
      <w:r>
        <w:rPr>
          <w:rFonts w:hint="eastAsia" w:ascii="仿宋_GB2312" w:eastAsia="仿宋_GB2312" w:cs="仿宋_GB2312"/>
          <w:sz w:val="30"/>
          <w:szCs w:val="30"/>
          <w:u w:val="none"/>
        </w:rPr>
        <w:t>公务接待费预算0.00元，支出决算0.00元（去年同期0.00元），支出决算与预算相比持平；支出决算较上年持平。</w:t>
      </w:r>
      <w:r>
        <w:rPr>
          <w:rFonts w:ascii="仿宋_GB2312" w:eastAsia="仿宋_GB2312" w:cs="仿宋_GB2312"/>
          <w:sz w:val="30"/>
          <w:szCs w:val="30"/>
          <w:u w:val="none"/>
        </w:rPr>
        <w:t>因本年及去年同期均未使用一般公共预算财政拨款列支“公务接待”经费，故本年支出决算与本年预算、上年支出决算均持平为0。2022</w:t>
      </w:r>
      <w:r>
        <w:rPr>
          <w:rFonts w:hint="eastAsia" w:ascii="仿宋_GB2312" w:eastAsia="仿宋_GB2312" w:cs="仿宋_GB2312"/>
          <w:sz w:val="30"/>
          <w:szCs w:val="30"/>
          <w:u w:val="none"/>
        </w:rPr>
        <w:t>年本单位国内公务接待0批</w:t>
      </w:r>
      <w:r>
        <w:rPr>
          <w:rFonts w:hint="eastAsia" w:eastAsia="仿宋_GB2312" w:cs="仿宋_GB2312"/>
          <w:sz w:val="30"/>
          <w:szCs w:val="30"/>
          <w:u w:val="none"/>
        </w:rPr>
        <w:t>次，</w:t>
      </w:r>
      <w:r>
        <w:rPr>
          <w:rFonts w:hint="eastAsia" w:ascii="仿宋_GB2312" w:eastAsia="仿宋_GB2312" w:cs="仿宋_GB2312"/>
          <w:sz w:val="30"/>
          <w:szCs w:val="30"/>
          <w:u w:val="none"/>
        </w:rPr>
        <w:t>0</w:t>
      </w:r>
      <w:r>
        <w:rPr>
          <w:rFonts w:hint="eastAsia" w:eastAsia="仿宋_GB2312" w:cs="仿宋_GB2312"/>
          <w:sz w:val="30"/>
          <w:szCs w:val="30"/>
          <w:u w:val="none"/>
        </w:rPr>
        <w:t>人次；其中，外事接待</w:t>
      </w:r>
      <w:r>
        <w:rPr>
          <w:rFonts w:hint="eastAsia" w:ascii="仿宋_GB2312" w:eastAsia="仿宋_GB2312" w:cs="仿宋_GB2312"/>
          <w:sz w:val="30"/>
          <w:szCs w:val="30"/>
          <w:u w:val="none"/>
        </w:rPr>
        <w:t>0</w:t>
      </w:r>
      <w:r>
        <w:rPr>
          <w:rFonts w:hint="eastAsia" w:eastAsia="仿宋_GB2312" w:cs="仿宋_GB2312"/>
          <w:sz w:val="30"/>
          <w:szCs w:val="30"/>
          <w:u w:val="none"/>
        </w:rPr>
        <w:t>批次，</w:t>
      </w:r>
      <w:r>
        <w:rPr>
          <w:rFonts w:hint="eastAsia" w:ascii="仿宋_GB2312" w:eastAsia="仿宋_GB2312" w:cs="仿宋_GB2312"/>
          <w:sz w:val="30"/>
          <w:szCs w:val="30"/>
          <w:u w:val="none"/>
        </w:rPr>
        <w:t>0</w:t>
      </w:r>
      <w:r>
        <w:rPr>
          <w:rFonts w:hint="eastAsia" w:eastAsia="仿宋_GB2312" w:cs="仿宋_GB2312"/>
          <w:sz w:val="30"/>
          <w:szCs w:val="30"/>
          <w:u w:val="none"/>
        </w:rPr>
        <w:t>人次。</w:t>
      </w:r>
    </w:p>
    <w:p>
      <w:pPr>
        <w:pStyle w:val="5"/>
        <w:spacing w:before="0" w:after="0" w:line="600" w:lineRule="exact"/>
        <w:ind w:firstLine="600" w:firstLineChars="200"/>
        <w:rPr>
          <w:rFonts w:ascii="黑体" w:hAnsi="黑体" w:eastAsia="黑体"/>
          <w:b w:val="0"/>
          <w:sz w:val="30"/>
          <w:szCs w:val="30"/>
          <w:u w:val="none"/>
        </w:rPr>
      </w:pPr>
      <w:bookmarkStart w:id="26" w:name="_Toc3411"/>
      <w:r>
        <w:rPr>
          <w:rFonts w:hint="eastAsia" w:ascii="黑体" w:hAnsi="黑体" w:eastAsia="黑体"/>
          <w:b w:val="0"/>
          <w:sz w:val="30"/>
          <w:szCs w:val="30"/>
          <w:u w:val="none"/>
        </w:rPr>
        <w:t>十、</w:t>
      </w:r>
      <w:r>
        <w:rPr>
          <w:rFonts w:ascii="黑体" w:hAnsi="黑体" w:eastAsia="黑体"/>
          <w:b w:val="0"/>
          <w:sz w:val="30"/>
          <w:szCs w:val="30"/>
          <w:u w:val="none"/>
        </w:rPr>
        <w:t>机关运行经费</w:t>
      </w:r>
      <w:r>
        <w:rPr>
          <w:rFonts w:hint="eastAsia" w:ascii="黑体" w:hAnsi="黑体" w:eastAsia="黑体"/>
          <w:b w:val="0"/>
          <w:sz w:val="30"/>
          <w:szCs w:val="30"/>
          <w:u w:val="none"/>
        </w:rPr>
        <w:t>支出情况</w:t>
      </w:r>
      <w:r>
        <w:rPr>
          <w:rFonts w:hint="eastAsia" w:ascii="黑体" w:hAnsi="黑体" w:eastAsia="黑体"/>
          <w:b w:val="0"/>
          <w:bCs w:val="0"/>
          <w:sz w:val="30"/>
          <w:szCs w:val="30"/>
          <w:u w:val="none"/>
        </w:rPr>
        <w:t>说明</w:t>
      </w:r>
      <w:bookmarkEnd w:id="26"/>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天津市津南区住房和建设服务中心2022年度无机关运行经费。</w:t>
      </w:r>
    </w:p>
    <w:p>
      <w:pPr>
        <w:pStyle w:val="5"/>
        <w:spacing w:before="0" w:after="0" w:line="600" w:lineRule="exact"/>
        <w:ind w:firstLine="600" w:firstLineChars="200"/>
        <w:rPr>
          <w:rFonts w:ascii="黑体" w:hAnsi="黑体" w:eastAsia="黑体"/>
          <w:b w:val="0"/>
          <w:sz w:val="30"/>
          <w:szCs w:val="30"/>
          <w:u w:val="none"/>
        </w:rPr>
      </w:pPr>
      <w:bookmarkStart w:id="27" w:name="_Toc31102"/>
      <w:r>
        <w:rPr>
          <w:rFonts w:hint="eastAsia" w:ascii="黑体" w:hAnsi="黑体" w:eastAsia="黑体"/>
          <w:b w:val="0"/>
          <w:sz w:val="30"/>
          <w:szCs w:val="30"/>
          <w:u w:val="none"/>
        </w:rPr>
        <w:t>十一、</w:t>
      </w:r>
      <w:r>
        <w:rPr>
          <w:rFonts w:ascii="黑体" w:hAnsi="黑体" w:eastAsia="黑体"/>
          <w:b w:val="0"/>
          <w:sz w:val="30"/>
          <w:szCs w:val="30"/>
          <w:u w:val="none"/>
        </w:rPr>
        <w:t>政府采购</w:t>
      </w:r>
      <w:r>
        <w:rPr>
          <w:rFonts w:hint="eastAsia" w:ascii="黑体" w:hAnsi="黑体" w:eastAsia="黑体"/>
          <w:b w:val="0"/>
          <w:sz w:val="30"/>
          <w:szCs w:val="30"/>
          <w:u w:val="none"/>
        </w:rPr>
        <w:t>支出</w:t>
      </w:r>
      <w:r>
        <w:rPr>
          <w:rFonts w:ascii="黑体" w:hAnsi="黑体" w:eastAsia="黑体"/>
          <w:b w:val="0"/>
          <w:sz w:val="30"/>
          <w:szCs w:val="30"/>
          <w:u w:val="none"/>
        </w:rPr>
        <w:t>情况</w:t>
      </w:r>
      <w:r>
        <w:rPr>
          <w:rFonts w:hint="eastAsia" w:ascii="黑体" w:hAnsi="黑体" w:eastAsia="黑体"/>
          <w:b w:val="0"/>
          <w:bCs w:val="0"/>
          <w:sz w:val="30"/>
          <w:szCs w:val="30"/>
          <w:u w:val="none"/>
        </w:rPr>
        <w:t>说明</w:t>
      </w:r>
      <w:bookmarkEnd w:id="27"/>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天津市津南区住房和建设服务中心2022年政府采购支出总额8843679.74元，其中：政府采购货物支出16757.40元、政府采购工程支出8199468.00元、政府采购服务支出627454.34元。授予中小企业合同金额8843679.74元，占政府采购支出总额的100.00%，其中：授予小微企业合同金额8843679.74元，占政府采购支出总额的100.00%；货物采购授予中小企业合同金额占货物支出金额的100.00%，工程采购授予中小企业合同金额占工程支出金额的100.00%，服务采购授予中小企业合同金额占服务支出金额的100.00%。</w:t>
      </w:r>
    </w:p>
    <w:p>
      <w:pPr>
        <w:pStyle w:val="5"/>
        <w:spacing w:before="0" w:after="0" w:line="600" w:lineRule="exact"/>
        <w:ind w:firstLine="600" w:firstLineChars="200"/>
        <w:rPr>
          <w:rFonts w:ascii="黑体" w:hAnsi="黑体" w:eastAsia="黑体"/>
          <w:b w:val="0"/>
          <w:sz w:val="30"/>
          <w:szCs w:val="30"/>
          <w:u w:val="none"/>
        </w:rPr>
      </w:pPr>
      <w:bookmarkStart w:id="28" w:name="_Toc23709"/>
      <w:r>
        <w:rPr>
          <w:rFonts w:hint="eastAsia" w:ascii="黑体" w:hAnsi="黑体" w:eastAsia="黑体"/>
          <w:b w:val="0"/>
          <w:sz w:val="30"/>
          <w:szCs w:val="30"/>
          <w:u w:val="none"/>
        </w:rPr>
        <w:t>十二、国有资产占有使用情况</w:t>
      </w:r>
      <w:r>
        <w:rPr>
          <w:rFonts w:hint="eastAsia" w:ascii="黑体" w:hAnsi="黑体" w:eastAsia="黑体"/>
          <w:b w:val="0"/>
          <w:bCs w:val="0"/>
          <w:sz w:val="30"/>
          <w:szCs w:val="30"/>
          <w:u w:val="none"/>
        </w:rPr>
        <w:t>说明</w:t>
      </w:r>
      <w:bookmarkEnd w:id="28"/>
    </w:p>
    <w:p>
      <w:pPr>
        <w:spacing w:line="600" w:lineRule="exact"/>
        <w:ind w:firstLine="645"/>
        <w:jc w:val="both"/>
        <w:rPr>
          <w:rFonts w:ascii="仿宋_GB2312" w:eastAsia="仿宋_GB2312" w:cs="仿宋_GB2312"/>
          <w:sz w:val="30"/>
          <w:szCs w:val="30"/>
          <w:u w:val="none"/>
        </w:rPr>
      </w:pPr>
      <w:r>
        <w:rPr>
          <w:rFonts w:hint="eastAsia" w:ascii="仿宋_GB2312" w:eastAsia="仿宋_GB2312" w:cs="仿宋_GB2312"/>
          <w:sz w:val="30"/>
          <w:szCs w:val="30"/>
          <w:u w:val="none"/>
        </w:rPr>
        <w:t>截至2022年12月31日，天津市津南区住房和建设服务中心共有车辆1辆，其中：副部（省）级及以上领导用车</w:t>
      </w:r>
      <w:r>
        <w:rPr>
          <w:rFonts w:hint="eastAsia" w:ascii="仿宋_GB2312" w:eastAsia="仿宋_GB2312" w:cs="仿宋_GB2312"/>
          <w:sz w:val="30"/>
          <w:szCs w:val="30"/>
          <w:u w:val="none"/>
          <w:lang w:val="en-US" w:eastAsia="zh-CN"/>
        </w:rPr>
        <w:t>0</w:t>
      </w:r>
      <w:r>
        <w:rPr>
          <w:rFonts w:hint="eastAsia" w:ascii="仿宋_GB2312" w:eastAsia="仿宋_GB2312" w:cs="仿宋_GB2312"/>
          <w:sz w:val="30"/>
          <w:szCs w:val="30"/>
          <w:u w:val="none"/>
        </w:rPr>
        <w:t>辆、主要领导干部用车0辆、机要通信车0辆、应急保障用车0辆、执法执勤用车0辆、特种专业技术用车0辆、离退休干部用车0辆、其他用车1辆，其他用车主要包括</w:t>
      </w:r>
      <w:r>
        <w:rPr>
          <w:rFonts w:hint="eastAsia" w:ascii="仿宋_GB2312" w:eastAsia="仿宋_GB2312" w:cs="仿宋_GB2312"/>
          <w:sz w:val="30"/>
          <w:szCs w:val="30"/>
          <w:u w:val="none"/>
          <w:lang w:eastAsia="zh-CN"/>
        </w:rPr>
        <w:t>单位公务用车，牌照号为津</w:t>
      </w:r>
      <w:r>
        <w:rPr>
          <w:rFonts w:hint="eastAsia" w:ascii="仿宋_GB2312" w:eastAsia="仿宋_GB2312" w:cs="仿宋_GB2312"/>
          <w:sz w:val="30"/>
          <w:szCs w:val="30"/>
          <w:u w:val="none"/>
          <w:lang w:val="en-US" w:eastAsia="zh-CN"/>
        </w:rPr>
        <w:t>B60G90</w:t>
      </w:r>
      <w:r>
        <w:rPr>
          <w:rFonts w:hint="eastAsia" w:ascii="仿宋_GB2312" w:eastAsia="仿宋_GB2312" w:cs="仿宋_GB2312"/>
          <w:sz w:val="30"/>
          <w:szCs w:val="30"/>
          <w:u w:val="none"/>
        </w:rPr>
        <w:t>。单价100万元以上的专用设备0台（套）。</w:t>
      </w:r>
    </w:p>
    <w:p>
      <w:pPr>
        <w:pStyle w:val="5"/>
        <w:spacing w:before="0" w:after="0" w:line="540" w:lineRule="exact"/>
        <w:ind w:firstLine="600" w:firstLineChars="200"/>
        <w:rPr>
          <w:rFonts w:ascii="黑体" w:hAnsi="黑体" w:eastAsia="黑体"/>
          <w:b w:val="0"/>
          <w:bCs w:val="0"/>
          <w:sz w:val="30"/>
          <w:szCs w:val="30"/>
          <w:u w:val="none"/>
        </w:rPr>
      </w:pPr>
      <w:bookmarkStart w:id="29" w:name="_Toc11467"/>
      <w:r>
        <w:rPr>
          <w:rFonts w:hint="eastAsia" w:ascii="黑体" w:hAnsi="黑体" w:eastAsia="黑体"/>
          <w:b w:val="0"/>
          <w:bCs w:val="0"/>
          <w:sz w:val="30"/>
          <w:szCs w:val="30"/>
          <w:u w:val="none"/>
        </w:rPr>
        <w:t>十三、预算绩效情况说明</w:t>
      </w:r>
      <w:bookmarkEnd w:id="29"/>
    </w:p>
    <w:p>
      <w:pPr>
        <w:spacing w:line="600" w:lineRule="exact"/>
        <w:ind w:firstLine="600" w:firstLineChars="200"/>
        <w:jc w:val="both"/>
        <w:rPr>
          <w:rFonts w:eastAsia="仿宋_GB2312"/>
          <w:sz w:val="30"/>
          <w:szCs w:val="30"/>
          <w:u w:val="none"/>
        </w:rPr>
      </w:pPr>
      <w:r>
        <w:rPr>
          <w:rFonts w:eastAsia="仿宋_GB2312"/>
          <w:sz w:val="30"/>
          <w:szCs w:val="30"/>
          <w:u w:val="none"/>
        </w:rPr>
        <w:t>根据预算绩效管理要</w:t>
      </w:r>
      <w:r>
        <w:rPr>
          <w:rFonts w:eastAsia="仿宋_GB2312"/>
          <w:color w:val="auto"/>
          <w:sz w:val="30"/>
          <w:szCs w:val="30"/>
          <w:u w:val="none"/>
        </w:rPr>
        <w:t>求，</w:t>
      </w:r>
      <w:r>
        <w:rPr>
          <w:rFonts w:hint="eastAsia" w:ascii="仿宋_GB2312" w:eastAsia="仿宋_GB2312" w:cs="仿宋_GB2312"/>
          <w:color w:val="auto"/>
          <w:sz w:val="30"/>
          <w:szCs w:val="30"/>
          <w:u w:val="none"/>
        </w:rPr>
        <w:t>天津市津南区住房和建设服务中心</w:t>
      </w:r>
      <w:r>
        <w:rPr>
          <w:rFonts w:hint="eastAsia" w:eastAsia="楷体"/>
          <w:color w:val="auto"/>
          <w:sz w:val="30"/>
          <w:szCs w:val="30"/>
          <w:u w:val="none"/>
        </w:rPr>
        <w:t>2022</w:t>
      </w:r>
      <w:r>
        <w:rPr>
          <w:rFonts w:hint="eastAsia" w:ascii="仿宋_GB2312" w:eastAsia="仿宋_GB2312" w:cs="仿宋_GB2312"/>
          <w:color w:val="auto"/>
          <w:sz w:val="30"/>
          <w:szCs w:val="30"/>
          <w:u w:val="none"/>
        </w:rPr>
        <w:t>年度已</w:t>
      </w:r>
      <w:r>
        <w:rPr>
          <w:rFonts w:hint="eastAsia" w:eastAsia="仿宋_GB2312"/>
          <w:color w:val="auto"/>
          <w:sz w:val="30"/>
          <w:szCs w:val="30"/>
          <w:u w:val="none"/>
        </w:rPr>
        <w:t>对</w:t>
      </w:r>
      <w:r>
        <w:rPr>
          <w:rFonts w:hint="eastAsia" w:eastAsia="仿宋_GB2312"/>
          <w:color w:val="auto"/>
          <w:sz w:val="30"/>
          <w:szCs w:val="30"/>
          <w:u w:val="none"/>
          <w:lang w:val="en-US" w:eastAsia="zh-CN"/>
        </w:rPr>
        <w:t>6</w:t>
      </w:r>
      <w:r>
        <w:rPr>
          <w:rFonts w:eastAsia="仿宋_GB2312"/>
          <w:color w:val="auto"/>
          <w:sz w:val="30"/>
          <w:szCs w:val="30"/>
          <w:u w:val="none"/>
        </w:rPr>
        <w:t>个</w:t>
      </w:r>
      <w:r>
        <w:rPr>
          <w:rFonts w:hint="eastAsia" w:eastAsia="仿宋_GB2312"/>
          <w:color w:val="auto"/>
          <w:sz w:val="30"/>
          <w:szCs w:val="30"/>
          <w:u w:val="none"/>
        </w:rPr>
        <w:t>区级</w:t>
      </w:r>
      <w:r>
        <w:rPr>
          <w:rFonts w:eastAsia="仿宋_GB2312"/>
          <w:color w:val="auto"/>
          <w:sz w:val="30"/>
          <w:szCs w:val="30"/>
          <w:u w:val="none"/>
        </w:rPr>
        <w:t>项目开展绩效自评，涉及金额</w:t>
      </w:r>
      <w:r>
        <w:rPr>
          <w:rFonts w:hint="eastAsia" w:eastAsia="仿宋_GB2312"/>
          <w:color w:val="auto"/>
          <w:sz w:val="30"/>
          <w:szCs w:val="30"/>
          <w:u w:val="none"/>
          <w:lang w:val="en-US" w:eastAsia="zh-CN"/>
        </w:rPr>
        <w:t>63706000</w:t>
      </w:r>
      <w:r>
        <w:rPr>
          <w:rFonts w:eastAsia="仿宋_GB2312"/>
          <w:color w:val="auto"/>
          <w:sz w:val="30"/>
          <w:szCs w:val="30"/>
          <w:u w:val="none"/>
        </w:rPr>
        <w:t>元</w:t>
      </w:r>
      <w:r>
        <w:rPr>
          <w:rFonts w:hint="eastAsia" w:eastAsia="仿宋_GB2312"/>
          <w:color w:val="auto"/>
          <w:sz w:val="30"/>
          <w:szCs w:val="30"/>
          <w:u w:val="none"/>
        </w:rPr>
        <w:t>，自评结果已</w:t>
      </w:r>
      <w:r>
        <w:rPr>
          <w:rFonts w:hint="eastAsia" w:eastAsia="仿宋_GB2312"/>
          <w:sz w:val="30"/>
          <w:szCs w:val="30"/>
          <w:u w:val="none"/>
        </w:rPr>
        <w:t>随部门决算一并公开。</w:t>
      </w:r>
    </w:p>
    <w:p>
      <w:pPr>
        <w:pStyle w:val="5"/>
        <w:spacing w:before="0" w:after="0" w:line="600" w:lineRule="exact"/>
        <w:ind w:firstLine="600" w:firstLineChars="200"/>
        <w:rPr>
          <w:rFonts w:ascii="Times New Roman" w:hAnsi="Times New Roman" w:eastAsia="黑体"/>
          <w:b w:val="0"/>
          <w:sz w:val="30"/>
          <w:szCs w:val="30"/>
          <w:u w:val="none"/>
        </w:rPr>
      </w:pPr>
      <w:bookmarkStart w:id="30" w:name="_Toc15949"/>
      <w:r>
        <w:rPr>
          <w:rFonts w:hint="eastAsia" w:ascii="Times New Roman" w:hAnsi="Times New Roman" w:eastAsia="黑体"/>
          <w:b w:val="0"/>
          <w:sz w:val="30"/>
          <w:szCs w:val="30"/>
          <w:u w:val="none"/>
        </w:rPr>
        <w:t>十四、</w:t>
      </w:r>
      <w:r>
        <w:rPr>
          <w:rFonts w:ascii="Times New Roman" w:hAnsi="Times New Roman" w:eastAsia="黑体"/>
          <w:b w:val="0"/>
          <w:sz w:val="30"/>
          <w:szCs w:val="30"/>
          <w:u w:val="none"/>
        </w:rPr>
        <w:t>教育、医疗卫生、社会保障和就业、住房保障、涉农补贴等民生支出情况</w:t>
      </w:r>
      <w:r>
        <w:rPr>
          <w:rFonts w:hint="eastAsia" w:ascii="黑体" w:hAnsi="黑体" w:eastAsia="黑体"/>
          <w:b w:val="0"/>
          <w:bCs w:val="0"/>
          <w:sz w:val="30"/>
          <w:szCs w:val="30"/>
          <w:u w:val="none"/>
        </w:rPr>
        <w:t>说明</w:t>
      </w:r>
      <w:bookmarkEnd w:id="30"/>
    </w:p>
    <w:p>
      <w:pPr>
        <w:spacing w:line="600" w:lineRule="exact"/>
        <w:ind w:firstLine="645"/>
        <w:jc w:val="both"/>
        <w:rPr>
          <w:rFonts w:ascii="仿宋_GB2312" w:eastAsia="仿宋_GB2312" w:cs="仿宋_GB2312"/>
          <w:sz w:val="30"/>
          <w:szCs w:val="30"/>
          <w:u w:val="none"/>
        </w:rPr>
        <w:sectPr>
          <w:pgSz w:w="11906" w:h="16838"/>
          <w:pgMar w:top="1440" w:right="1800" w:bottom="1440" w:left="1800" w:header="851" w:footer="992" w:gutter="0"/>
          <w:cols w:space="720" w:num="1"/>
          <w:docGrid w:type="lines" w:linePitch="312" w:charSpace="0"/>
        </w:sectPr>
      </w:pPr>
      <w:r>
        <w:rPr>
          <w:rFonts w:hint="eastAsia" w:ascii="仿宋_GB2312" w:eastAsia="仿宋_GB2312" w:cs="仿宋_GB2312"/>
          <w:sz w:val="30"/>
          <w:szCs w:val="30"/>
          <w:u w:val="none"/>
        </w:rPr>
        <w:t>天津市津南区住房和建设服务中心不属于乡、镇、街级单位，不涉及公开2022年度教育、医疗卫生、社会保障和就业、住房保障、涉农补贴等民生支出情况。</w:t>
      </w:r>
    </w:p>
    <w:p>
      <w:pPr>
        <w:pStyle w:val="4"/>
        <w:spacing w:before="0" w:after="0" w:line="600" w:lineRule="exact"/>
        <w:jc w:val="center"/>
        <w:rPr>
          <w:rFonts w:ascii="方正小标宋简体" w:hAnsi="方正小标宋简体" w:eastAsia="方正小标宋简体" w:cs="方正小标宋简体"/>
          <w:b w:val="0"/>
          <w:u w:val="none"/>
        </w:rPr>
      </w:pPr>
      <w:bookmarkStart w:id="31" w:name="_Toc30612"/>
      <w:r>
        <w:rPr>
          <w:rFonts w:hint="eastAsia" w:ascii="方正小标宋简体" w:hAnsi="方正小标宋简体" w:eastAsia="方正小标宋简体" w:cs="方正小标宋简体"/>
          <w:b w:val="0"/>
          <w:u w:val="none"/>
        </w:rPr>
        <w:t>第四部分  名词解释</w:t>
      </w:r>
      <w:bookmarkEnd w:id="31"/>
    </w:p>
    <w:p>
      <w:pPr>
        <w:spacing w:line="600" w:lineRule="exact"/>
        <w:ind w:firstLine="600" w:firstLineChars="200"/>
        <w:rPr>
          <w:rFonts w:ascii="仿宋_GB2312" w:eastAsia="仿宋_GB2312"/>
          <w:sz w:val="30"/>
          <w:szCs w:val="30"/>
          <w:u w:val="none"/>
        </w:rPr>
      </w:pPr>
    </w:p>
    <w:p>
      <w:pPr>
        <w:numPr>
          <w:ilvl w:val="0"/>
          <w:numId w:val="3"/>
        </w:numPr>
        <w:spacing w:line="600" w:lineRule="exact"/>
        <w:ind w:firstLine="600" w:firstLineChars="200"/>
        <w:rPr>
          <w:rFonts w:eastAsia="仿宋_GB2312"/>
          <w:sz w:val="30"/>
          <w:szCs w:val="30"/>
          <w:u w:val="none"/>
        </w:rPr>
      </w:pPr>
      <w:r>
        <w:rPr>
          <w:rFonts w:hint="eastAsia" w:eastAsia="仿宋_GB2312"/>
          <w:sz w:val="30"/>
          <w:szCs w:val="30"/>
          <w:u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u w:val="none"/>
        </w:rPr>
      </w:pPr>
      <w:r>
        <w:rPr>
          <w:rFonts w:hint="eastAsia" w:eastAsia="仿宋_GB2312"/>
          <w:sz w:val="30"/>
          <w:szCs w:val="30"/>
          <w:u w:val="none"/>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u w:val="none"/>
        </w:rPr>
      </w:pPr>
      <w:r>
        <w:rPr>
          <w:rFonts w:hint="eastAsia" w:eastAsia="仿宋_GB2312"/>
          <w:sz w:val="30"/>
          <w:szCs w:val="30"/>
          <w:u w:val="none"/>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u w:val="none"/>
        </w:rPr>
      </w:pPr>
    </w:p>
    <w:p>
      <w:pPr>
        <w:pStyle w:val="2"/>
        <w:rPr>
          <w:rFonts w:eastAsia="仿宋_GB2312"/>
          <w:sz w:val="30"/>
          <w:szCs w:val="30"/>
          <w:highlight w:val="yellow"/>
          <w:u w:val="none"/>
        </w:rPr>
      </w:pPr>
    </w:p>
    <w:p>
      <w:pPr>
        <w:pStyle w:val="2"/>
        <w:rPr>
          <w:rFonts w:eastAsia="仿宋_GB2312"/>
          <w:sz w:val="30"/>
          <w:szCs w:val="30"/>
          <w:highlight w:val="yellow"/>
          <w:u w:val="none"/>
        </w:rPr>
      </w:pPr>
    </w:p>
    <w:p>
      <w:pPr>
        <w:pStyle w:val="2"/>
        <w:rPr>
          <w:rFonts w:eastAsia="仿宋_GB2312"/>
          <w:sz w:val="30"/>
          <w:szCs w:val="30"/>
          <w:highlight w:val="yellow"/>
          <w:u w:val="none"/>
        </w:rPr>
      </w:pPr>
    </w:p>
    <w:p>
      <w:pPr>
        <w:pStyle w:val="2"/>
        <w:rPr>
          <w:rFonts w:hint="eastAsia" w:eastAsia="仿宋_GB2312"/>
          <w:sz w:val="30"/>
          <w:szCs w:val="30"/>
          <w:highlight w:val="yellow"/>
          <w:u w:val="none"/>
          <w:lang w:eastAsia="zh-CN"/>
        </w:rPr>
      </w:pPr>
    </w:p>
    <w:sectPr>
      <w:footerReference r:id="rId9"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Arial Unicode MS"/>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A6DC5"/>
    <w:multiLevelType w:val="singleLevel"/>
    <w:tmpl w:val="403A6DC5"/>
    <w:lvl w:ilvl="0" w:tentative="0">
      <w:start w:val="12"/>
      <w:numFmt w:val="chineseCounting"/>
      <w:suff w:val="nothing"/>
      <w:lvlText w:val="%1、"/>
      <w:lvlJc w:val="left"/>
      <w:rPr>
        <w:rFonts w:hint="eastAsia"/>
      </w:rPr>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ZmViYWJkZWE5NTNjYmNmZTAyNjhmNDI2ZWJjMWEifQ=="/>
  </w:docVars>
  <w:rsids>
    <w:rsidRoot w:val="00172A27"/>
    <w:rsid w:val="00015911"/>
    <w:rsid w:val="000423B8"/>
    <w:rsid w:val="00046E1C"/>
    <w:rsid w:val="00053901"/>
    <w:rsid w:val="000864BF"/>
    <w:rsid w:val="00092AB8"/>
    <w:rsid w:val="000B4E39"/>
    <w:rsid w:val="00112C55"/>
    <w:rsid w:val="001179AF"/>
    <w:rsid w:val="0012059C"/>
    <w:rsid w:val="00124993"/>
    <w:rsid w:val="0012531C"/>
    <w:rsid w:val="00126E2D"/>
    <w:rsid w:val="00172A27"/>
    <w:rsid w:val="001829A0"/>
    <w:rsid w:val="00186ED8"/>
    <w:rsid w:val="001974AC"/>
    <w:rsid w:val="001F61CD"/>
    <w:rsid w:val="00215444"/>
    <w:rsid w:val="00215EBD"/>
    <w:rsid w:val="00241712"/>
    <w:rsid w:val="002532F7"/>
    <w:rsid w:val="002566ED"/>
    <w:rsid w:val="00257643"/>
    <w:rsid w:val="002912A7"/>
    <w:rsid w:val="002D2BBE"/>
    <w:rsid w:val="002E091E"/>
    <w:rsid w:val="002F00A9"/>
    <w:rsid w:val="003365DD"/>
    <w:rsid w:val="00352CF7"/>
    <w:rsid w:val="003714D5"/>
    <w:rsid w:val="00381206"/>
    <w:rsid w:val="0038216E"/>
    <w:rsid w:val="003942CD"/>
    <w:rsid w:val="003A4529"/>
    <w:rsid w:val="003F6DF5"/>
    <w:rsid w:val="004040D1"/>
    <w:rsid w:val="00432D37"/>
    <w:rsid w:val="0044208E"/>
    <w:rsid w:val="00464079"/>
    <w:rsid w:val="00465602"/>
    <w:rsid w:val="004918AD"/>
    <w:rsid w:val="004A1361"/>
    <w:rsid w:val="0050332F"/>
    <w:rsid w:val="00532C4C"/>
    <w:rsid w:val="00570354"/>
    <w:rsid w:val="005B60DB"/>
    <w:rsid w:val="005C22AF"/>
    <w:rsid w:val="005F2510"/>
    <w:rsid w:val="00676A5E"/>
    <w:rsid w:val="006A54BF"/>
    <w:rsid w:val="006D05B2"/>
    <w:rsid w:val="00722412"/>
    <w:rsid w:val="00727434"/>
    <w:rsid w:val="00734D29"/>
    <w:rsid w:val="0077787E"/>
    <w:rsid w:val="0079348B"/>
    <w:rsid w:val="007A3491"/>
    <w:rsid w:val="007B4B58"/>
    <w:rsid w:val="007B78DD"/>
    <w:rsid w:val="007F3679"/>
    <w:rsid w:val="007F448B"/>
    <w:rsid w:val="007F718E"/>
    <w:rsid w:val="00801B2B"/>
    <w:rsid w:val="0080287C"/>
    <w:rsid w:val="00803B43"/>
    <w:rsid w:val="00817AE2"/>
    <w:rsid w:val="008405C5"/>
    <w:rsid w:val="0085671E"/>
    <w:rsid w:val="00876FA4"/>
    <w:rsid w:val="00893EAC"/>
    <w:rsid w:val="008A6092"/>
    <w:rsid w:val="008C19C3"/>
    <w:rsid w:val="008C3474"/>
    <w:rsid w:val="008C677C"/>
    <w:rsid w:val="008D2605"/>
    <w:rsid w:val="008D64CE"/>
    <w:rsid w:val="008E4334"/>
    <w:rsid w:val="009142B8"/>
    <w:rsid w:val="00915276"/>
    <w:rsid w:val="00936468"/>
    <w:rsid w:val="009371C3"/>
    <w:rsid w:val="00977064"/>
    <w:rsid w:val="0098387F"/>
    <w:rsid w:val="009D4654"/>
    <w:rsid w:val="009E0EF5"/>
    <w:rsid w:val="009F18E1"/>
    <w:rsid w:val="009F712F"/>
    <w:rsid w:val="00A12C57"/>
    <w:rsid w:val="00A557F8"/>
    <w:rsid w:val="00A65FA1"/>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81609"/>
    <w:rsid w:val="00DA3A83"/>
    <w:rsid w:val="00DB0D2B"/>
    <w:rsid w:val="00DC0D31"/>
    <w:rsid w:val="00E124DF"/>
    <w:rsid w:val="00E21DD7"/>
    <w:rsid w:val="00E4337C"/>
    <w:rsid w:val="00E56EBF"/>
    <w:rsid w:val="00E56F06"/>
    <w:rsid w:val="00E576CC"/>
    <w:rsid w:val="00E8795B"/>
    <w:rsid w:val="00EB277E"/>
    <w:rsid w:val="00EB7B3B"/>
    <w:rsid w:val="00F01373"/>
    <w:rsid w:val="00F14DB8"/>
    <w:rsid w:val="00F3454D"/>
    <w:rsid w:val="00F3737B"/>
    <w:rsid w:val="00F6315A"/>
    <w:rsid w:val="00FF6CDB"/>
    <w:rsid w:val="01582EB3"/>
    <w:rsid w:val="01670A75"/>
    <w:rsid w:val="01D92F4B"/>
    <w:rsid w:val="021D09AE"/>
    <w:rsid w:val="02317CA1"/>
    <w:rsid w:val="02C26D17"/>
    <w:rsid w:val="032B2B72"/>
    <w:rsid w:val="03633F1C"/>
    <w:rsid w:val="03767EB5"/>
    <w:rsid w:val="03877CF5"/>
    <w:rsid w:val="03971CD2"/>
    <w:rsid w:val="03997587"/>
    <w:rsid w:val="03A73B20"/>
    <w:rsid w:val="04D27C6A"/>
    <w:rsid w:val="04DA6E85"/>
    <w:rsid w:val="054E0E8D"/>
    <w:rsid w:val="05901C8F"/>
    <w:rsid w:val="059D199E"/>
    <w:rsid w:val="06516202"/>
    <w:rsid w:val="065A73D7"/>
    <w:rsid w:val="068D56CD"/>
    <w:rsid w:val="068F1656"/>
    <w:rsid w:val="06CE3C39"/>
    <w:rsid w:val="070745F4"/>
    <w:rsid w:val="0750320D"/>
    <w:rsid w:val="080C427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196955"/>
    <w:rsid w:val="10D0376E"/>
    <w:rsid w:val="11D75F2F"/>
    <w:rsid w:val="11D802DB"/>
    <w:rsid w:val="121401BA"/>
    <w:rsid w:val="122B009F"/>
    <w:rsid w:val="12946208"/>
    <w:rsid w:val="135D03D9"/>
    <w:rsid w:val="13A17616"/>
    <w:rsid w:val="144F5DF3"/>
    <w:rsid w:val="149264E6"/>
    <w:rsid w:val="14A04A70"/>
    <w:rsid w:val="14F31DE2"/>
    <w:rsid w:val="15127621"/>
    <w:rsid w:val="156A2C3E"/>
    <w:rsid w:val="157A3189"/>
    <w:rsid w:val="15E37C52"/>
    <w:rsid w:val="169221B4"/>
    <w:rsid w:val="16EA0A1B"/>
    <w:rsid w:val="17A617C9"/>
    <w:rsid w:val="181D0AF6"/>
    <w:rsid w:val="18E12A26"/>
    <w:rsid w:val="1A2F34CF"/>
    <w:rsid w:val="1ABF0B04"/>
    <w:rsid w:val="1B0B6786"/>
    <w:rsid w:val="1B8126FA"/>
    <w:rsid w:val="1BCC4E67"/>
    <w:rsid w:val="1BE24A05"/>
    <w:rsid w:val="1C12375B"/>
    <w:rsid w:val="1C2E1750"/>
    <w:rsid w:val="1C8A5079"/>
    <w:rsid w:val="1D520C3E"/>
    <w:rsid w:val="1DA340AC"/>
    <w:rsid w:val="1E2F4E67"/>
    <w:rsid w:val="1E506972"/>
    <w:rsid w:val="1E8146FC"/>
    <w:rsid w:val="1E9B145E"/>
    <w:rsid w:val="1EC8639D"/>
    <w:rsid w:val="1EC97805"/>
    <w:rsid w:val="1EFB07B0"/>
    <w:rsid w:val="1F6101B7"/>
    <w:rsid w:val="1F95E412"/>
    <w:rsid w:val="1FABD71D"/>
    <w:rsid w:val="20505929"/>
    <w:rsid w:val="2093268B"/>
    <w:rsid w:val="2145079D"/>
    <w:rsid w:val="228770CD"/>
    <w:rsid w:val="22A211C8"/>
    <w:rsid w:val="22F75B35"/>
    <w:rsid w:val="236906A5"/>
    <w:rsid w:val="23BA0D09"/>
    <w:rsid w:val="24593BF8"/>
    <w:rsid w:val="24BA0C0F"/>
    <w:rsid w:val="250B61A3"/>
    <w:rsid w:val="259F5563"/>
    <w:rsid w:val="25A662F9"/>
    <w:rsid w:val="25AD749C"/>
    <w:rsid w:val="25AE4162"/>
    <w:rsid w:val="261B2634"/>
    <w:rsid w:val="26872640"/>
    <w:rsid w:val="26C653DA"/>
    <w:rsid w:val="26EC5D21"/>
    <w:rsid w:val="27615821"/>
    <w:rsid w:val="27A13E6E"/>
    <w:rsid w:val="27A644E5"/>
    <w:rsid w:val="28863E70"/>
    <w:rsid w:val="288A6337"/>
    <w:rsid w:val="28994B2A"/>
    <w:rsid w:val="28CD1B01"/>
    <w:rsid w:val="290441D9"/>
    <w:rsid w:val="292E4395"/>
    <w:rsid w:val="29867FF5"/>
    <w:rsid w:val="29D72E63"/>
    <w:rsid w:val="29F01BC9"/>
    <w:rsid w:val="2A1248CB"/>
    <w:rsid w:val="2A24302B"/>
    <w:rsid w:val="2A7456B8"/>
    <w:rsid w:val="2B330D0F"/>
    <w:rsid w:val="2B5446D0"/>
    <w:rsid w:val="2C3B01C9"/>
    <w:rsid w:val="2CB024EC"/>
    <w:rsid w:val="2D2B1A30"/>
    <w:rsid w:val="2D5BB7F4"/>
    <w:rsid w:val="2DA87FE3"/>
    <w:rsid w:val="2DAB1C1C"/>
    <w:rsid w:val="2E6455AA"/>
    <w:rsid w:val="2E6E5875"/>
    <w:rsid w:val="2EAA1E45"/>
    <w:rsid w:val="2EBA2F30"/>
    <w:rsid w:val="2F8573F4"/>
    <w:rsid w:val="2FFC60D8"/>
    <w:rsid w:val="2FFD4B55"/>
    <w:rsid w:val="31F32BCC"/>
    <w:rsid w:val="322D5537"/>
    <w:rsid w:val="32500429"/>
    <w:rsid w:val="3266041C"/>
    <w:rsid w:val="32B00783"/>
    <w:rsid w:val="33987EA4"/>
    <w:rsid w:val="33E55770"/>
    <w:rsid w:val="342060B3"/>
    <w:rsid w:val="343041E9"/>
    <w:rsid w:val="343E2C5A"/>
    <w:rsid w:val="34E404B6"/>
    <w:rsid w:val="353874A5"/>
    <w:rsid w:val="356C4B0F"/>
    <w:rsid w:val="357756D0"/>
    <w:rsid w:val="35F83418"/>
    <w:rsid w:val="35FA3DA7"/>
    <w:rsid w:val="36433E0B"/>
    <w:rsid w:val="3685618C"/>
    <w:rsid w:val="369B027F"/>
    <w:rsid w:val="36DF7E92"/>
    <w:rsid w:val="37210A48"/>
    <w:rsid w:val="37C605ED"/>
    <w:rsid w:val="37EC07D4"/>
    <w:rsid w:val="38864387"/>
    <w:rsid w:val="39054161"/>
    <w:rsid w:val="395157DA"/>
    <w:rsid w:val="39CE1AF2"/>
    <w:rsid w:val="39D81DB4"/>
    <w:rsid w:val="39DD1F63"/>
    <w:rsid w:val="3A875795"/>
    <w:rsid w:val="3AFC3954"/>
    <w:rsid w:val="3B3A6848"/>
    <w:rsid w:val="3B5C22DF"/>
    <w:rsid w:val="3BF33A92"/>
    <w:rsid w:val="3C7702D9"/>
    <w:rsid w:val="3C822FFF"/>
    <w:rsid w:val="3C987755"/>
    <w:rsid w:val="3CFD792F"/>
    <w:rsid w:val="3D1712DB"/>
    <w:rsid w:val="3D6E4CFB"/>
    <w:rsid w:val="3DB948D9"/>
    <w:rsid w:val="3DBB85B2"/>
    <w:rsid w:val="3DED19CC"/>
    <w:rsid w:val="3E551C1D"/>
    <w:rsid w:val="3E6D1878"/>
    <w:rsid w:val="3EAA16DD"/>
    <w:rsid w:val="3EE7006C"/>
    <w:rsid w:val="3EFD4D9F"/>
    <w:rsid w:val="3F043070"/>
    <w:rsid w:val="3F397145"/>
    <w:rsid w:val="3F7DE8F6"/>
    <w:rsid w:val="419141BF"/>
    <w:rsid w:val="41C515FE"/>
    <w:rsid w:val="41F26234"/>
    <w:rsid w:val="42955F29"/>
    <w:rsid w:val="42C52D12"/>
    <w:rsid w:val="42EA0B90"/>
    <w:rsid w:val="436B23A2"/>
    <w:rsid w:val="436E1D48"/>
    <w:rsid w:val="442221E6"/>
    <w:rsid w:val="44FC0AD9"/>
    <w:rsid w:val="45C66F5A"/>
    <w:rsid w:val="45FB0186"/>
    <w:rsid w:val="464311BD"/>
    <w:rsid w:val="46762869"/>
    <w:rsid w:val="46800ECA"/>
    <w:rsid w:val="46D65DFF"/>
    <w:rsid w:val="46ED43C8"/>
    <w:rsid w:val="47655748"/>
    <w:rsid w:val="481F5D29"/>
    <w:rsid w:val="485B08F6"/>
    <w:rsid w:val="48E65506"/>
    <w:rsid w:val="49A95325"/>
    <w:rsid w:val="49C60D15"/>
    <w:rsid w:val="49EE18E7"/>
    <w:rsid w:val="4C6A01CF"/>
    <w:rsid w:val="4C72500A"/>
    <w:rsid w:val="4CDF34C7"/>
    <w:rsid w:val="4E470451"/>
    <w:rsid w:val="4E5A4E46"/>
    <w:rsid w:val="4E776E4B"/>
    <w:rsid w:val="4EBE5040"/>
    <w:rsid w:val="4EC635D4"/>
    <w:rsid w:val="4EF42DDE"/>
    <w:rsid w:val="4F021DFD"/>
    <w:rsid w:val="4F4E29DD"/>
    <w:rsid w:val="4FA93361"/>
    <w:rsid w:val="50491464"/>
    <w:rsid w:val="50EB4351"/>
    <w:rsid w:val="513E3E14"/>
    <w:rsid w:val="516E5D30"/>
    <w:rsid w:val="519A61B8"/>
    <w:rsid w:val="529328AD"/>
    <w:rsid w:val="52A26688"/>
    <w:rsid w:val="52C3106D"/>
    <w:rsid w:val="532D1C0A"/>
    <w:rsid w:val="53583E88"/>
    <w:rsid w:val="54D72BF4"/>
    <w:rsid w:val="54F6709D"/>
    <w:rsid w:val="566138B1"/>
    <w:rsid w:val="56832AE6"/>
    <w:rsid w:val="56F540E8"/>
    <w:rsid w:val="576B6402"/>
    <w:rsid w:val="57814C22"/>
    <w:rsid w:val="578BF31A"/>
    <w:rsid w:val="579303E0"/>
    <w:rsid w:val="57BD125F"/>
    <w:rsid w:val="57DB4D69"/>
    <w:rsid w:val="58CB2B06"/>
    <w:rsid w:val="59005937"/>
    <w:rsid w:val="596D5572"/>
    <w:rsid w:val="59DC23BD"/>
    <w:rsid w:val="59FDDF7E"/>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B56D9"/>
    <w:rsid w:val="5E7F01AB"/>
    <w:rsid w:val="5E910416"/>
    <w:rsid w:val="5E9D5B65"/>
    <w:rsid w:val="5F3BFFB0"/>
    <w:rsid w:val="5F905A69"/>
    <w:rsid w:val="5FC652D8"/>
    <w:rsid w:val="5FED0661"/>
    <w:rsid w:val="6043407E"/>
    <w:rsid w:val="605F74B4"/>
    <w:rsid w:val="607B68FE"/>
    <w:rsid w:val="60A81422"/>
    <w:rsid w:val="617007B5"/>
    <w:rsid w:val="61E56E86"/>
    <w:rsid w:val="621870FC"/>
    <w:rsid w:val="62DA2A3D"/>
    <w:rsid w:val="637B3A8F"/>
    <w:rsid w:val="63A65E89"/>
    <w:rsid w:val="65001203"/>
    <w:rsid w:val="65737FA2"/>
    <w:rsid w:val="65D920E1"/>
    <w:rsid w:val="65D9655D"/>
    <w:rsid w:val="6637149C"/>
    <w:rsid w:val="6656630C"/>
    <w:rsid w:val="66EC0C69"/>
    <w:rsid w:val="67AD24B8"/>
    <w:rsid w:val="67F5DAB5"/>
    <w:rsid w:val="68261741"/>
    <w:rsid w:val="693E2FAD"/>
    <w:rsid w:val="698062FC"/>
    <w:rsid w:val="69BD5EE8"/>
    <w:rsid w:val="6A740B43"/>
    <w:rsid w:val="6ABD46BF"/>
    <w:rsid w:val="6AF730BD"/>
    <w:rsid w:val="6B617BE2"/>
    <w:rsid w:val="6BA66029"/>
    <w:rsid w:val="6CA041B2"/>
    <w:rsid w:val="6CAE4CE7"/>
    <w:rsid w:val="6DDD5EBF"/>
    <w:rsid w:val="6DFC4CD2"/>
    <w:rsid w:val="6DFFE68A"/>
    <w:rsid w:val="6E2E2D6D"/>
    <w:rsid w:val="6E3F51B6"/>
    <w:rsid w:val="6E460B96"/>
    <w:rsid w:val="6EA82131"/>
    <w:rsid w:val="6EC35749"/>
    <w:rsid w:val="6EFFE50C"/>
    <w:rsid w:val="6F046708"/>
    <w:rsid w:val="6F5D3AF3"/>
    <w:rsid w:val="6F68529E"/>
    <w:rsid w:val="6FB410D2"/>
    <w:rsid w:val="6FC54BEF"/>
    <w:rsid w:val="706921FA"/>
    <w:rsid w:val="70B22C23"/>
    <w:rsid w:val="71411B5D"/>
    <w:rsid w:val="719931E1"/>
    <w:rsid w:val="7240055A"/>
    <w:rsid w:val="728E0BA0"/>
    <w:rsid w:val="73134A0E"/>
    <w:rsid w:val="736064A7"/>
    <w:rsid w:val="736159D6"/>
    <w:rsid w:val="73F71039"/>
    <w:rsid w:val="73F91498"/>
    <w:rsid w:val="74D5337C"/>
    <w:rsid w:val="74D975E2"/>
    <w:rsid w:val="756B7D6A"/>
    <w:rsid w:val="757C417D"/>
    <w:rsid w:val="759455DB"/>
    <w:rsid w:val="75D160D9"/>
    <w:rsid w:val="762914BB"/>
    <w:rsid w:val="76685F07"/>
    <w:rsid w:val="773A73AB"/>
    <w:rsid w:val="775767BB"/>
    <w:rsid w:val="7779068F"/>
    <w:rsid w:val="778F9F28"/>
    <w:rsid w:val="77B92148"/>
    <w:rsid w:val="77BBCBDD"/>
    <w:rsid w:val="77DE5F5F"/>
    <w:rsid w:val="77FFE39F"/>
    <w:rsid w:val="781B1736"/>
    <w:rsid w:val="78E55B9E"/>
    <w:rsid w:val="78F051A8"/>
    <w:rsid w:val="79EF18A6"/>
    <w:rsid w:val="7A903B21"/>
    <w:rsid w:val="7AC3080E"/>
    <w:rsid w:val="7BE75A9A"/>
    <w:rsid w:val="7C23124E"/>
    <w:rsid w:val="7CF2196B"/>
    <w:rsid w:val="7D2E7430"/>
    <w:rsid w:val="7D993EC8"/>
    <w:rsid w:val="7D9A013D"/>
    <w:rsid w:val="7DFD755F"/>
    <w:rsid w:val="7DFFBC82"/>
    <w:rsid w:val="7E9160CF"/>
    <w:rsid w:val="7EBDD9F3"/>
    <w:rsid w:val="7EC677D3"/>
    <w:rsid w:val="7ED6EDEC"/>
    <w:rsid w:val="7F6BF451"/>
    <w:rsid w:val="7F97433C"/>
    <w:rsid w:val="7FDC2489"/>
    <w:rsid w:val="7FEA1BF2"/>
    <w:rsid w:val="7FFDEEFD"/>
    <w:rsid w:val="97BA0D27"/>
    <w:rsid w:val="97C657C7"/>
    <w:rsid w:val="AD6F6894"/>
    <w:rsid w:val="AE96A30A"/>
    <w:rsid w:val="B2F38476"/>
    <w:rsid w:val="B6331056"/>
    <w:rsid w:val="B6BE7B86"/>
    <w:rsid w:val="BB3EEE4A"/>
    <w:rsid w:val="BBFEB28B"/>
    <w:rsid w:val="BCFFF71D"/>
    <w:rsid w:val="BFD76EDB"/>
    <w:rsid w:val="BFFD5FAC"/>
    <w:rsid w:val="CAF7027E"/>
    <w:rsid w:val="CBCE7262"/>
    <w:rsid w:val="D74BC04F"/>
    <w:rsid w:val="D74FDF30"/>
    <w:rsid w:val="D9FD1EE1"/>
    <w:rsid w:val="DBF6CE79"/>
    <w:rsid w:val="DDD5C383"/>
    <w:rsid w:val="DEAEE68D"/>
    <w:rsid w:val="DFEF47F0"/>
    <w:rsid w:val="DFFF54C2"/>
    <w:rsid w:val="E3DBFBAA"/>
    <w:rsid w:val="E7FF5377"/>
    <w:rsid w:val="EAAFE31A"/>
    <w:rsid w:val="EE5D955E"/>
    <w:rsid w:val="EF5F9F58"/>
    <w:rsid w:val="EF7B7339"/>
    <w:rsid w:val="EFDEE239"/>
    <w:rsid w:val="F3FF30D6"/>
    <w:rsid w:val="F4EFB5B1"/>
    <w:rsid w:val="F7F7F2E0"/>
    <w:rsid w:val="F7F97754"/>
    <w:rsid w:val="FB7FC3E7"/>
    <w:rsid w:val="FBDD17D0"/>
    <w:rsid w:val="FC3FBDEC"/>
    <w:rsid w:val="FF3F61B6"/>
    <w:rsid w:val="FFBE5A16"/>
    <w:rsid w:val="FFC7ECE8"/>
    <w:rsid w:val="FFF7FA2E"/>
    <w:rsid w:val="FFFDC05C"/>
    <w:rsid w:val="FFFF8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4">
    <w:name w:val="heading 1"/>
    <w:basedOn w:val="1"/>
    <w:next w:val="1"/>
    <w:link w:val="16"/>
    <w:qFormat/>
    <w:uiPriority w:val="9"/>
    <w:pPr>
      <w:keepNext/>
      <w:keepLines/>
      <w:spacing w:before="340" w:after="330" w:line="578" w:lineRule="atLeast"/>
      <w:outlineLvl w:val="0"/>
    </w:pPr>
    <w:rPr>
      <w:b/>
      <w:bCs/>
      <w:kern w:val="44"/>
      <w:sz w:val="44"/>
      <w:szCs w:val="44"/>
    </w:rPr>
  </w:style>
  <w:style w:type="paragraph" w:styleId="5">
    <w:name w:val="heading 2"/>
    <w:basedOn w:val="1"/>
    <w:next w:val="1"/>
    <w:link w:val="17"/>
    <w:unhideWhenUsed/>
    <w:qFormat/>
    <w:uiPriority w:val="9"/>
    <w:pPr>
      <w:keepNext/>
      <w:keepLines/>
      <w:spacing w:before="260" w:after="260" w:line="416" w:lineRule="atLeast"/>
      <w:outlineLvl w:val="1"/>
    </w:pPr>
    <w:rPr>
      <w:rFonts w:ascii="Cambria" w:hAnsi="Cambria"/>
      <w:b/>
      <w:bCs/>
      <w:sz w:val="32"/>
      <w:szCs w:val="32"/>
    </w:rPr>
  </w:style>
  <w:style w:type="paragraph" w:styleId="6">
    <w:name w:val="heading 3"/>
    <w:basedOn w:val="1"/>
    <w:next w:val="1"/>
    <w:link w:val="18"/>
    <w:unhideWhenUsed/>
    <w:qFormat/>
    <w:uiPriority w:val="9"/>
    <w:pPr>
      <w:keepNext/>
      <w:keepLines/>
      <w:spacing w:before="260" w:after="260" w:line="416" w:lineRule="atLeast"/>
      <w:outlineLvl w:val="2"/>
    </w:pPr>
    <w:rPr>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Times New Roman" w:hAnsi="Times New Roman" w:eastAsia="宋体" w:cs="Times New Roman"/>
      <w:szCs w:val="24"/>
    </w:rPr>
  </w:style>
  <w:style w:type="paragraph" w:styleId="3">
    <w:name w:val="Body Text Indent"/>
    <w:basedOn w:val="1"/>
    <w:qFormat/>
    <w:uiPriority w:val="0"/>
    <w:pPr>
      <w:spacing w:after="120" w:afterLines="0"/>
      <w:ind w:left="420" w:leftChars="200"/>
    </w:pPr>
  </w:style>
  <w:style w:type="paragraph" w:styleId="7">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8">
    <w:name w:val="Balloon Text"/>
    <w:basedOn w:val="1"/>
    <w:link w:val="19"/>
    <w:unhideWhenUsed/>
    <w:qFormat/>
    <w:uiPriority w:val="99"/>
    <w:pPr>
      <w:spacing w:line="240" w:lineRule="auto"/>
    </w:pPr>
    <w:rPr>
      <w:sz w:val="18"/>
      <w:szCs w:val="18"/>
    </w:rPr>
  </w:style>
  <w:style w:type="paragraph" w:styleId="9">
    <w:name w:val="footer"/>
    <w:basedOn w:val="1"/>
    <w:link w:val="20"/>
    <w:unhideWhenUsed/>
    <w:qFormat/>
    <w:uiPriority w:val="0"/>
    <w:pPr>
      <w:tabs>
        <w:tab w:val="center" w:pos="4153"/>
        <w:tab w:val="right" w:pos="8306"/>
      </w:tabs>
      <w:snapToGrid w:val="0"/>
      <w:spacing w:line="240" w:lineRule="atLeast"/>
    </w:pPr>
    <w:rPr>
      <w:sz w:val="18"/>
      <w:szCs w:val="18"/>
    </w:rPr>
  </w:style>
  <w:style w:type="paragraph" w:styleId="10">
    <w:name w:val="header"/>
    <w:basedOn w:val="1"/>
    <w:link w:val="21"/>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1">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2">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5">
    <w:name w:val="Hyperlink"/>
    <w:unhideWhenUsed/>
    <w:qFormat/>
    <w:uiPriority w:val="99"/>
    <w:rPr>
      <w:color w:val="0000FF"/>
      <w:u w:val="single"/>
    </w:rPr>
  </w:style>
  <w:style w:type="character" w:customStyle="1" w:styleId="16">
    <w:name w:val="标题 1 字符"/>
    <w:link w:val="4"/>
    <w:qFormat/>
    <w:uiPriority w:val="9"/>
    <w:rPr>
      <w:b/>
      <w:bCs/>
      <w:kern w:val="44"/>
      <w:sz w:val="44"/>
      <w:szCs w:val="44"/>
    </w:rPr>
  </w:style>
  <w:style w:type="character" w:customStyle="1" w:styleId="17">
    <w:name w:val="标题 2 字符"/>
    <w:link w:val="5"/>
    <w:semiHidden/>
    <w:qFormat/>
    <w:uiPriority w:val="9"/>
    <w:rPr>
      <w:rFonts w:ascii="Cambria" w:hAnsi="Cambria" w:eastAsia="宋体" w:cs="Times New Roman"/>
      <w:b/>
      <w:bCs/>
      <w:sz w:val="32"/>
      <w:szCs w:val="32"/>
    </w:rPr>
  </w:style>
  <w:style w:type="character" w:customStyle="1" w:styleId="18">
    <w:name w:val="标题 3 字符"/>
    <w:link w:val="6"/>
    <w:semiHidden/>
    <w:qFormat/>
    <w:uiPriority w:val="9"/>
    <w:rPr>
      <w:b/>
      <w:bCs/>
      <w:sz w:val="32"/>
      <w:szCs w:val="32"/>
    </w:rPr>
  </w:style>
  <w:style w:type="character" w:customStyle="1" w:styleId="19">
    <w:name w:val="批注框文本 字符"/>
    <w:link w:val="8"/>
    <w:semiHidden/>
    <w:qFormat/>
    <w:uiPriority w:val="99"/>
    <w:rPr>
      <w:sz w:val="18"/>
      <w:szCs w:val="18"/>
    </w:rPr>
  </w:style>
  <w:style w:type="character" w:customStyle="1" w:styleId="20">
    <w:name w:val="页脚 字符"/>
    <w:link w:val="9"/>
    <w:semiHidden/>
    <w:qFormat/>
    <w:uiPriority w:val="0"/>
    <w:rPr>
      <w:sz w:val="18"/>
      <w:szCs w:val="18"/>
    </w:rPr>
  </w:style>
  <w:style w:type="character" w:customStyle="1" w:styleId="21">
    <w:name w:val="页眉 字符"/>
    <w:link w:val="10"/>
    <w:semiHidden/>
    <w:qFormat/>
    <w:uiPriority w:val="0"/>
    <w:rPr>
      <w:sz w:val="18"/>
      <w:szCs w:val="18"/>
    </w:rPr>
  </w:style>
  <w:style w:type="paragraph" w:customStyle="1" w:styleId="22">
    <w:name w:val="TOC 标题1"/>
    <w:basedOn w:val="4"/>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1141</Words>
  <Characters>6505</Characters>
  <Lines>54</Lines>
  <Paragraphs>15</Paragraphs>
  <TotalTime>1</TotalTime>
  <ScaleCrop>false</ScaleCrop>
  <LinksUpToDate>false</LinksUpToDate>
  <CharactersWithSpaces>7631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2019-07-29T18:37:00Z</dcterms:created>
  <dc:creator>Administrator</dc:creator>
  <cp:lastModifiedBy>侯亚琪</cp:lastModifiedBy>
  <cp:lastPrinted>2012-09-21T06:00:00Z</cp:lastPrinted>
  <dcterms:modified xsi:type="dcterms:W3CDTF">2023-10-11T07:44:34Z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9A5A5EE9A217429390CCEBB6E57DBCDB_13</vt:lpwstr>
  </property>
</Properties>
</file>