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天津市津南区工程建设交易服务中心</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5</w:t>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7</w:t>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7</w:t>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9</w:t>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9</w:t>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9</w:t>
      </w:r>
      <w:r>
        <w:rPr>
          <w:rFonts w:hint="eastAsia" w:ascii="仿宋_GB2312" w:hAnsi="Times New Roman" w:eastAsia="仿宋_GB2312"/>
          <w:sz w:val="30"/>
          <w:szCs w:val="30"/>
        </w:rPr>
        <w:fldChar w:fldCharType="end"/>
      </w:r>
    </w:p>
    <w:p>
      <w:pPr>
        <w:pStyle w:val="10"/>
        <w:tabs>
          <w:tab w:val="right" w:leader="dot" w:pos="8306"/>
        </w:tabs>
        <w:rPr>
          <w:rFonts w:hint="eastAsia" w:ascii="仿宋_GB2312" w:hAnsi="Times New Roman" w:eastAsia="仿宋_GB2312"/>
          <w:sz w:val="30"/>
          <w:szCs w:val="30"/>
          <w:lang w:val="en-US" w:eastAsia="zh-CN"/>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lang w:val="en-US" w:eastAsia="zh-CN"/>
        </w:rPr>
        <w:t>0</w:t>
      </w:r>
    </w:p>
    <w:p>
      <w:pPr>
        <w:pStyle w:val="10"/>
        <w:tabs>
          <w:tab w:val="right" w:leader="dot" w:pos="8306"/>
        </w:tabs>
        <w:rPr>
          <w:rFonts w:hint="eastAsia" w:ascii="仿宋_GB2312" w:hAnsi="Times New Roman" w:eastAsia="仿宋_GB2312"/>
          <w:sz w:val="30"/>
          <w:szCs w:val="30"/>
          <w:lang w:val="en-US" w:eastAsia="zh-CN"/>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lang w:val="en-US" w:eastAsia="zh-CN"/>
        </w:rPr>
        <w:t>0</w:t>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11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bookmarkStart w:id="32" w:name="_GoBack"/>
      <w:bookmarkEnd w:id="32"/>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600" w:lineRule="exact"/>
        <w:ind w:firstLine="640" w:firstLineChars="200"/>
        <w:rPr>
          <w:rFonts w:hint="eastAsia" w:ascii="仿宋_GB2312" w:eastAsia="仿宋_GB2312"/>
          <w:sz w:val="30"/>
          <w:szCs w:val="30"/>
        </w:rPr>
      </w:pPr>
      <w:bookmarkStart w:id="2" w:name="_Toc17388"/>
      <w:r>
        <w:rPr>
          <w:rFonts w:hint="eastAsia" w:ascii="仿宋" w:hAnsi="仿宋" w:eastAsia="仿宋" w:cs="仿宋"/>
          <w:sz w:val="32"/>
          <w:szCs w:val="32"/>
        </w:rPr>
        <w:t>承担对房屋建筑和市政基础设施项目招投标工作进行服务</w:t>
      </w:r>
      <w:r>
        <w:rPr>
          <w:rFonts w:hint="eastAsia" w:ascii="仿宋" w:hAnsi="仿宋" w:eastAsia="仿宋" w:cs="仿宋"/>
          <w:sz w:val="32"/>
          <w:szCs w:val="32"/>
          <w:lang w:val="en-US" w:eastAsia="zh-CN"/>
        </w:rPr>
        <w:t>;</w:t>
      </w:r>
      <w:r>
        <w:rPr>
          <w:rFonts w:hint="eastAsia" w:ascii="仿宋" w:hAnsi="仿宋" w:eastAsia="仿宋" w:cs="仿宋"/>
          <w:sz w:val="32"/>
          <w:szCs w:val="32"/>
        </w:rPr>
        <w:t>承担绿色建筑、建筑节能、装配式建筑</w:t>
      </w:r>
      <w:r>
        <w:rPr>
          <w:rFonts w:hint="eastAsia" w:ascii="仿宋" w:hAnsi="仿宋" w:eastAsia="仿宋" w:cs="仿宋"/>
          <w:sz w:val="32"/>
          <w:szCs w:val="32"/>
          <w:lang w:eastAsia="zh-CN"/>
        </w:rPr>
        <w:t>和建筑科技</w:t>
      </w:r>
      <w:r>
        <w:rPr>
          <w:rFonts w:hint="eastAsia" w:ascii="仿宋" w:hAnsi="仿宋" w:eastAsia="仿宋" w:cs="仿宋"/>
          <w:sz w:val="32"/>
          <w:szCs w:val="32"/>
        </w:rPr>
        <w:t>等事务性工作；承担施工图</w:t>
      </w:r>
      <w:r>
        <w:rPr>
          <w:rFonts w:hint="eastAsia" w:ascii="仿宋" w:hAnsi="仿宋" w:eastAsia="仿宋" w:cs="仿宋"/>
          <w:sz w:val="32"/>
          <w:szCs w:val="32"/>
          <w:lang w:eastAsia="zh-CN"/>
        </w:rPr>
        <w:t>设计</w:t>
      </w:r>
      <w:r>
        <w:rPr>
          <w:rFonts w:hint="eastAsia" w:ascii="仿宋" w:hAnsi="仿宋" w:eastAsia="仿宋" w:cs="仿宋"/>
          <w:sz w:val="32"/>
          <w:szCs w:val="32"/>
        </w:rPr>
        <w:t>审查相关事务性工作；以及承担建筑市场农民工管理</w:t>
      </w:r>
      <w:r>
        <w:rPr>
          <w:rFonts w:hint="eastAsia" w:ascii="仿宋" w:hAnsi="仿宋" w:eastAsia="仿宋" w:cs="仿宋"/>
          <w:sz w:val="32"/>
          <w:szCs w:val="32"/>
          <w:lang w:eastAsia="zh-CN"/>
        </w:rPr>
        <w:t>等</w:t>
      </w:r>
      <w:r>
        <w:rPr>
          <w:rFonts w:hint="eastAsia" w:ascii="仿宋" w:hAnsi="仿宋" w:eastAsia="仿宋" w:cs="仿宋"/>
          <w:sz w:val="32"/>
          <w:szCs w:val="32"/>
        </w:rPr>
        <w:t>工作。</w:t>
      </w:r>
    </w:p>
    <w:p>
      <w:pPr>
        <w:pStyle w:val="3"/>
        <w:spacing w:before="0" w:after="0" w:line="600" w:lineRule="exact"/>
        <w:ind w:firstLine="600" w:firstLineChars="200"/>
        <w:rPr>
          <w:rFonts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天津市津南区工程建设交易服务中心部门</w:t>
      </w:r>
      <w:r>
        <w:rPr>
          <w:rFonts w:eastAsia="仿宋_GB2312"/>
          <w:sz w:val="30"/>
          <w:szCs w:val="30"/>
        </w:rPr>
        <w:t>内设</w:t>
      </w:r>
      <w:r>
        <w:rPr>
          <w:rFonts w:hint="eastAsia" w:eastAsia="仿宋_GB2312"/>
          <w:sz w:val="30"/>
          <w:szCs w:val="30"/>
          <w:u w:val="none"/>
          <w:lang w:val="en-US" w:eastAsia="zh-CN"/>
        </w:rPr>
        <w:t>4</w:t>
      </w:r>
      <w:r>
        <w:rPr>
          <w:rFonts w:eastAsia="仿宋_GB2312"/>
          <w:sz w:val="30"/>
          <w:szCs w:val="30"/>
        </w:rPr>
        <w:t>个职能处室</w:t>
      </w:r>
      <w:r>
        <w:rPr>
          <w:rFonts w:hint="eastAsia" w:ascii="仿宋_GB2312" w:eastAsia="仿宋_GB2312" w:cs="仿宋_GB2312"/>
          <w:sz w:val="30"/>
          <w:szCs w:val="30"/>
        </w:rPr>
        <w:t>。</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天津市津南区工程建设交易服务中心2022年度政府性基金预算财政拨款收入支出决算表为空表。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天津市津南区工程建设交易服务中心2022年度国有资本经营预算财政拨款收入支出决算表为空表。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天津市津南区工程建设交易服务中心2022年度一般公共预算财政拨款“三公”经费支出决算表为空表。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天津市津南区工程建设交易服务中心2022年度项目支出决算表为空表。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天津市津南区工程建设交易服务中心</w:t>
      </w:r>
      <w:r>
        <w:rPr>
          <w:rFonts w:hint="eastAsia" w:eastAsia="楷体"/>
          <w:sz w:val="30"/>
          <w:szCs w:val="30"/>
        </w:rPr>
        <w:t>2022</w:t>
      </w:r>
      <w:r>
        <w:rPr>
          <w:rFonts w:hint="eastAsia" w:ascii="仿宋_GB2312" w:eastAsia="仿宋_GB2312" w:cs="仿宋_GB2312"/>
          <w:sz w:val="30"/>
          <w:szCs w:val="30"/>
        </w:rPr>
        <w:t>年度收入、支出决算总计2703619.54元。与2021年度相比，收、支总计各增加482183.16元，增长21.71%，主要原因是</w:t>
      </w:r>
      <w:r>
        <w:rPr>
          <w:rFonts w:hint="eastAsia" w:eastAsia="仿宋_GB2312"/>
          <w:sz w:val="30"/>
          <w:szCs w:val="30"/>
          <w:u w:val="none"/>
          <w:lang w:val="en-US" w:eastAsia="zh-CN"/>
        </w:rPr>
        <w:t>2021年11月新招录一名事业人员，2022年1月转入一名退役军人，较上年增加两名人员支出</w:t>
      </w:r>
      <w:r>
        <w:rPr>
          <w:rFonts w:hint="eastAsia" w:eastAsia="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天津市津南区工程建设交易服务中心</w:t>
      </w:r>
      <w:r>
        <w:rPr>
          <w:rFonts w:hint="eastAsia" w:eastAsia="楷体"/>
          <w:sz w:val="30"/>
          <w:szCs w:val="30"/>
        </w:rPr>
        <w:t>2022</w:t>
      </w:r>
      <w:r>
        <w:rPr>
          <w:rFonts w:hint="eastAsia" w:ascii="仿宋_GB2312" w:eastAsia="仿宋_GB2312" w:cs="仿宋_GB2312"/>
          <w:sz w:val="30"/>
          <w:szCs w:val="30"/>
        </w:rPr>
        <w:t>年度本年收入合计2703619.54元，与2021年度相比增加482183.16元，主要原因是</w:t>
      </w:r>
      <w:r>
        <w:rPr>
          <w:rFonts w:hint="eastAsia" w:eastAsia="仿宋_GB2312"/>
          <w:sz w:val="30"/>
          <w:szCs w:val="30"/>
          <w:u w:val="none"/>
          <w:lang w:val="en-US" w:eastAsia="zh-CN"/>
        </w:rPr>
        <w:t>2021年11月新招录一名事业人员，2022年1月转入一名退役军人，较上年增加两名人员支出</w:t>
      </w:r>
      <w:r>
        <w:rPr>
          <w:rFonts w:hint="eastAsia" w:eastAsia="仿宋_GB2312"/>
          <w:sz w:val="30"/>
          <w:szCs w:val="30"/>
        </w:rPr>
        <w:t>。</w:t>
      </w:r>
      <w:r>
        <w:rPr>
          <w:rFonts w:hint="eastAsia" w:ascii="仿宋_GB2312" w:eastAsia="仿宋_GB2312" w:cs="仿宋_GB2312"/>
          <w:sz w:val="30"/>
          <w:szCs w:val="30"/>
        </w:rPr>
        <w:t>其中：一般公共预算财政拨款收入2703619.54元，占100.00%。</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rPr>
      </w:pPr>
      <w:r>
        <w:rPr>
          <w:rFonts w:hint="eastAsia" w:ascii="仿宋_GB2312" w:eastAsia="仿宋_GB2312" w:cs="仿宋_GB2312"/>
          <w:sz w:val="30"/>
          <w:szCs w:val="30"/>
        </w:rPr>
        <w:t>天津市津南区工程建设交易服务中心</w:t>
      </w:r>
      <w:r>
        <w:rPr>
          <w:rFonts w:hint="eastAsia" w:eastAsia="楷体"/>
          <w:sz w:val="30"/>
          <w:szCs w:val="30"/>
        </w:rPr>
        <w:t>2022</w:t>
      </w:r>
      <w:r>
        <w:rPr>
          <w:rFonts w:hint="eastAsia" w:ascii="仿宋_GB2312" w:eastAsia="仿宋_GB2312" w:cs="仿宋_GB2312"/>
          <w:sz w:val="30"/>
          <w:szCs w:val="30"/>
        </w:rPr>
        <w:t>年度本年支出合计2703619.54元，与2021年度相比增加485839.16元，主要原因是</w:t>
      </w:r>
      <w:r>
        <w:rPr>
          <w:rFonts w:hint="eastAsia" w:eastAsia="仿宋_GB2312"/>
          <w:sz w:val="30"/>
          <w:szCs w:val="30"/>
          <w:u w:val="none"/>
          <w:lang w:val="en-US" w:eastAsia="zh-CN"/>
        </w:rPr>
        <w:t>2021年11月新招录一名事业人员，2022年1月转入一名退役军人，较上年增加两名人员支出</w:t>
      </w:r>
      <w:r>
        <w:rPr>
          <w:rFonts w:hint="eastAsia" w:eastAsia="仿宋_GB2312"/>
          <w:sz w:val="30"/>
          <w:szCs w:val="30"/>
        </w:rPr>
        <w:t>。</w:t>
      </w:r>
      <w:r>
        <w:rPr>
          <w:rFonts w:hint="eastAsia" w:ascii="仿宋_GB2312" w:eastAsia="仿宋_GB2312" w:cs="仿宋_GB2312"/>
          <w:sz w:val="30"/>
          <w:szCs w:val="30"/>
        </w:rPr>
        <w:t>其中：基本支出2703619.54元，占100.00%。</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天津市津南区工程建设交易服务中心</w:t>
      </w:r>
      <w:r>
        <w:rPr>
          <w:rFonts w:hint="eastAsia" w:eastAsia="楷体"/>
          <w:sz w:val="30"/>
          <w:szCs w:val="30"/>
        </w:rPr>
        <w:t>2022</w:t>
      </w:r>
      <w:r>
        <w:rPr>
          <w:rFonts w:hint="eastAsia" w:ascii="仿宋_GB2312" w:eastAsia="仿宋_GB2312" w:cs="仿宋_GB2312"/>
          <w:sz w:val="30"/>
          <w:szCs w:val="30"/>
        </w:rPr>
        <w:t>年度财政拨款收入、支出决算总计2703619.54元。与2021年度相比，财政拨款收、支总计各增加482183.16元，增长21.71%，主要原因是</w:t>
      </w:r>
      <w:r>
        <w:rPr>
          <w:rFonts w:hint="eastAsia" w:eastAsia="仿宋_GB2312"/>
          <w:sz w:val="30"/>
          <w:szCs w:val="30"/>
          <w:u w:val="none"/>
          <w:lang w:val="en-US" w:eastAsia="zh-CN"/>
        </w:rPr>
        <w:t>2021年11月新招录一名事业人员，2022年1月转入一名退役军人，较上年增加两名人员支出</w:t>
      </w:r>
      <w:r>
        <w:rPr>
          <w:rFonts w:hint="eastAsia" w:eastAsia="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天津市津南区工程建设交易服务中心</w:t>
      </w:r>
      <w:r>
        <w:rPr>
          <w:rFonts w:hint="eastAsia" w:eastAsia="楷体"/>
          <w:sz w:val="30"/>
          <w:szCs w:val="30"/>
        </w:rPr>
        <w:t>2022</w:t>
      </w:r>
      <w:r>
        <w:rPr>
          <w:rFonts w:hint="eastAsia" w:ascii="仿宋_GB2312" w:eastAsia="仿宋_GB2312" w:cs="仿宋_GB2312"/>
          <w:sz w:val="30"/>
          <w:szCs w:val="30"/>
        </w:rPr>
        <w:t>年度一般公共预算财政拨款支出合计2703619.54元，占本年支出合计的100.00%。与2021年度相比，一般公共预算财政拨款支出增加485839.16元，增长21.91%，主要原因是</w:t>
      </w:r>
      <w:r>
        <w:rPr>
          <w:rFonts w:hint="eastAsia" w:eastAsia="仿宋_GB2312"/>
          <w:sz w:val="30"/>
          <w:szCs w:val="30"/>
          <w:u w:val="none"/>
          <w:lang w:val="en-US" w:eastAsia="zh-CN"/>
        </w:rPr>
        <w:t>2021年11月新招录一名事业人员，2022年1月转入一名退役军人，较上年增加两名人员预算</w:t>
      </w:r>
      <w:r>
        <w:rPr>
          <w:rFonts w:hint="eastAsia" w:eastAsia="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年度一般公共预算财政拨款支出2703619.54元，主要用于以下方面：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社会保障和就业支出（类）支出267569.78元，占9.90%；</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卫生健康支出（类）支出111501.78元，占4.12%；</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城乡社区支出（类）支出2147237.98元，占79.42%；</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住房保障支出（类）支出177310.00元，占6.56%。</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年度一般公共预算财政拨款支出年初预算为2685324.99元，支出决算为2703619.54元，完成年初预算的100.68%。其中：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社会保障和就业支出（类）行政事业单位养老支出（款）机关事业单位基本养老保险缴费支出（项）年初预算为</w:t>
      </w:r>
      <w:r>
        <w:rPr>
          <w:rFonts w:hint="eastAsia" w:ascii="仿宋_GB2312" w:eastAsia="仿宋_GB2312" w:cs="仿宋_GB2312"/>
          <w:sz w:val="30"/>
          <w:szCs w:val="30"/>
          <w:lang w:val="en-US" w:eastAsia="zh-CN"/>
        </w:rPr>
        <w:t>152127.36</w:t>
      </w:r>
      <w:r>
        <w:rPr>
          <w:rFonts w:hint="eastAsia" w:ascii="仿宋_GB2312" w:eastAsia="仿宋_GB2312" w:cs="仿宋_GB2312"/>
          <w:sz w:val="30"/>
          <w:szCs w:val="30"/>
        </w:rPr>
        <w:t>元，支出决算为178437.30元，完成年初预算数的</w:t>
      </w:r>
      <w:r>
        <w:rPr>
          <w:rFonts w:hint="eastAsia" w:ascii="仿宋_GB2312" w:eastAsia="仿宋_GB2312" w:cs="仿宋_GB2312"/>
          <w:sz w:val="30"/>
          <w:szCs w:val="30"/>
          <w:lang w:val="en-US" w:eastAsia="zh-CN"/>
        </w:rPr>
        <w:t>117.29</w:t>
      </w:r>
      <w:r>
        <w:rPr>
          <w:rFonts w:hint="eastAsia" w:ascii="仿宋_GB2312" w:eastAsia="仿宋_GB2312" w:cs="仿宋_GB2312"/>
          <w:sz w:val="30"/>
          <w:szCs w:val="30"/>
        </w:rPr>
        <w:t>%，决算数大于年初预算数的主要原因是</w:t>
      </w:r>
      <w:r>
        <w:rPr>
          <w:rFonts w:hint="eastAsia" w:eastAsia="仿宋_GB2312"/>
          <w:sz w:val="30"/>
          <w:szCs w:val="30"/>
          <w:u w:val="none"/>
          <w:lang w:val="en-US" w:eastAsia="zh-CN"/>
        </w:rPr>
        <w:t>2021年11月新招录一名事业人员，2022年1月转入一名退役军人</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社会保障和就业支出（类）行政事业单位养老支出（款）机关事业单位职业年金缴费支出（项）年初预算为</w:t>
      </w:r>
      <w:r>
        <w:rPr>
          <w:rFonts w:hint="eastAsia" w:ascii="仿宋_GB2312" w:eastAsia="仿宋_GB2312" w:cs="仿宋_GB2312"/>
          <w:sz w:val="30"/>
          <w:szCs w:val="30"/>
          <w:lang w:val="en-US" w:eastAsia="zh-CN"/>
        </w:rPr>
        <w:t>76063.68</w:t>
      </w:r>
      <w:r>
        <w:rPr>
          <w:rFonts w:hint="eastAsia" w:ascii="仿宋_GB2312" w:eastAsia="仿宋_GB2312" w:cs="仿宋_GB2312"/>
          <w:sz w:val="30"/>
          <w:szCs w:val="30"/>
        </w:rPr>
        <w:t>元，支出决算为89132.48元，完成年初预算数的</w:t>
      </w:r>
      <w:r>
        <w:rPr>
          <w:rFonts w:hint="eastAsia" w:ascii="仿宋_GB2312" w:eastAsia="仿宋_GB2312" w:cs="仿宋_GB2312"/>
          <w:sz w:val="30"/>
          <w:szCs w:val="30"/>
          <w:lang w:val="en-US" w:eastAsia="zh-CN"/>
        </w:rPr>
        <w:t>117.18</w:t>
      </w:r>
      <w:r>
        <w:rPr>
          <w:rFonts w:hint="eastAsia" w:ascii="仿宋_GB2312" w:eastAsia="仿宋_GB2312" w:cs="仿宋_GB2312"/>
          <w:sz w:val="30"/>
          <w:szCs w:val="30"/>
        </w:rPr>
        <w:t>%，决算数大于年初预算数的主要原因是</w:t>
      </w:r>
      <w:r>
        <w:rPr>
          <w:rFonts w:hint="eastAsia" w:eastAsia="仿宋_GB2312"/>
          <w:sz w:val="30"/>
          <w:szCs w:val="30"/>
          <w:u w:val="none"/>
          <w:lang w:val="en-US" w:eastAsia="zh-CN"/>
        </w:rPr>
        <w:t>2021年11月新招录一名事业人员，2022年1月转入一名退役军人</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卫生健康支出（类）行政事业单位医疗（款）事业单位医疗（项）年初预算为</w:t>
      </w:r>
      <w:r>
        <w:rPr>
          <w:rFonts w:hint="eastAsia" w:ascii="仿宋_GB2312" w:eastAsia="仿宋_GB2312" w:cs="仿宋_GB2312"/>
          <w:sz w:val="30"/>
          <w:szCs w:val="30"/>
          <w:lang w:val="en-US" w:eastAsia="zh-CN"/>
        </w:rPr>
        <w:t>95079.60</w:t>
      </w:r>
      <w:r>
        <w:rPr>
          <w:rFonts w:hint="eastAsia" w:ascii="仿宋_GB2312" w:eastAsia="仿宋_GB2312" w:cs="仿宋_GB2312"/>
          <w:sz w:val="30"/>
          <w:szCs w:val="30"/>
        </w:rPr>
        <w:t>元，支出决算为111501.78元，完成年初预算数的</w:t>
      </w:r>
      <w:r>
        <w:rPr>
          <w:rFonts w:hint="eastAsia" w:ascii="仿宋_GB2312" w:eastAsia="仿宋_GB2312" w:cs="仿宋_GB2312"/>
          <w:sz w:val="30"/>
          <w:szCs w:val="30"/>
          <w:lang w:val="en-US" w:eastAsia="zh-CN"/>
        </w:rPr>
        <w:t>117.27</w:t>
      </w:r>
      <w:r>
        <w:rPr>
          <w:rFonts w:hint="eastAsia" w:ascii="仿宋_GB2312" w:eastAsia="仿宋_GB2312" w:cs="仿宋_GB2312"/>
          <w:sz w:val="30"/>
          <w:szCs w:val="30"/>
        </w:rPr>
        <w:t>%，决算数小于（大于）年初预算数的主要原因是</w:t>
      </w:r>
      <w:r>
        <w:rPr>
          <w:rFonts w:hint="eastAsia" w:eastAsia="仿宋_GB2312"/>
          <w:sz w:val="30"/>
          <w:szCs w:val="30"/>
          <w:u w:val="none"/>
          <w:lang w:val="en-US" w:eastAsia="zh-CN"/>
        </w:rPr>
        <w:t>2021年11月新招录一名事业人员，2022年1月转入一名退役军人</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城乡社区支出（类）城乡社区管理事务（款）其他城乡社区管理事务支出（项）年初预算为2204698</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35元，支出决算为2147237.98元，完成年初预算数的</w:t>
      </w:r>
      <w:r>
        <w:rPr>
          <w:rFonts w:hint="eastAsia" w:ascii="仿宋_GB2312" w:eastAsia="仿宋_GB2312" w:cs="仿宋_GB2312"/>
          <w:sz w:val="30"/>
          <w:szCs w:val="30"/>
          <w:lang w:val="en-US" w:eastAsia="zh-CN"/>
        </w:rPr>
        <w:t>97.39</w:t>
      </w:r>
      <w:r>
        <w:rPr>
          <w:rFonts w:hint="eastAsia" w:ascii="仿宋_GB2312" w:eastAsia="仿宋_GB2312" w:cs="仿宋_GB2312"/>
          <w:sz w:val="30"/>
          <w:szCs w:val="30"/>
        </w:rPr>
        <w:t>%，决算数小于年初预算数的主要原因是</w:t>
      </w:r>
      <w:r>
        <w:rPr>
          <w:rFonts w:hint="eastAsia" w:eastAsia="仿宋_GB2312"/>
          <w:sz w:val="30"/>
          <w:szCs w:val="30"/>
          <w:u w:val="none"/>
          <w:lang w:val="en-US" w:eastAsia="zh-CN"/>
        </w:rPr>
        <w:t>2021年11月新招录一名事业人员，2022年1月转入一名退役军人，年初玻璃幕墙项目406295.00元未支出，综合较年初预算持平</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住房保障支出（类）住房改革支出（款）住房公积金（项）年初预算为</w:t>
      </w:r>
      <w:r>
        <w:rPr>
          <w:rFonts w:hint="eastAsia" w:ascii="仿宋_GB2312" w:eastAsia="仿宋_GB2312" w:cs="仿宋_GB2312"/>
          <w:sz w:val="30"/>
          <w:szCs w:val="30"/>
          <w:lang w:val="en-US" w:eastAsia="zh-CN"/>
        </w:rPr>
        <w:t>157356.00</w:t>
      </w:r>
      <w:r>
        <w:rPr>
          <w:rFonts w:hint="eastAsia" w:ascii="仿宋_GB2312" w:eastAsia="仿宋_GB2312" w:cs="仿宋_GB2312"/>
          <w:sz w:val="30"/>
          <w:szCs w:val="30"/>
        </w:rPr>
        <w:t>元，支出决算为177310.00元，完成年初预算数的</w:t>
      </w:r>
      <w:r>
        <w:rPr>
          <w:rFonts w:hint="eastAsia" w:ascii="仿宋_GB2312" w:eastAsia="仿宋_GB2312" w:cs="仿宋_GB2312"/>
          <w:sz w:val="30"/>
          <w:szCs w:val="30"/>
          <w:lang w:val="en-US" w:eastAsia="zh-CN"/>
        </w:rPr>
        <w:t>112.68</w:t>
      </w:r>
      <w:r>
        <w:rPr>
          <w:rFonts w:hint="eastAsia" w:ascii="仿宋_GB2312" w:eastAsia="仿宋_GB2312" w:cs="仿宋_GB2312"/>
          <w:sz w:val="30"/>
          <w:szCs w:val="30"/>
        </w:rPr>
        <w:t>%，决算数小于（大于）年初预算数的主要原因是</w:t>
      </w:r>
      <w:r>
        <w:rPr>
          <w:rFonts w:hint="eastAsia" w:eastAsia="仿宋_GB2312"/>
          <w:sz w:val="30"/>
          <w:szCs w:val="30"/>
          <w:u w:val="none"/>
          <w:lang w:val="en-US" w:eastAsia="zh-CN"/>
        </w:rPr>
        <w:t>2021年11月新招录一名事业人员，2022年1月转入一名退役军人</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天津市津南区工程建设交易服务中心</w:t>
      </w:r>
      <w:r>
        <w:rPr>
          <w:rFonts w:hint="eastAsia" w:eastAsia="楷体"/>
          <w:sz w:val="30"/>
          <w:szCs w:val="30"/>
        </w:rPr>
        <w:t>2022</w:t>
      </w:r>
      <w:r>
        <w:rPr>
          <w:rFonts w:hint="eastAsia" w:ascii="仿宋_GB2312" w:eastAsia="仿宋_GB2312" w:cs="仿宋_GB2312"/>
          <w:sz w:val="30"/>
          <w:szCs w:val="30"/>
        </w:rPr>
        <w:t>年度一般公共预算财政拨款基本支出合计2703619.54元，与2021年度相比增加485839.16元，主要原因是</w:t>
      </w:r>
      <w:r>
        <w:rPr>
          <w:rFonts w:hint="eastAsia" w:eastAsia="仿宋_GB2312"/>
          <w:sz w:val="30"/>
          <w:szCs w:val="30"/>
          <w:u w:val="none"/>
          <w:lang w:val="en-US" w:eastAsia="zh-CN"/>
        </w:rPr>
        <w:t>021年11月新招录一名事业人员，2022年1月转入一名退役军人。</w:t>
      </w:r>
      <w:r>
        <w:rPr>
          <w:rFonts w:hint="eastAsia" w:ascii="仿宋_GB2312" w:eastAsia="仿宋_GB2312" w:cs="仿宋_GB2312"/>
          <w:sz w:val="30"/>
          <w:szCs w:val="30"/>
        </w:rPr>
        <w:t>其中：</w:t>
      </w:r>
      <w:r>
        <w:rPr>
          <w:rFonts w:hint="eastAsia" w:ascii="仿宋_GB2312" w:eastAsia="仿宋_GB2312" w:cs="仿宋_GB2312"/>
          <w:sz w:val="30"/>
          <w:szCs w:val="30"/>
        </w:rPr>
        <w:br w:type="textWrapping"/>
      </w:r>
      <w:r>
        <w:rPr>
          <w:rFonts w:hint="eastAsia" w:ascii="仿宋_GB2312" w:eastAsia="仿宋_GB2312" w:cs="仿宋_GB2312"/>
          <w:sz w:val="30"/>
          <w:szCs w:val="30"/>
        </w:rPr>
        <w:t>　　人员经费2530335.02元，主要包括基本工资、津贴补贴、绩效工资、机关事业单位养老保险缴费、职业年金缴费、职工基本医疗保险缴费、其他社会保障缴费、住房公积金、其他工资福利支出；</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公用经费173284.52元，主要包括办公费、邮电费、差旅费、工会经费、福利费。</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天津市津南区工程建设交易服务中心2022年度无政府性基金预算财政拨款收入、支出和结转结余。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天津市津南区工程建设交易服务中心2022年度无国有资本经营预算财政拨款收入、支出和结转结余。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（一）总体情况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年一般公共预算财政拨款“三公”经费预算25000.00元，支出决算0.00元（去年同期0.00元），支出决算与</w:t>
      </w:r>
      <w:r>
        <w:rPr>
          <w:rFonts w:hint="eastAsia" w:eastAsia="楷体"/>
          <w:sz w:val="30"/>
          <w:szCs w:val="30"/>
        </w:rPr>
        <w:t>2022</w:t>
      </w:r>
      <w:r>
        <w:rPr>
          <w:rFonts w:hint="eastAsia" w:ascii="仿宋_GB2312" w:eastAsia="仿宋_GB2312" w:cs="仿宋_GB2312"/>
          <w:sz w:val="30"/>
          <w:szCs w:val="30"/>
        </w:rPr>
        <w:t>年预算相比减少25000.00元,完成预算的0.00%；支出决算较上年持平。决算数小于预算数的主要原因是</w:t>
      </w:r>
      <w:r>
        <w:rPr>
          <w:rFonts w:hint="eastAsia" w:ascii="仿宋_GB2312" w:eastAsia="仿宋_GB2312" w:cs="仿宋_GB2312"/>
          <w:sz w:val="30"/>
          <w:szCs w:val="30"/>
          <w:u w:val="none"/>
          <w:lang w:val="en-US" w:eastAsia="zh-CN"/>
        </w:rPr>
        <w:t>本单位公务用车实际支出由天津市津南区住房和建设综合执法支队使用，一切费用由支队支出</w:t>
      </w:r>
      <w:r>
        <w:rPr>
          <w:rFonts w:hint="eastAsia" w:ascii="仿宋_GB2312" w:eastAsia="仿宋_GB2312" w:cs="仿宋_GB2312"/>
          <w:sz w:val="30"/>
          <w:szCs w:val="30"/>
        </w:rPr>
        <w:t>。决算数较上年持平的主要原因是本年度未用一般公共预算列支三公经费。</w:t>
      </w:r>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（二）具体情况</w:t>
      </w:r>
    </w:p>
    <w:p>
      <w:pPr>
        <w:spacing w:line="600" w:lineRule="exact"/>
        <w:ind w:firstLine="600" w:firstLineChars="200"/>
        <w:jc w:val="both"/>
        <w:rPr>
          <w:rFonts w:eastAsia="仿宋_GB2312"/>
          <w:sz w:val="30"/>
          <w:szCs w:val="30"/>
        </w:rPr>
      </w:pPr>
      <w:r>
        <w:rPr>
          <w:rFonts w:hint="eastAsia" w:eastAsia="仿宋_GB2312"/>
          <w:sz w:val="30"/>
          <w:szCs w:val="30"/>
        </w:rPr>
        <w:t>1.</w:t>
      </w:r>
      <w:r>
        <w:rPr>
          <w:rFonts w:hint="eastAsia" w:ascii="仿宋_GB2312" w:eastAsia="仿宋_GB2312" w:cs="仿宋_GB2312"/>
          <w:sz w:val="30"/>
          <w:szCs w:val="30"/>
        </w:rPr>
        <w:t>因公出国（境）费预算0.00元，支出决算0.00元（去年同期0.00元），支出决算与预算相比持平；支出决算较上年持平。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rPr>
        <w:t>年本单位组织的出国团组0个，出国0人次。</w:t>
      </w:r>
    </w:p>
    <w:p>
      <w:pPr>
        <w:spacing w:line="600" w:lineRule="exact"/>
        <w:ind w:firstLine="600" w:firstLineChars="200"/>
        <w:jc w:val="both"/>
        <w:rPr>
          <w:rFonts w:eastAsia="仿宋_GB2312"/>
          <w:sz w:val="30"/>
          <w:szCs w:val="30"/>
        </w:rPr>
      </w:pPr>
      <w:r>
        <w:rPr>
          <w:rFonts w:hint="eastAsia" w:eastAsia="仿宋_GB2312"/>
          <w:sz w:val="30"/>
          <w:szCs w:val="30"/>
        </w:rPr>
        <w:t>2.</w:t>
      </w:r>
      <w:r>
        <w:rPr>
          <w:rFonts w:hint="eastAsia" w:ascii="仿宋_GB2312" w:eastAsia="仿宋_GB2312" w:cs="仿宋_GB2312"/>
          <w:sz w:val="30"/>
          <w:szCs w:val="30"/>
        </w:rPr>
        <w:t>公务用车购置及运行维护费预算25000.00元，支出决算0.00元（去年同期0.00元），支出决算与预算相比减少25000.00元,完成预算的0.00%；支出决算较上年持平。其中：</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公务用车运行维护费预算</w:t>
      </w:r>
      <w:r>
        <w:rPr>
          <w:rFonts w:hint="eastAsia" w:ascii="仿宋_GB2312" w:eastAsia="仿宋_GB2312" w:cs="仿宋_GB2312"/>
          <w:sz w:val="30"/>
          <w:szCs w:val="30"/>
          <w:lang w:val="en-US" w:eastAsia="zh-CN"/>
        </w:rPr>
        <w:t>25000.00</w:t>
      </w:r>
      <w:r>
        <w:rPr>
          <w:rFonts w:hint="eastAsia" w:ascii="仿宋_GB2312" w:eastAsia="仿宋_GB2312" w:cs="仿宋_GB2312"/>
          <w:sz w:val="30"/>
          <w:szCs w:val="30"/>
        </w:rPr>
        <w:t>元，支出决算0.00元（去年同期0.00元），支出决算与预算相比减少25000.00元,完成预算的0.00%；支出决算较上年持平。决算数小于预算数的主要原因是</w:t>
      </w:r>
      <w:r>
        <w:rPr>
          <w:rFonts w:hint="eastAsia" w:ascii="仿宋_GB2312" w:eastAsia="仿宋_GB2312" w:cs="仿宋_GB2312"/>
          <w:sz w:val="30"/>
          <w:szCs w:val="30"/>
          <w:u w:val="none"/>
          <w:lang w:val="en-US" w:eastAsia="zh-CN"/>
        </w:rPr>
        <w:t>本单位公务用车实际支出由天津市津南区住房和建设综合执法支队使用，一切费用由支队支出</w:t>
      </w:r>
      <w:r>
        <w:rPr>
          <w:rFonts w:hint="eastAsia" w:ascii="仿宋_GB2312" w:eastAsia="仿宋_GB2312" w:cs="仿宋_GB2312"/>
          <w:sz w:val="30"/>
          <w:szCs w:val="30"/>
        </w:rPr>
        <w:t>。决算数较上年持平的主要原因是本年度未用一般公共预算列支三公经费。截至2022年12月31日，使用</w:t>
      </w:r>
      <w:r>
        <w:rPr>
          <w:rFonts w:hint="eastAsia" w:eastAsia="仿宋_GB2312"/>
          <w:sz w:val="30"/>
          <w:szCs w:val="30"/>
        </w:rPr>
        <w:t>一般公共预算</w:t>
      </w:r>
      <w:r>
        <w:rPr>
          <w:rFonts w:hint="eastAsia" w:ascii="仿宋_GB2312" w:eastAsia="仿宋_GB2312" w:cs="仿宋_GB2312"/>
          <w:sz w:val="30"/>
          <w:szCs w:val="30"/>
        </w:rPr>
        <w:t>财政拨款开支运行维护费的公务用车保有量为0辆。</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公务用车购置费预算0.00元，支出决算0.00元（去年同期</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45"/>
        <w:jc w:val="both"/>
        <w:rPr>
          <w:rFonts w:eastAsia="仿宋_GB2312" w:cs="仿宋_GB2312"/>
          <w:sz w:val="30"/>
          <w:szCs w:val="30"/>
        </w:rPr>
      </w:pPr>
      <w:r>
        <w:rPr>
          <w:rFonts w:hint="eastAsia" w:eastAsia="仿宋_GB2312"/>
          <w:sz w:val="30"/>
          <w:szCs w:val="30"/>
        </w:rPr>
        <w:t>3.</w:t>
      </w:r>
      <w:r>
        <w:rPr>
          <w:rFonts w:hint="eastAsia" w:ascii="仿宋_GB2312" w:eastAsia="仿宋_GB2312" w:cs="仿宋_GB2312"/>
          <w:sz w:val="30"/>
          <w:szCs w:val="30"/>
        </w:rPr>
        <w:t>公务接待费预算0.00元，支出决算0.00元（去年同期0.00元），支出决算与预算相比持平；支出决算较上年持平。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rPr>
        <w:t>年本单位国内公务接待0批</w:t>
      </w:r>
      <w:r>
        <w:rPr>
          <w:rFonts w:hint="eastAsia" w:eastAsia="仿宋_GB2312" w:cs="仿宋_GB2312"/>
          <w:sz w:val="30"/>
          <w:szCs w:val="30"/>
        </w:rPr>
        <w:t>次，</w:t>
      </w:r>
      <w:r>
        <w:rPr>
          <w:rFonts w:hint="eastAsia" w:ascii="仿宋_GB2312" w:eastAsia="仿宋_GB2312" w:cs="仿宋_GB2312"/>
          <w:sz w:val="30"/>
          <w:szCs w:val="30"/>
        </w:rPr>
        <w:t>0</w:t>
      </w:r>
      <w:r>
        <w:rPr>
          <w:rFonts w:hint="eastAsia" w:eastAsia="仿宋_GB2312" w:cs="仿宋_GB2312"/>
          <w:sz w:val="30"/>
          <w:szCs w:val="30"/>
        </w:rPr>
        <w:t>人次；其中，外事接待</w:t>
      </w:r>
      <w:r>
        <w:rPr>
          <w:rFonts w:hint="eastAsia" w:ascii="仿宋_GB2312" w:eastAsia="仿宋_GB2312" w:cs="仿宋_GB2312"/>
          <w:sz w:val="30"/>
          <w:szCs w:val="30"/>
        </w:rPr>
        <w:t>0</w:t>
      </w:r>
      <w:r>
        <w:rPr>
          <w:rFonts w:hint="eastAsia" w:eastAsia="仿宋_GB2312" w:cs="仿宋_GB2312"/>
          <w:sz w:val="30"/>
          <w:szCs w:val="30"/>
        </w:rPr>
        <w:t>批次，</w:t>
      </w:r>
      <w:r>
        <w:rPr>
          <w:rFonts w:hint="eastAsia" w:ascii="仿宋_GB2312" w:eastAsia="仿宋_GB2312" w:cs="仿宋_GB2312"/>
          <w:sz w:val="30"/>
          <w:szCs w:val="30"/>
        </w:rPr>
        <w:t>0</w:t>
      </w:r>
      <w:r>
        <w:rPr>
          <w:rFonts w:hint="eastAsia" w:eastAsia="仿宋_GB2312" w:cs="仿宋_GB2312"/>
          <w:sz w:val="30"/>
          <w:szCs w:val="30"/>
        </w:rPr>
        <w:t>人次。</w:t>
      </w:r>
    </w:p>
    <w:p>
      <w:pPr>
        <w:pStyle w:val="3"/>
        <w:spacing w:before="0" w:after="0" w:line="600" w:lineRule="exact"/>
        <w:ind w:firstLine="600" w:firstLineChars="200"/>
        <w:rPr>
          <w:rFonts w:ascii="黑体" w:hAnsi="黑体" w:eastAsia="黑体"/>
          <w:b w:val="0"/>
          <w:sz w:val="30"/>
          <w:szCs w:val="30"/>
        </w:rPr>
      </w:pPr>
      <w:bookmarkStart w:id="26" w:name="_Toc3411"/>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天津市津南区工程建设交易服务中心2022年度无机关运行经费。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天津市津南区工程建设交易服务中心2022年度无政府采购支出。</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截至2022年12月31日，天津市津南区工程建设交易服务中心共有车辆1辆，其中：副部（省）级及以上领导用车0辆、主要领导干部用车0辆、机要通信车0辆、应急保障用车0辆、执法执勤用车0辆、特种专业技术用车0辆、离退休干部用车0辆、其他用车1辆，其他用车主要包括</w:t>
      </w:r>
      <w:r>
        <w:rPr>
          <w:rFonts w:hint="eastAsia" w:ascii="仿宋_GB2312" w:eastAsia="仿宋_GB2312" w:cs="仿宋_GB2312"/>
          <w:sz w:val="30"/>
          <w:szCs w:val="30"/>
          <w:lang w:eastAsia="zh-CN"/>
        </w:rPr>
        <w:t>支队使用公车一辆</w:t>
      </w:r>
      <w:r>
        <w:rPr>
          <w:rFonts w:hint="eastAsia" w:ascii="仿宋_GB2312" w:eastAsia="仿宋_GB2312" w:cs="仿宋_GB2312"/>
          <w:sz w:val="30"/>
          <w:szCs w:val="30"/>
        </w:rPr>
        <w:t>。单价100万元以上的专用设备0台（套）。</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jc w:val="both"/>
        <w:rPr>
          <w:rFonts w:eastAsia="仿宋_GB2312"/>
          <w:sz w:val="30"/>
          <w:szCs w:val="30"/>
        </w:rPr>
      </w:pPr>
      <w:r>
        <w:rPr>
          <w:rFonts w:hint="eastAsia" w:eastAsia="仿宋_GB2312"/>
          <w:sz w:val="30"/>
          <w:szCs w:val="30"/>
        </w:rPr>
        <w:t>　　本部门2022年度没有项目支出，无需开展绩效自评。</w:t>
      </w:r>
    </w:p>
    <w:p>
      <w:pPr>
        <w:pStyle w:val="3"/>
        <w:spacing w:before="0" w:after="0" w:line="600" w:lineRule="exact"/>
        <w:ind w:firstLine="600" w:firstLineChars="200"/>
        <w:rPr>
          <w:rFonts w:ascii="Times New Roman" w:hAnsi="Times New Roman" w:eastAsia="黑体"/>
          <w:b w:val="0"/>
          <w:sz w:val="30"/>
          <w:szCs w:val="30"/>
        </w:rPr>
      </w:pPr>
      <w:bookmarkStart w:id="30" w:name="_Toc15949"/>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天津市津南区工程建设交易服务中心不属于乡、镇、街级单位，不涉及公开2022年度教育、医疗卫生、社会保障和就业、住房保障、涉农补贴等民生支出情况。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hNDk5Y2Y2ZTlkZTE5ZjBhZWM3OTdjOTE5NTc5ZjA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E3B5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AC1FB0"/>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C26D17"/>
    <w:rsid w:val="032B2B72"/>
    <w:rsid w:val="03633F1C"/>
    <w:rsid w:val="03877CF5"/>
    <w:rsid w:val="03971CD2"/>
    <w:rsid w:val="03997587"/>
    <w:rsid w:val="039D7B38"/>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7B41CE"/>
    <w:rsid w:val="18E12A26"/>
    <w:rsid w:val="1A2F34CF"/>
    <w:rsid w:val="1B0B6786"/>
    <w:rsid w:val="1B285AE1"/>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ABA58BA"/>
    <w:rsid w:val="2B330D0F"/>
    <w:rsid w:val="2C3B01C9"/>
    <w:rsid w:val="2CB024EC"/>
    <w:rsid w:val="2D2B1A30"/>
    <w:rsid w:val="2D5BB7F4"/>
    <w:rsid w:val="2DA87FE3"/>
    <w:rsid w:val="2DAB1C1C"/>
    <w:rsid w:val="2E6455AA"/>
    <w:rsid w:val="2E6E5875"/>
    <w:rsid w:val="2EAA1E45"/>
    <w:rsid w:val="2EBA2F30"/>
    <w:rsid w:val="2F6A001E"/>
    <w:rsid w:val="2F8573F4"/>
    <w:rsid w:val="2FFC60D8"/>
    <w:rsid w:val="2FFD4B55"/>
    <w:rsid w:val="31F32BCC"/>
    <w:rsid w:val="322D5537"/>
    <w:rsid w:val="32500429"/>
    <w:rsid w:val="32B0078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7FC58DA"/>
    <w:rsid w:val="39054161"/>
    <w:rsid w:val="395157DA"/>
    <w:rsid w:val="39D81DB4"/>
    <w:rsid w:val="39DD1F63"/>
    <w:rsid w:val="3A875795"/>
    <w:rsid w:val="3B3A6848"/>
    <w:rsid w:val="3B5C22DF"/>
    <w:rsid w:val="3C7702D9"/>
    <w:rsid w:val="3C822FFF"/>
    <w:rsid w:val="3C987755"/>
    <w:rsid w:val="3D1712DB"/>
    <w:rsid w:val="3D6E4CFB"/>
    <w:rsid w:val="3DB948D9"/>
    <w:rsid w:val="3DED19CC"/>
    <w:rsid w:val="3E551C1D"/>
    <w:rsid w:val="3E6D1878"/>
    <w:rsid w:val="3EAA16DD"/>
    <w:rsid w:val="3EAA6689"/>
    <w:rsid w:val="3EE7006C"/>
    <w:rsid w:val="3F043070"/>
    <w:rsid w:val="3F397145"/>
    <w:rsid w:val="419141BF"/>
    <w:rsid w:val="41C515FE"/>
    <w:rsid w:val="41F26234"/>
    <w:rsid w:val="42955F29"/>
    <w:rsid w:val="42C52D12"/>
    <w:rsid w:val="42EA0B90"/>
    <w:rsid w:val="436E1D48"/>
    <w:rsid w:val="442221E6"/>
    <w:rsid w:val="44FC0AD9"/>
    <w:rsid w:val="45C66F5A"/>
    <w:rsid w:val="464311BD"/>
    <w:rsid w:val="46762869"/>
    <w:rsid w:val="46800ECA"/>
    <w:rsid w:val="46D65DFF"/>
    <w:rsid w:val="46ED43C8"/>
    <w:rsid w:val="47655748"/>
    <w:rsid w:val="481F5D29"/>
    <w:rsid w:val="485B08F6"/>
    <w:rsid w:val="48E65506"/>
    <w:rsid w:val="49A95325"/>
    <w:rsid w:val="49C60D15"/>
    <w:rsid w:val="49EE18E7"/>
    <w:rsid w:val="4C72500A"/>
    <w:rsid w:val="4D283A21"/>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684BC5"/>
    <w:rsid w:val="54D72BF4"/>
    <w:rsid w:val="54F6709D"/>
    <w:rsid w:val="566138B1"/>
    <w:rsid w:val="56832AE6"/>
    <w:rsid w:val="56F540E8"/>
    <w:rsid w:val="576B6402"/>
    <w:rsid w:val="57814C22"/>
    <w:rsid w:val="579303E0"/>
    <w:rsid w:val="57BD125F"/>
    <w:rsid w:val="57DB4D69"/>
    <w:rsid w:val="58CB2B06"/>
    <w:rsid w:val="59005937"/>
    <w:rsid w:val="596D5572"/>
    <w:rsid w:val="59DC23BD"/>
    <w:rsid w:val="5A106A61"/>
    <w:rsid w:val="5B012DD6"/>
    <w:rsid w:val="5B4A303E"/>
    <w:rsid w:val="5B867F38"/>
    <w:rsid w:val="5BBF1EDC"/>
    <w:rsid w:val="5C0804B4"/>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DA2A3D"/>
    <w:rsid w:val="637B3A8F"/>
    <w:rsid w:val="63A65E89"/>
    <w:rsid w:val="65001203"/>
    <w:rsid w:val="65044496"/>
    <w:rsid w:val="65737FA2"/>
    <w:rsid w:val="65D920E1"/>
    <w:rsid w:val="65D9655D"/>
    <w:rsid w:val="6637149C"/>
    <w:rsid w:val="66455236"/>
    <w:rsid w:val="6656630C"/>
    <w:rsid w:val="66EC0C69"/>
    <w:rsid w:val="67AD24B8"/>
    <w:rsid w:val="67F5DAB5"/>
    <w:rsid w:val="68261741"/>
    <w:rsid w:val="693E2FAD"/>
    <w:rsid w:val="698062FC"/>
    <w:rsid w:val="69BD5EE8"/>
    <w:rsid w:val="6A23573F"/>
    <w:rsid w:val="6A740B43"/>
    <w:rsid w:val="6ABD46BF"/>
    <w:rsid w:val="6AF730BD"/>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3A73AB"/>
    <w:rsid w:val="775767BB"/>
    <w:rsid w:val="7779068F"/>
    <w:rsid w:val="77B92148"/>
    <w:rsid w:val="77FFE39F"/>
    <w:rsid w:val="781B1736"/>
    <w:rsid w:val="78F051A8"/>
    <w:rsid w:val="79EF18A6"/>
    <w:rsid w:val="7A903B21"/>
    <w:rsid w:val="7AC3080E"/>
    <w:rsid w:val="7CF2196B"/>
    <w:rsid w:val="7D2E7430"/>
    <w:rsid w:val="7D993EC8"/>
    <w:rsid w:val="7D9A013D"/>
    <w:rsid w:val="7E9160CF"/>
    <w:rsid w:val="7EC677D3"/>
    <w:rsid w:val="7FDC2489"/>
    <w:rsid w:val="7FFDEEFD"/>
    <w:rsid w:val="BBFEB28B"/>
    <w:rsid w:val="D74FDF30"/>
    <w:rsid w:val="DEAEE68D"/>
    <w:rsid w:val="F7F97754"/>
    <w:rsid w:val="FB7FC3E7"/>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1035</Words>
  <Characters>5906</Characters>
  <Lines>49</Lines>
  <Paragraphs>13</Paragraphs>
  <TotalTime>39</TotalTime>
  <ScaleCrop>false</ScaleCrop>
  <LinksUpToDate>false</LinksUpToDate>
  <CharactersWithSpaces>6928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2019-07-28T02:37:00Z</dcterms:created>
  <dc:creator>Administrator</dc:creator>
  <cp:lastModifiedBy>lenovo</cp:lastModifiedBy>
  <cp:lastPrinted>2012-09-19T14:00:00Z</cp:lastPrinted>
  <dcterms:modified xsi:type="dcterms:W3CDTF">2023-10-10T07:49:16Z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90D74AD8847844C8B6B3F08FF3278CF3_13</vt:lpwstr>
  </property>
</Properties>
</file>