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天津市津南区物业服务中心</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bookmarkStart w:id="32" w:name="_GoBack"/>
      <w:bookmarkEnd w:id="32"/>
    </w:p>
    <w:p>
      <w:pPr>
        <w:pStyle w:val="10"/>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6</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_Toc17918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_Toc23897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_Toc4518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_Toc3411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_Toc31102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_Toc11467 \h </w:instrText>
      </w:r>
      <w:r>
        <w:rPr>
          <w:rFonts w:hint="eastAsia" w:ascii="仿宋_GB2312" w:hAnsi="Times New Roman" w:eastAsia="仿宋_GB2312"/>
          <w:sz w:val="30"/>
          <w:szCs w:val="30"/>
        </w:rPr>
        <w:fldChar w:fldCharType="separate"/>
      </w:r>
      <w:r>
        <w:rPr>
          <w:rFonts w:ascii="仿宋_GB2312" w:hAnsi="Times New Roman" w:eastAsia="仿宋_GB2312"/>
          <w:sz w:val="30"/>
          <w:szCs w:val="30"/>
        </w:rPr>
        <w:t>9</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0"/>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9</w:t>
      </w:r>
      <w:r>
        <w:rPr>
          <w:rFonts w:hint="eastAsia" w:ascii="仿宋_GB2312" w:hAnsi="Times New Roman" w:eastAsia="仿宋_GB2312"/>
          <w:sz w:val="30"/>
          <w:szCs w:val="30"/>
        </w:rPr>
        <w:fldChar w:fldCharType="end"/>
      </w:r>
    </w:p>
    <w:p>
      <w:pPr>
        <w:pStyle w:val="9"/>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ascii="仿宋_GB2312" w:hAnsi="Times New Roman" w:eastAsia="仿宋_GB2312" w:cs="Times New Roman"/>
          <w:sz w:val="30"/>
          <w:szCs w:val="30"/>
        </w:rPr>
        <w:t>11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pacing w:line="580" w:lineRule="exact"/>
        <w:ind w:firstLine="600" w:firstLineChars="200"/>
        <w:rPr>
          <w:rFonts w:hint="eastAsia" w:ascii="MS Serif" w:hAnsi="MS Serif" w:eastAsia="仿宋_GB2312" w:cs="Times New Roman"/>
          <w:sz w:val="30"/>
          <w:szCs w:val="30"/>
          <w:lang w:eastAsia="zh-CN"/>
        </w:rPr>
      </w:pPr>
      <w:bookmarkStart w:id="2" w:name="_Toc17388"/>
      <w:r>
        <w:rPr>
          <w:rFonts w:hint="eastAsia" w:ascii="MS Serif" w:hAnsi="MS Serif" w:eastAsia="仿宋_GB2312" w:cs="Times New Roman"/>
          <w:sz w:val="30"/>
          <w:szCs w:val="30"/>
          <w:lang w:val="en-US" w:eastAsia="zh-CN"/>
        </w:rPr>
        <w:t>1、</w:t>
      </w:r>
      <w:r>
        <w:rPr>
          <w:rFonts w:hint="eastAsia" w:ascii="MS Serif" w:hAnsi="MS Serif" w:eastAsia="仿宋_GB2312" w:cs="Times New Roman"/>
          <w:sz w:val="30"/>
          <w:szCs w:val="30"/>
        </w:rPr>
        <w:t>负责区内物业管理活动的业务指导及日常抽查检查</w:t>
      </w:r>
      <w:r>
        <w:rPr>
          <w:rFonts w:hint="eastAsia" w:ascii="MS Serif" w:hAnsi="MS Serif" w:eastAsia="仿宋_GB2312" w:cs="Times New Roman"/>
          <w:sz w:val="30"/>
          <w:szCs w:val="30"/>
          <w:lang w:eastAsia="zh-CN"/>
        </w:rPr>
        <w:t>；</w:t>
      </w:r>
    </w:p>
    <w:p>
      <w:pPr>
        <w:spacing w:line="580" w:lineRule="exact"/>
        <w:ind w:firstLine="600" w:firstLineChars="200"/>
        <w:rPr>
          <w:rFonts w:hint="eastAsia" w:ascii="MS Serif" w:hAnsi="MS Serif" w:eastAsia="仿宋_GB2312" w:cs="Times New Roman"/>
          <w:sz w:val="30"/>
          <w:szCs w:val="30"/>
        </w:rPr>
      </w:pPr>
      <w:r>
        <w:rPr>
          <w:rFonts w:hint="eastAsia" w:ascii="MS Serif" w:hAnsi="MS Serif" w:eastAsia="仿宋_GB2312" w:cs="Times New Roman"/>
          <w:sz w:val="30"/>
          <w:szCs w:val="30"/>
          <w:lang w:val="en-US" w:eastAsia="zh-CN"/>
        </w:rPr>
        <w:t>2、</w:t>
      </w:r>
      <w:r>
        <w:rPr>
          <w:rFonts w:hint="eastAsia" w:ascii="MS Serif" w:hAnsi="MS Serif" w:eastAsia="仿宋_GB2312" w:cs="Times New Roman"/>
          <w:sz w:val="30"/>
          <w:szCs w:val="30"/>
        </w:rPr>
        <w:t>业主大会以及业主委员会成立、换届、选举等工作的政策咨询及指导；</w:t>
      </w:r>
    </w:p>
    <w:p>
      <w:pPr>
        <w:spacing w:line="580" w:lineRule="exact"/>
        <w:ind w:firstLine="600" w:firstLineChars="200"/>
        <w:rPr>
          <w:rFonts w:hint="eastAsia" w:ascii="MS Serif" w:hAnsi="MS Serif" w:eastAsia="仿宋_GB2312" w:cs="Times New Roman"/>
          <w:sz w:val="30"/>
          <w:szCs w:val="30"/>
        </w:rPr>
      </w:pPr>
      <w:r>
        <w:rPr>
          <w:rFonts w:hint="eastAsia" w:ascii="MS Serif" w:hAnsi="MS Serif" w:eastAsia="仿宋_GB2312" w:cs="Times New Roman"/>
          <w:sz w:val="30"/>
          <w:szCs w:val="30"/>
          <w:lang w:val="en-US" w:eastAsia="zh-CN"/>
        </w:rPr>
        <w:t>3、</w:t>
      </w:r>
      <w:r>
        <w:rPr>
          <w:rFonts w:hint="eastAsia" w:ascii="MS Serif" w:hAnsi="MS Serif" w:eastAsia="仿宋_GB2312" w:cs="Times New Roman"/>
          <w:sz w:val="30"/>
          <w:szCs w:val="30"/>
        </w:rPr>
        <w:t>区内物业行业各类数据的统计分析；</w:t>
      </w:r>
    </w:p>
    <w:p>
      <w:pPr>
        <w:spacing w:line="580" w:lineRule="exact"/>
        <w:ind w:firstLine="600" w:firstLineChars="200"/>
        <w:rPr>
          <w:rFonts w:hint="eastAsia" w:ascii="MS Serif" w:hAnsi="MS Serif" w:eastAsia="仿宋_GB2312" w:cs="Times New Roman"/>
          <w:sz w:val="30"/>
          <w:szCs w:val="30"/>
        </w:rPr>
      </w:pPr>
      <w:r>
        <w:rPr>
          <w:rFonts w:hint="eastAsia" w:ascii="MS Serif" w:hAnsi="MS Serif" w:eastAsia="仿宋_GB2312" w:cs="Times New Roman"/>
          <w:sz w:val="30"/>
          <w:szCs w:val="30"/>
          <w:lang w:val="en-US" w:eastAsia="zh-CN"/>
        </w:rPr>
        <w:t>4、</w:t>
      </w:r>
      <w:r>
        <w:rPr>
          <w:rFonts w:hint="eastAsia" w:ascii="MS Serif" w:hAnsi="MS Serif" w:eastAsia="仿宋_GB2312" w:cs="Times New Roman"/>
          <w:sz w:val="30"/>
          <w:szCs w:val="30"/>
        </w:rPr>
        <w:t>推动利用人民调解化解物业管理矛盾纠纷；</w:t>
      </w:r>
    </w:p>
    <w:p>
      <w:pPr>
        <w:spacing w:line="580" w:lineRule="exact"/>
        <w:ind w:firstLine="600" w:firstLineChars="200"/>
        <w:rPr>
          <w:rFonts w:hint="eastAsia" w:ascii="MS Serif" w:hAnsi="MS Serif" w:eastAsia="仿宋_GB2312" w:cs="Times New Roman"/>
          <w:sz w:val="30"/>
          <w:szCs w:val="30"/>
        </w:rPr>
      </w:pPr>
      <w:r>
        <w:rPr>
          <w:rFonts w:hint="eastAsia" w:ascii="MS Serif" w:hAnsi="MS Serif" w:eastAsia="仿宋_GB2312" w:cs="Times New Roman"/>
          <w:sz w:val="30"/>
          <w:szCs w:val="30"/>
          <w:lang w:val="en-US" w:eastAsia="zh-CN"/>
        </w:rPr>
        <w:t>5、</w:t>
      </w:r>
      <w:r>
        <w:rPr>
          <w:rFonts w:hint="eastAsia" w:ascii="MS Serif" w:hAnsi="MS Serif" w:eastAsia="仿宋_GB2312" w:cs="Times New Roman"/>
          <w:sz w:val="30"/>
          <w:szCs w:val="30"/>
        </w:rPr>
        <w:t>有关物业服务企业诚信工作的具体事务性工作；</w:t>
      </w:r>
    </w:p>
    <w:p>
      <w:pPr>
        <w:spacing w:line="580" w:lineRule="exact"/>
        <w:ind w:firstLine="600" w:firstLineChars="200"/>
        <w:rPr>
          <w:rFonts w:hint="eastAsia" w:ascii="MS Serif" w:hAnsi="MS Serif" w:eastAsia="仿宋_GB2312" w:cs="Times New Roman"/>
          <w:sz w:val="30"/>
          <w:szCs w:val="30"/>
        </w:rPr>
      </w:pPr>
      <w:r>
        <w:rPr>
          <w:rFonts w:hint="eastAsia" w:ascii="MS Serif" w:hAnsi="MS Serif" w:eastAsia="仿宋_GB2312" w:cs="Times New Roman"/>
          <w:sz w:val="30"/>
          <w:szCs w:val="30"/>
          <w:lang w:val="en-US" w:eastAsia="zh-CN"/>
        </w:rPr>
        <w:t>6、</w:t>
      </w:r>
      <w:r>
        <w:rPr>
          <w:rFonts w:hint="eastAsia" w:ascii="MS Serif" w:hAnsi="MS Serif" w:eastAsia="仿宋_GB2312" w:cs="Times New Roman"/>
          <w:sz w:val="30"/>
          <w:szCs w:val="30"/>
        </w:rPr>
        <w:t>物业服务企业预警退出项目管理的协调、指导；</w:t>
      </w:r>
    </w:p>
    <w:p>
      <w:pPr>
        <w:spacing w:line="580" w:lineRule="exact"/>
        <w:ind w:firstLine="600" w:firstLineChars="200"/>
        <w:rPr>
          <w:rFonts w:hint="eastAsia" w:ascii="MS Serif" w:hAnsi="MS Serif" w:eastAsia="仿宋_GB2312" w:cs="Times New Roman"/>
          <w:sz w:val="30"/>
          <w:szCs w:val="30"/>
          <w:lang w:eastAsia="zh-CN"/>
        </w:rPr>
      </w:pPr>
      <w:r>
        <w:rPr>
          <w:rFonts w:hint="eastAsia" w:ascii="MS Serif" w:hAnsi="MS Serif" w:eastAsia="仿宋_GB2312" w:cs="Times New Roman"/>
          <w:sz w:val="30"/>
          <w:szCs w:val="30"/>
          <w:lang w:val="en-US" w:eastAsia="zh-CN"/>
        </w:rPr>
        <w:t>7、</w:t>
      </w:r>
      <w:r>
        <w:rPr>
          <w:rFonts w:hint="eastAsia" w:ascii="MS Serif" w:hAnsi="MS Serif" w:eastAsia="仿宋_GB2312" w:cs="Times New Roman"/>
          <w:sz w:val="30"/>
          <w:szCs w:val="30"/>
        </w:rPr>
        <w:t>《天津市物业管理行政监管信息系统》日常管理维护</w:t>
      </w:r>
      <w:r>
        <w:rPr>
          <w:rFonts w:hint="eastAsia" w:ascii="MS Serif" w:hAnsi="MS Serif" w:eastAsia="仿宋_GB2312" w:cs="Times New Roman"/>
          <w:sz w:val="30"/>
          <w:szCs w:val="30"/>
          <w:lang w:eastAsia="zh-CN"/>
        </w:rPr>
        <w:t>；</w:t>
      </w:r>
    </w:p>
    <w:p>
      <w:pPr>
        <w:spacing w:line="580" w:lineRule="exact"/>
        <w:ind w:firstLine="600" w:firstLineChars="200"/>
        <w:rPr>
          <w:rFonts w:hint="eastAsia" w:ascii="MS Serif" w:hAnsi="MS Serif" w:eastAsia="仿宋_GB2312" w:cs="Times New Roman"/>
          <w:sz w:val="30"/>
          <w:szCs w:val="30"/>
        </w:rPr>
      </w:pPr>
      <w:r>
        <w:rPr>
          <w:rFonts w:hint="eastAsia" w:ascii="MS Serif" w:hAnsi="MS Serif" w:eastAsia="仿宋_GB2312" w:cs="Times New Roman"/>
          <w:sz w:val="30"/>
          <w:szCs w:val="30"/>
          <w:lang w:val="en-US" w:eastAsia="zh-CN"/>
        </w:rPr>
        <w:t>8、</w:t>
      </w:r>
      <w:r>
        <w:rPr>
          <w:rFonts w:hint="eastAsia" w:ascii="MS Serif" w:hAnsi="MS Serif" w:eastAsia="仿宋_GB2312" w:cs="Times New Roman"/>
          <w:sz w:val="30"/>
          <w:szCs w:val="30"/>
        </w:rPr>
        <w:t>负责房屋共用部位、共用设施设备维修资金使用的管理工作；</w:t>
      </w:r>
    </w:p>
    <w:p>
      <w:pPr>
        <w:spacing w:line="580" w:lineRule="exact"/>
        <w:ind w:firstLine="600" w:firstLineChars="200"/>
        <w:rPr>
          <w:rFonts w:hint="eastAsia" w:ascii="MS Serif" w:hAnsi="MS Serif" w:eastAsia="仿宋_GB2312" w:cs="Times New Roman"/>
          <w:sz w:val="30"/>
          <w:szCs w:val="30"/>
        </w:rPr>
      </w:pPr>
      <w:r>
        <w:rPr>
          <w:rFonts w:hint="eastAsia" w:ascii="MS Serif" w:hAnsi="MS Serif" w:eastAsia="仿宋_GB2312" w:cs="Times New Roman"/>
          <w:sz w:val="30"/>
          <w:szCs w:val="30"/>
          <w:lang w:val="en-US" w:eastAsia="zh-CN"/>
        </w:rPr>
        <w:t>9、</w:t>
      </w:r>
      <w:r>
        <w:rPr>
          <w:rFonts w:hint="eastAsia" w:ascii="MS Serif" w:hAnsi="MS Serif" w:eastAsia="仿宋_GB2312" w:cs="Times New Roman"/>
          <w:sz w:val="30"/>
          <w:szCs w:val="30"/>
        </w:rPr>
        <w:t>负责有关两会建议提案办理工作；</w:t>
      </w:r>
    </w:p>
    <w:p>
      <w:pPr>
        <w:spacing w:line="580" w:lineRule="exact"/>
        <w:ind w:firstLine="600" w:firstLineChars="200"/>
        <w:rPr>
          <w:rFonts w:hint="eastAsia" w:ascii="MS Serif" w:hAnsi="MS Serif" w:eastAsia="仿宋_GB2312" w:cs="Times New Roman"/>
          <w:sz w:val="30"/>
          <w:szCs w:val="30"/>
          <w:lang w:eastAsia="zh-CN"/>
        </w:rPr>
      </w:pPr>
      <w:r>
        <w:rPr>
          <w:rFonts w:hint="eastAsia" w:ascii="MS Serif" w:hAnsi="MS Serif" w:eastAsia="仿宋_GB2312" w:cs="Times New Roman"/>
          <w:sz w:val="30"/>
          <w:szCs w:val="30"/>
          <w:lang w:val="en-US" w:eastAsia="zh-CN"/>
        </w:rPr>
        <w:t>10、</w:t>
      </w:r>
      <w:r>
        <w:rPr>
          <w:rFonts w:hint="eastAsia" w:ascii="MS Serif" w:hAnsi="MS Serif" w:eastAsia="仿宋_GB2312" w:cs="Times New Roman"/>
          <w:sz w:val="30"/>
          <w:szCs w:val="30"/>
        </w:rPr>
        <w:t>部门工作制度的起草制定及档案归集整理工作</w:t>
      </w:r>
      <w:r>
        <w:rPr>
          <w:rFonts w:hint="eastAsia" w:ascii="MS Serif" w:hAnsi="MS Serif" w:eastAsia="仿宋_GB2312" w:cs="Times New Roman"/>
          <w:sz w:val="30"/>
          <w:szCs w:val="30"/>
          <w:lang w:eastAsia="zh-CN"/>
        </w:rPr>
        <w:t>；</w:t>
      </w:r>
    </w:p>
    <w:p>
      <w:pPr>
        <w:spacing w:line="580" w:lineRule="exact"/>
        <w:ind w:firstLine="600" w:firstLineChars="200"/>
        <w:rPr>
          <w:rFonts w:hint="eastAsia" w:ascii="MS Serif" w:hAnsi="MS Serif" w:eastAsia="仿宋_GB2312" w:cs="Times New Roman"/>
          <w:sz w:val="30"/>
          <w:szCs w:val="30"/>
        </w:rPr>
      </w:pPr>
      <w:r>
        <w:rPr>
          <w:rFonts w:hint="eastAsia" w:ascii="MS Serif" w:hAnsi="MS Serif" w:eastAsia="仿宋_GB2312" w:cs="Times New Roman"/>
          <w:sz w:val="30"/>
          <w:szCs w:val="30"/>
          <w:lang w:val="en-US" w:eastAsia="zh-CN"/>
        </w:rPr>
        <w:t>11、</w:t>
      </w:r>
      <w:r>
        <w:rPr>
          <w:rFonts w:hint="eastAsia" w:ascii="MS Serif" w:hAnsi="MS Serif" w:eastAsia="仿宋_GB2312" w:cs="Times New Roman"/>
          <w:sz w:val="30"/>
          <w:szCs w:val="30"/>
        </w:rPr>
        <w:t>负责完成领导交办的其他工作。</w:t>
      </w:r>
    </w:p>
    <w:p>
      <w:pPr>
        <w:pStyle w:val="3"/>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天津市津南区物业服务中心部门</w:t>
      </w:r>
      <w:r>
        <w:rPr>
          <w:rFonts w:eastAsia="仿宋_GB2312"/>
          <w:sz w:val="30"/>
          <w:szCs w:val="30"/>
        </w:rPr>
        <w:t>内设</w:t>
      </w:r>
      <w:r>
        <w:rPr>
          <w:rFonts w:hint="eastAsia" w:eastAsia="仿宋_GB2312"/>
          <w:sz w:val="30"/>
          <w:szCs w:val="30"/>
          <w:u w:val="none"/>
          <w:lang w:val="en-US" w:eastAsia="zh-CN"/>
        </w:rPr>
        <w:t>3</w:t>
      </w:r>
      <w:r>
        <w:rPr>
          <w:rFonts w:eastAsia="仿宋_GB2312"/>
          <w:sz w:val="30"/>
          <w:szCs w:val="30"/>
        </w:rPr>
        <w:t>个职能处室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3"/>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天津市津南区物业服务中心2022年度政府性基金预算财政拨款收入支出决算表为空表。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天津市津南区物业服务中心2022年度国有资本经营预算财政拨款收入支出决算表为空表。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天津市津南区物业服务中心2022年度一般公共预算财政拨款“三公”经费支出决算表为空表。</w:t>
      </w:r>
    </w:p>
    <w:p>
      <w:pPr>
        <w:spacing w:line="600" w:lineRule="exact"/>
        <w:rPr>
          <w:rFonts w:ascii="仿宋_GB2312"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天津市津南区物业服务中心</w:t>
      </w:r>
      <w:r>
        <w:rPr>
          <w:rFonts w:hint="eastAsia" w:eastAsia="楷体"/>
          <w:sz w:val="30"/>
          <w:szCs w:val="30"/>
        </w:rPr>
        <w:t>2022</w:t>
      </w:r>
      <w:r>
        <w:rPr>
          <w:rFonts w:hint="eastAsia" w:ascii="仿宋_GB2312" w:eastAsia="仿宋_GB2312" w:cs="仿宋_GB2312"/>
          <w:sz w:val="30"/>
          <w:szCs w:val="30"/>
        </w:rPr>
        <w:t>年度收入、支出决算总计3170526.17元。与2021年度相比，收、支总计各增加185966.42元，增长6.23%，主要原因是</w:t>
      </w:r>
      <w:r>
        <w:rPr>
          <w:rFonts w:hint="eastAsia" w:eastAsia="仿宋_GB2312"/>
          <w:sz w:val="30"/>
          <w:szCs w:val="30"/>
          <w:u w:val="none"/>
          <w:lang w:eastAsia="zh-CN"/>
        </w:rPr>
        <w:t>抚恤金增加</w:t>
      </w:r>
      <w:r>
        <w:rPr>
          <w:rFonts w:hint="eastAsia" w:eastAsia="仿宋_GB2312"/>
          <w:sz w:val="30"/>
          <w:szCs w:val="30"/>
          <w:u w:val="none"/>
          <w:lang w:val="en-US" w:eastAsia="zh-CN"/>
        </w:rPr>
        <w:t>60772.00元，公积金增加57210.00元，其他为工资保险正常调整增加额</w:t>
      </w:r>
      <w:r>
        <w:rPr>
          <w:rFonts w:hint="eastAsia" w:eastAsia="仿宋_GB2312"/>
          <w:sz w:val="30"/>
          <w:szCs w:val="30"/>
        </w:rPr>
        <w:t>。</w:t>
      </w:r>
    </w:p>
    <w:p>
      <w:pPr>
        <w:pStyle w:val="3"/>
        <w:spacing w:before="0" w:after="0" w:line="600" w:lineRule="exact"/>
        <w:ind w:firstLine="600" w:firstLineChars="200"/>
        <w:rPr>
          <w:rFonts w:ascii="黑体" w:hAnsi="黑体" w:eastAsia="黑体" w:cs="仿宋_GB2312"/>
          <w:b w:val="0"/>
          <w:sz w:val="30"/>
          <w:szCs w:val="30"/>
        </w:rPr>
      </w:pPr>
      <w:bookmarkStart w:id="18" w:name="_Toc18552"/>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天津市津南区物业服务中心</w:t>
      </w:r>
      <w:r>
        <w:rPr>
          <w:rFonts w:hint="eastAsia" w:eastAsia="楷体"/>
          <w:sz w:val="30"/>
          <w:szCs w:val="30"/>
        </w:rPr>
        <w:t>2022</w:t>
      </w:r>
      <w:r>
        <w:rPr>
          <w:rFonts w:hint="eastAsia" w:ascii="仿宋_GB2312" w:eastAsia="仿宋_GB2312" w:cs="仿宋_GB2312"/>
          <w:sz w:val="30"/>
          <w:szCs w:val="30"/>
        </w:rPr>
        <w:t>年度本年收入合计3170526.17元，与2021年度相比增加185966.42元，主要原因是</w:t>
      </w:r>
      <w:r>
        <w:rPr>
          <w:rFonts w:hint="eastAsia" w:eastAsia="仿宋_GB2312"/>
          <w:sz w:val="30"/>
          <w:szCs w:val="30"/>
          <w:u w:val="none"/>
          <w:lang w:eastAsia="zh-CN"/>
        </w:rPr>
        <w:t>抚恤金增加</w:t>
      </w:r>
      <w:r>
        <w:rPr>
          <w:rFonts w:hint="eastAsia" w:eastAsia="仿宋_GB2312"/>
          <w:sz w:val="30"/>
          <w:szCs w:val="30"/>
          <w:u w:val="none"/>
          <w:lang w:val="en-US" w:eastAsia="zh-CN"/>
        </w:rPr>
        <w:t>60772.00元，公积金增加57210.00元，其他为工资保险正常调整增加额</w:t>
      </w:r>
      <w:r>
        <w:rPr>
          <w:rFonts w:hint="eastAsia" w:eastAsia="仿宋_GB2312"/>
          <w:sz w:val="30"/>
          <w:szCs w:val="30"/>
        </w:rPr>
        <w:t>。</w:t>
      </w:r>
      <w:r>
        <w:rPr>
          <w:rFonts w:hint="eastAsia" w:ascii="仿宋_GB2312" w:eastAsia="仿宋_GB2312" w:cs="仿宋_GB2312"/>
          <w:sz w:val="30"/>
          <w:szCs w:val="30"/>
        </w:rPr>
        <w:t>其中：一般公共预算财政拨款收入3170526.17元，占100.00%。</w:t>
      </w:r>
    </w:p>
    <w:p>
      <w:pPr>
        <w:pStyle w:val="3"/>
        <w:spacing w:before="0" w:after="0" w:line="600" w:lineRule="exact"/>
        <w:ind w:firstLine="600" w:firstLineChars="200"/>
        <w:rPr>
          <w:rFonts w:ascii="黑体" w:hAnsi="黑体" w:eastAsia="黑体" w:cs="仿宋_GB2312"/>
          <w:b w:val="0"/>
          <w:sz w:val="30"/>
          <w:szCs w:val="30"/>
        </w:rPr>
      </w:pPr>
      <w:bookmarkStart w:id="19" w:name="_Toc26952"/>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天津市津南区物业服务中心</w:t>
      </w:r>
      <w:r>
        <w:rPr>
          <w:rFonts w:hint="eastAsia" w:eastAsia="楷体"/>
          <w:sz w:val="30"/>
          <w:szCs w:val="30"/>
        </w:rPr>
        <w:t>2022</w:t>
      </w:r>
      <w:r>
        <w:rPr>
          <w:rFonts w:hint="eastAsia" w:ascii="仿宋_GB2312" w:eastAsia="仿宋_GB2312" w:cs="仿宋_GB2312"/>
          <w:sz w:val="30"/>
          <w:szCs w:val="30"/>
        </w:rPr>
        <w:t>年度本年支出合计3170526.17元，与2021年度相比增加189077.46元，主要原因是</w:t>
      </w:r>
      <w:r>
        <w:rPr>
          <w:rFonts w:hint="eastAsia" w:eastAsia="仿宋_GB2312"/>
          <w:sz w:val="30"/>
          <w:szCs w:val="30"/>
          <w:u w:val="none"/>
          <w:lang w:eastAsia="zh-CN"/>
        </w:rPr>
        <w:t>抚恤金增加</w:t>
      </w:r>
      <w:r>
        <w:rPr>
          <w:rFonts w:hint="eastAsia" w:eastAsia="仿宋_GB2312"/>
          <w:sz w:val="30"/>
          <w:szCs w:val="30"/>
          <w:u w:val="none"/>
          <w:lang w:val="en-US" w:eastAsia="zh-CN"/>
        </w:rPr>
        <w:t>60772.00元，公积金增加57210.00元，其他为工资保险正常调整增加额</w:t>
      </w:r>
      <w:r>
        <w:rPr>
          <w:rFonts w:hint="eastAsia" w:eastAsia="仿宋_GB2312"/>
          <w:sz w:val="30"/>
          <w:szCs w:val="30"/>
        </w:rPr>
        <w:t>。</w:t>
      </w:r>
      <w:r>
        <w:rPr>
          <w:rFonts w:hint="eastAsia" w:ascii="仿宋_GB2312" w:eastAsia="仿宋_GB2312" w:cs="仿宋_GB2312"/>
          <w:sz w:val="30"/>
          <w:szCs w:val="30"/>
        </w:rPr>
        <w:t>其中：基本支出3161326.17元，占99.71%；项目支出9200.00元，占0.29%。</w:t>
      </w:r>
    </w:p>
    <w:p>
      <w:pPr>
        <w:pStyle w:val="3"/>
        <w:spacing w:before="0" w:after="0" w:line="600" w:lineRule="exact"/>
        <w:ind w:firstLine="600" w:firstLineChars="200"/>
        <w:rPr>
          <w:rFonts w:ascii="黑体" w:hAnsi="黑体" w:eastAsia="黑体"/>
          <w:b w:val="0"/>
          <w:sz w:val="30"/>
          <w:szCs w:val="30"/>
        </w:rPr>
      </w:pPr>
      <w:bookmarkStart w:id="20" w:name="_Toc1812"/>
      <w:r>
        <w:rPr>
          <w:rFonts w:hint="eastAsia" w:ascii="黑体" w:hAnsi="黑体" w:eastAsia="黑体"/>
          <w:b w:val="0"/>
          <w:sz w:val="30"/>
          <w:szCs w:val="30"/>
        </w:rPr>
        <w:t>四、财政拨款收支决算总体情况说明</w:t>
      </w:r>
      <w:bookmarkEnd w:id="20"/>
    </w:p>
    <w:p>
      <w:pPr>
        <w:spacing w:line="600" w:lineRule="exact"/>
        <w:rPr>
          <w:rFonts w:eastAsia="楷体_GB2312"/>
          <w:b/>
          <w:sz w:val="30"/>
          <w:szCs w:val="30"/>
        </w:rPr>
      </w:pPr>
      <w:r>
        <w:rPr>
          <w:rFonts w:hint="eastAsia" w:eastAsia="仿宋_GB2312"/>
          <w:sz w:val="30"/>
          <w:szCs w:val="30"/>
        </w:rPr>
        <w:t xml:space="preserve">    </w:t>
      </w:r>
      <w:r>
        <w:rPr>
          <w:rFonts w:hint="eastAsia" w:ascii="仿宋_GB2312" w:eastAsia="仿宋_GB2312" w:cs="仿宋_GB2312"/>
          <w:sz w:val="30"/>
          <w:szCs w:val="30"/>
        </w:rPr>
        <w:t>天津市津南区物业服务中心</w:t>
      </w:r>
      <w:r>
        <w:rPr>
          <w:rFonts w:hint="eastAsia" w:eastAsia="楷体"/>
          <w:sz w:val="30"/>
          <w:szCs w:val="30"/>
        </w:rPr>
        <w:t>2022</w:t>
      </w:r>
      <w:r>
        <w:rPr>
          <w:rFonts w:hint="eastAsia" w:ascii="仿宋_GB2312" w:eastAsia="仿宋_GB2312" w:cs="仿宋_GB2312"/>
          <w:sz w:val="30"/>
          <w:szCs w:val="30"/>
        </w:rPr>
        <w:t>年度财政拨款收入、支出决算总计3170526.17元。与2021年度相比，财政拨款收、支总计各增加185966.42元，增长6.23%，主要原因是</w:t>
      </w:r>
      <w:r>
        <w:rPr>
          <w:rFonts w:hint="eastAsia" w:eastAsia="仿宋_GB2312"/>
          <w:sz w:val="30"/>
          <w:szCs w:val="30"/>
          <w:u w:val="none"/>
          <w:lang w:eastAsia="zh-CN"/>
        </w:rPr>
        <w:t>抚恤金增加</w:t>
      </w:r>
      <w:r>
        <w:rPr>
          <w:rFonts w:hint="eastAsia" w:eastAsia="仿宋_GB2312"/>
          <w:sz w:val="30"/>
          <w:szCs w:val="30"/>
          <w:u w:val="none"/>
          <w:lang w:val="en-US" w:eastAsia="zh-CN"/>
        </w:rPr>
        <w:t>60772.00元，公积金增加57210.00元，其他为工资保险正常调整增加额</w:t>
      </w:r>
      <w:r>
        <w:rPr>
          <w:rFonts w:hint="eastAsia" w:eastAsia="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1" w:name="_Toc10091"/>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天津市津南区物业服务中心</w:t>
      </w:r>
      <w:r>
        <w:rPr>
          <w:rFonts w:hint="eastAsia" w:eastAsia="楷体"/>
          <w:sz w:val="30"/>
          <w:szCs w:val="30"/>
        </w:rPr>
        <w:t>2022</w:t>
      </w:r>
      <w:r>
        <w:rPr>
          <w:rFonts w:hint="eastAsia" w:ascii="仿宋_GB2312" w:eastAsia="仿宋_GB2312" w:cs="仿宋_GB2312"/>
          <w:sz w:val="30"/>
          <w:szCs w:val="30"/>
        </w:rPr>
        <w:t>年度一般公共预算财政拨款支出合计3170526.17元，占本年支出合计的100.00%。与2021年度相比，一般公共预算财政拨款支出增加189077.46元，增长6.34%，主要原因是</w:t>
      </w:r>
      <w:r>
        <w:rPr>
          <w:rFonts w:hint="eastAsia" w:eastAsia="仿宋_GB2312"/>
          <w:sz w:val="30"/>
          <w:szCs w:val="30"/>
          <w:u w:val="none"/>
          <w:lang w:eastAsia="zh-CN"/>
        </w:rPr>
        <w:t>抚恤金增加</w:t>
      </w:r>
      <w:r>
        <w:rPr>
          <w:rFonts w:hint="eastAsia" w:eastAsia="仿宋_GB2312"/>
          <w:sz w:val="30"/>
          <w:szCs w:val="30"/>
          <w:u w:val="none"/>
          <w:lang w:val="en-US" w:eastAsia="zh-CN"/>
        </w:rPr>
        <w:t>60772.00元，公积金增加57210.00元，其他为工资保险正常调整增加额</w:t>
      </w:r>
      <w:r>
        <w:rPr>
          <w:rFonts w:hint="eastAsia" w:eastAsia="仿宋_GB2312"/>
          <w:sz w:val="30"/>
          <w:szCs w:val="30"/>
        </w:rPr>
        <w:t>。</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年度一般公共预算财政拨款支出3170526.17元，主要用于以下方面：</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一般公共服务支出（类）支出9200.00元，占0.29%；</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社会保障和就业支出（类）支出233504.64元，占7.36%；</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卫生健康支出（类）支出201943.60元，占6.37%；</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城乡社区支出（类）支出2567729.93元，占80.99%；</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住房保障支出（类）支出158148.00元，占4.99%。</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年度一般公共预算财政拨款支出年初预算为3111808.71元，支出决算为3170526.17元，完成年初预算的101.89%。其中：</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一般公共服务支出（类）政府办公厅（室）及相关机构事务（款）事业运行（项）年初预算</w:t>
      </w:r>
      <w:r>
        <w:rPr>
          <w:rFonts w:hint="eastAsia" w:ascii="仿宋_GB2312" w:eastAsia="仿宋_GB2312" w:cs="仿宋_GB2312"/>
          <w:sz w:val="30"/>
          <w:szCs w:val="30"/>
          <w:lang w:eastAsia="zh-CN"/>
        </w:rPr>
        <w:t>为</w:t>
      </w:r>
      <w:r>
        <w:rPr>
          <w:rFonts w:hint="eastAsia" w:ascii="仿宋_GB2312" w:eastAsia="仿宋_GB2312" w:cs="仿宋_GB2312"/>
          <w:sz w:val="30"/>
          <w:szCs w:val="30"/>
          <w:u w:val="none"/>
          <w:lang w:val="en-US" w:eastAsia="zh-CN"/>
        </w:rPr>
        <w:t>9200.00</w:t>
      </w:r>
      <w:r>
        <w:rPr>
          <w:rFonts w:hint="eastAsia" w:ascii="仿宋_GB2312" w:eastAsia="仿宋_GB2312" w:cs="仿宋_GB2312"/>
          <w:sz w:val="30"/>
          <w:szCs w:val="30"/>
        </w:rPr>
        <w:t>元，支出决算为9200.00元，完成年初预算数的</w:t>
      </w:r>
      <w:r>
        <w:rPr>
          <w:rFonts w:hint="eastAsia" w:ascii="仿宋_GB2312" w:eastAsia="仿宋_GB2312" w:cs="仿宋_GB2312"/>
          <w:sz w:val="30"/>
          <w:szCs w:val="30"/>
          <w:u w:val="none"/>
          <w:lang w:val="en-US" w:eastAsia="zh-CN"/>
        </w:rPr>
        <w:t>100.00</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与上年持平</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社会保障和就业支出（类）行政事业单位养老支出（款）机关事业单位基本养老保险缴费支出（项）年初预算为</w:t>
      </w:r>
      <w:r>
        <w:rPr>
          <w:rFonts w:hint="eastAsia" w:ascii="仿宋_GB2312" w:eastAsia="仿宋_GB2312" w:cs="仿宋_GB2312"/>
          <w:sz w:val="30"/>
          <w:szCs w:val="30"/>
          <w:u w:val="none"/>
          <w:lang w:val="en-US" w:eastAsia="zh-CN"/>
        </w:rPr>
        <w:t>156890.00</w:t>
      </w:r>
      <w:r>
        <w:rPr>
          <w:rFonts w:hint="eastAsia" w:ascii="仿宋_GB2312" w:eastAsia="仿宋_GB2312" w:cs="仿宋_GB2312"/>
          <w:sz w:val="30"/>
          <w:szCs w:val="30"/>
        </w:rPr>
        <w:t>元，支出决算为155669.76元，完成年初预算数的</w:t>
      </w:r>
      <w:r>
        <w:rPr>
          <w:rFonts w:hint="eastAsia" w:ascii="仿宋_GB2312" w:eastAsia="仿宋_GB2312" w:cs="仿宋_GB2312"/>
          <w:sz w:val="30"/>
          <w:szCs w:val="30"/>
          <w:lang w:val="en-US" w:eastAsia="zh-CN"/>
        </w:rPr>
        <w:t>99.22</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与上年持平</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社会保障和就业支出（类）行政事业单位养老支出（款）机关事业单位职业年金缴费支出（项）年初预算为</w:t>
      </w:r>
      <w:r>
        <w:rPr>
          <w:rFonts w:hint="eastAsia" w:ascii="仿宋_GB2312" w:eastAsia="仿宋_GB2312" w:cs="仿宋_GB2312"/>
          <w:sz w:val="30"/>
          <w:szCs w:val="30"/>
          <w:lang w:val="en-US" w:eastAsia="zh-CN"/>
        </w:rPr>
        <w:t>78445.44</w:t>
      </w:r>
      <w:r>
        <w:rPr>
          <w:rFonts w:hint="eastAsia" w:ascii="仿宋_GB2312" w:eastAsia="仿宋_GB2312" w:cs="仿宋_GB2312"/>
          <w:sz w:val="30"/>
          <w:szCs w:val="30"/>
        </w:rPr>
        <w:t>元，支出决算为77834.88元，完成年初预算数的</w:t>
      </w:r>
      <w:r>
        <w:rPr>
          <w:rFonts w:hint="eastAsia" w:ascii="仿宋_GB2312" w:eastAsia="仿宋_GB2312" w:cs="仿宋_GB2312"/>
          <w:sz w:val="30"/>
          <w:szCs w:val="30"/>
          <w:lang w:val="en-US" w:eastAsia="zh-CN"/>
        </w:rPr>
        <w:t>99.22</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与上年持平</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卫生健康支出（类）行政事业单位医疗（款）事业单位医疗（项）年初预算为98056</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8</w:t>
      </w:r>
      <w:r>
        <w:rPr>
          <w:rFonts w:hint="eastAsia" w:ascii="仿宋_GB2312" w:eastAsia="仿宋_GB2312" w:cs="仿宋_GB2312"/>
          <w:sz w:val="30"/>
          <w:szCs w:val="30"/>
          <w:lang w:val="en-US" w:eastAsia="zh-CN"/>
        </w:rPr>
        <w:t>0</w:t>
      </w:r>
      <w:r>
        <w:rPr>
          <w:rFonts w:hint="eastAsia" w:ascii="仿宋_GB2312" w:eastAsia="仿宋_GB2312" w:cs="仿宋_GB2312"/>
          <w:sz w:val="30"/>
          <w:szCs w:val="30"/>
        </w:rPr>
        <w:t>元，支出决算为97293.60元，完成年初预算数的</w:t>
      </w:r>
      <w:r>
        <w:rPr>
          <w:rFonts w:hint="eastAsia" w:ascii="仿宋_GB2312" w:eastAsia="仿宋_GB2312" w:cs="仿宋_GB2312"/>
          <w:sz w:val="30"/>
          <w:szCs w:val="30"/>
          <w:lang w:val="en-US" w:eastAsia="zh-CN"/>
        </w:rPr>
        <w:t>99.22</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与上年持平</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卫生健康支出（类）行政事业单位医疗（款）其他行政事业单位医疗支出（项）年初预算为1104</w:t>
      </w:r>
      <w:r>
        <w:rPr>
          <w:rFonts w:hint="eastAsia" w:ascii="仿宋_GB2312" w:eastAsia="仿宋_GB2312" w:cs="仿宋_GB2312"/>
          <w:sz w:val="30"/>
          <w:szCs w:val="30"/>
          <w:lang w:val="en-US" w:eastAsia="zh-CN"/>
        </w:rPr>
        <w:t>00.00</w:t>
      </w:r>
      <w:r>
        <w:rPr>
          <w:rFonts w:hint="eastAsia" w:ascii="仿宋_GB2312" w:eastAsia="仿宋_GB2312" w:cs="仿宋_GB2312"/>
          <w:sz w:val="30"/>
          <w:szCs w:val="30"/>
        </w:rPr>
        <w:t>元，支出决算为104650.00元，完成年初预算数的</w:t>
      </w:r>
      <w:r>
        <w:rPr>
          <w:rFonts w:hint="eastAsia" w:ascii="仿宋_GB2312" w:eastAsia="仿宋_GB2312" w:cs="仿宋_GB2312"/>
          <w:sz w:val="30"/>
          <w:szCs w:val="30"/>
          <w:lang w:val="en-US" w:eastAsia="zh-CN"/>
        </w:rPr>
        <w:t>94.79</w:t>
      </w:r>
      <w:r>
        <w:rPr>
          <w:rFonts w:hint="eastAsia" w:ascii="仿宋_GB2312" w:eastAsia="仿宋_GB2312" w:cs="仿宋_GB2312"/>
          <w:sz w:val="30"/>
          <w:szCs w:val="30"/>
        </w:rPr>
        <w:t>%，决算数小于年初预算数的主要原因是</w:t>
      </w:r>
      <w:r>
        <w:rPr>
          <w:rFonts w:hint="eastAsia" w:ascii="仿宋_GB2312" w:eastAsia="仿宋_GB2312" w:cs="仿宋_GB2312"/>
          <w:sz w:val="30"/>
          <w:szCs w:val="30"/>
          <w:lang w:eastAsia="zh-CN"/>
        </w:rPr>
        <w:t>二次报销保单降费</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城乡社区支出（类）城乡社区管理事务（款）其他城乡社区管理事务支出（项）年初预算为2493960</w:t>
      </w:r>
      <w:r>
        <w:rPr>
          <w:rFonts w:hint="eastAsia" w:ascii="仿宋_GB2312" w:eastAsia="仿宋_GB2312" w:cs="仿宋_GB2312"/>
          <w:sz w:val="30"/>
          <w:szCs w:val="30"/>
          <w:lang w:val="en-US" w:eastAsia="zh-CN"/>
        </w:rPr>
        <w:t>.</w:t>
      </w:r>
      <w:r>
        <w:rPr>
          <w:rFonts w:hint="eastAsia" w:ascii="仿宋_GB2312" w:eastAsia="仿宋_GB2312" w:cs="仿宋_GB2312"/>
          <w:sz w:val="30"/>
          <w:szCs w:val="30"/>
        </w:rPr>
        <w:t>47元，支出决算为2567729.93元，完成年初预算数的</w:t>
      </w:r>
      <w:r>
        <w:rPr>
          <w:rFonts w:hint="eastAsia" w:ascii="仿宋_GB2312" w:eastAsia="仿宋_GB2312" w:cs="仿宋_GB2312"/>
          <w:sz w:val="30"/>
          <w:szCs w:val="30"/>
          <w:lang w:val="en-US" w:eastAsia="zh-CN"/>
        </w:rPr>
        <w:t>102.96</w:t>
      </w:r>
      <w:r>
        <w:rPr>
          <w:rFonts w:hint="eastAsia" w:ascii="仿宋_GB2312" w:eastAsia="仿宋_GB2312" w:cs="仿宋_GB2312"/>
          <w:sz w:val="30"/>
          <w:szCs w:val="30"/>
        </w:rPr>
        <w:t>%，决算数大于年初预算数的主要原因是</w:t>
      </w:r>
      <w:r>
        <w:rPr>
          <w:rFonts w:hint="eastAsia" w:eastAsia="仿宋_GB2312"/>
          <w:sz w:val="30"/>
          <w:szCs w:val="30"/>
          <w:u w:val="none"/>
          <w:lang w:eastAsia="zh-CN"/>
        </w:rPr>
        <w:t>抚恤金增加</w:t>
      </w:r>
      <w:r>
        <w:rPr>
          <w:rFonts w:hint="eastAsia" w:eastAsia="仿宋_GB2312"/>
          <w:sz w:val="30"/>
          <w:szCs w:val="30"/>
          <w:u w:val="none"/>
          <w:lang w:val="en-US" w:eastAsia="zh-CN"/>
        </w:rPr>
        <w:t>60772.00元，其他为工资保险正常调整增加额</w:t>
      </w:r>
      <w:r>
        <w:rPr>
          <w:rFonts w:hint="eastAsia" w:ascii="仿宋_GB2312" w:eastAsia="仿宋_GB2312" w:cs="仿宋_GB2312"/>
          <w:sz w:val="30"/>
          <w:szCs w:val="30"/>
        </w:rPr>
        <w:t>。</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住房保障支出（类）住房改革支出（款）住房公积金（项）年初预算为164856</w:t>
      </w:r>
      <w:r>
        <w:rPr>
          <w:rFonts w:hint="eastAsia" w:ascii="仿宋_GB2312" w:eastAsia="仿宋_GB2312" w:cs="仿宋_GB2312"/>
          <w:sz w:val="30"/>
          <w:szCs w:val="30"/>
          <w:lang w:val="en-US" w:eastAsia="zh-CN"/>
        </w:rPr>
        <w:t>.00</w:t>
      </w:r>
      <w:r>
        <w:rPr>
          <w:rFonts w:hint="eastAsia" w:ascii="仿宋_GB2312" w:eastAsia="仿宋_GB2312" w:cs="仿宋_GB2312"/>
          <w:sz w:val="30"/>
          <w:szCs w:val="30"/>
        </w:rPr>
        <w:t>元，支出决算为158148.00元，完成年初预算数的</w:t>
      </w:r>
      <w:r>
        <w:rPr>
          <w:rFonts w:hint="eastAsia" w:ascii="仿宋_GB2312" w:eastAsia="仿宋_GB2312" w:cs="仿宋_GB2312"/>
          <w:sz w:val="30"/>
          <w:szCs w:val="30"/>
          <w:lang w:val="en-US" w:eastAsia="zh-CN"/>
        </w:rPr>
        <w:t>95.93</w:t>
      </w:r>
      <w:r>
        <w:rPr>
          <w:rFonts w:hint="eastAsia" w:ascii="仿宋_GB2312" w:eastAsia="仿宋_GB2312" w:cs="仿宋_GB2312"/>
          <w:sz w:val="30"/>
          <w:szCs w:val="30"/>
        </w:rPr>
        <w:t>%，决算数小于年初预算数的主要原因是是</w:t>
      </w:r>
      <w:r>
        <w:rPr>
          <w:rFonts w:hint="eastAsia" w:ascii="仿宋_GB2312" w:eastAsia="仿宋_GB2312" w:cs="仿宋_GB2312"/>
          <w:sz w:val="30"/>
          <w:szCs w:val="30"/>
          <w:lang w:eastAsia="zh-CN"/>
        </w:rPr>
        <w:t>与上年持平</w:t>
      </w:r>
      <w:r>
        <w:rPr>
          <w:rFonts w:hint="eastAsia" w:ascii="仿宋_GB2312" w:eastAsia="仿宋_GB2312" w:cs="仿宋_GB2312"/>
          <w:sz w:val="30"/>
          <w:szCs w:val="30"/>
        </w:rPr>
        <w:t>。</w:t>
      </w:r>
    </w:p>
    <w:p>
      <w:pPr>
        <w:pStyle w:val="3"/>
        <w:spacing w:before="0" w:after="0" w:line="600" w:lineRule="exact"/>
        <w:ind w:firstLine="600" w:firstLineChars="200"/>
        <w:rPr>
          <w:rFonts w:ascii="黑体" w:hAnsi="黑体" w:eastAsia="黑体"/>
          <w:b w:val="0"/>
          <w:sz w:val="30"/>
          <w:szCs w:val="30"/>
        </w:rPr>
      </w:pPr>
      <w:bookmarkStart w:id="22" w:name="_Toc10721"/>
      <w:r>
        <w:rPr>
          <w:rFonts w:ascii="黑体" w:hAnsi="黑体" w:eastAsia="黑体"/>
          <w:b w:val="0"/>
          <w:sz w:val="30"/>
          <w:szCs w:val="30"/>
        </w:rPr>
        <w:t>六、一般公共预算财政拨款基本支出决算情况</w:t>
      </w:r>
      <w:r>
        <w:rPr>
          <w:rFonts w:hint="eastAsia" w:ascii="黑体" w:hAnsi="黑体" w:eastAsia="黑体"/>
          <w:b w:val="0"/>
          <w:sz w:val="30"/>
          <w:szCs w:val="30"/>
        </w:rPr>
        <w:t>说明</w:t>
      </w:r>
      <w:bookmarkEnd w:id="22"/>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天津市津南区物业服务中心</w:t>
      </w:r>
      <w:r>
        <w:rPr>
          <w:rFonts w:hint="eastAsia" w:eastAsia="楷体"/>
          <w:sz w:val="30"/>
          <w:szCs w:val="30"/>
        </w:rPr>
        <w:t>2022</w:t>
      </w:r>
      <w:r>
        <w:rPr>
          <w:rFonts w:hint="eastAsia" w:ascii="仿宋_GB2312" w:eastAsia="仿宋_GB2312" w:cs="仿宋_GB2312"/>
          <w:sz w:val="30"/>
          <w:szCs w:val="30"/>
        </w:rPr>
        <w:t>年度一般公共预算财政拨款基本支出合计3161326.17元，与2021年度相比增加179877.46元，主要原因是</w:t>
      </w:r>
      <w:r>
        <w:rPr>
          <w:rFonts w:hint="eastAsia" w:eastAsia="仿宋_GB2312"/>
          <w:sz w:val="30"/>
          <w:szCs w:val="30"/>
          <w:u w:val="none"/>
          <w:lang w:eastAsia="zh-CN"/>
        </w:rPr>
        <w:t>抚恤金增加</w:t>
      </w:r>
      <w:r>
        <w:rPr>
          <w:rFonts w:hint="eastAsia" w:eastAsia="仿宋_GB2312"/>
          <w:sz w:val="30"/>
          <w:szCs w:val="30"/>
          <w:u w:val="none"/>
          <w:lang w:val="en-US" w:eastAsia="zh-CN"/>
        </w:rPr>
        <w:t>60772.00元，公积金增加57210.00元，其他为工资保险正常调整增加额</w:t>
      </w:r>
      <w:r>
        <w:rPr>
          <w:rFonts w:hint="eastAsia" w:eastAsia="仿宋_GB2312"/>
          <w:sz w:val="30"/>
          <w:szCs w:val="30"/>
        </w:rPr>
        <w:t>。</w:t>
      </w:r>
      <w:r>
        <w:rPr>
          <w:rFonts w:hint="eastAsia" w:ascii="仿宋_GB2312" w:eastAsia="仿宋_GB2312" w:cs="仿宋_GB2312"/>
          <w:sz w:val="30"/>
          <w:szCs w:val="30"/>
        </w:rPr>
        <w:t>其中：</w:t>
      </w:r>
      <w:r>
        <w:rPr>
          <w:rFonts w:hint="eastAsia" w:ascii="仿宋_GB2312" w:eastAsia="仿宋_GB2312" w:cs="仿宋_GB2312"/>
          <w:sz w:val="30"/>
          <w:szCs w:val="30"/>
        </w:rPr>
        <w:br w:type="textWrapping"/>
      </w:r>
      <w:r>
        <w:rPr>
          <w:rFonts w:hint="eastAsia" w:ascii="仿宋_GB2312" w:eastAsia="仿宋_GB2312" w:cs="仿宋_GB2312"/>
          <w:sz w:val="30"/>
          <w:szCs w:val="30"/>
        </w:rPr>
        <w:t>　　人员经费2918930.95元，主要包括基本工资、津贴补贴、绩效工资、机关事业单位养老保险缴费、职业年金缴费、职工基本医疗保险缴费、其他社会保障缴费、住房公积金、其他工资福利支出、离休费、退休费、抚恤金；</w:t>
      </w:r>
      <w:r>
        <w:rPr>
          <w:rFonts w:hint="eastAsia" w:ascii="仿宋_GB2312" w:eastAsia="仿宋_GB2312" w:cs="仿宋_GB2312"/>
          <w:sz w:val="30"/>
          <w:szCs w:val="30"/>
        </w:rPr>
        <w:br w:type="textWrapping"/>
      </w:r>
      <w:r>
        <w:rPr>
          <w:rFonts w:hint="eastAsia" w:ascii="仿宋_GB2312" w:eastAsia="仿宋_GB2312" w:cs="仿宋_GB2312"/>
          <w:sz w:val="30"/>
          <w:szCs w:val="30"/>
        </w:rPr>
        <w:t>　　公用经费242395.22元，主要包括办公费、邮电费、差旅费、维修（护）费、工会经费、福利费、其他商品和服务支出。</w:t>
      </w:r>
    </w:p>
    <w:p>
      <w:pPr>
        <w:pStyle w:val="3"/>
        <w:spacing w:before="0" w:after="0" w:line="600" w:lineRule="exact"/>
        <w:ind w:firstLine="600" w:firstLineChars="200"/>
        <w:rPr>
          <w:rFonts w:ascii="楷体" w:hAnsi="楷体" w:eastAsia="楷体" w:cs="仿宋_GB2312"/>
          <w:b w:val="0"/>
          <w:sz w:val="30"/>
          <w:szCs w:val="30"/>
        </w:rPr>
      </w:pPr>
      <w:bookmarkStart w:id="23" w:name="_Toc17918"/>
      <w:r>
        <w:rPr>
          <w:rFonts w:hint="eastAsia" w:ascii="黑体" w:hAnsi="黑体" w:eastAsia="黑体"/>
          <w:b w:val="0"/>
          <w:sz w:val="30"/>
          <w:szCs w:val="30"/>
        </w:rPr>
        <w:t>七</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rPr>
        <w:t>说明</w:t>
      </w:r>
      <w:bookmarkEnd w:id="23"/>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天津市津南区物业服务中心2022年度无政府性基金预算财政拨款收入、支出和结转结余。</w:t>
      </w:r>
    </w:p>
    <w:p>
      <w:pPr>
        <w:pStyle w:val="3"/>
        <w:spacing w:before="0" w:after="0" w:line="600" w:lineRule="exact"/>
        <w:ind w:firstLine="600" w:firstLineChars="200"/>
        <w:rPr>
          <w:rFonts w:eastAsia="黑体"/>
          <w:b w:val="0"/>
          <w:sz w:val="30"/>
          <w:szCs w:val="30"/>
        </w:rPr>
      </w:pPr>
      <w:bookmarkStart w:id="24" w:name="_Toc23897"/>
      <w:r>
        <w:rPr>
          <w:rFonts w:hint="eastAsia" w:eastAsia="黑体"/>
          <w:b w:val="0"/>
          <w:sz w:val="30"/>
          <w:szCs w:val="30"/>
        </w:rPr>
        <w:t>八、国有资本经营预算财政拨款收支决算情况</w:t>
      </w:r>
      <w:r>
        <w:rPr>
          <w:rFonts w:hint="eastAsia" w:ascii="黑体" w:hAnsi="黑体" w:eastAsia="黑体"/>
          <w:b w:val="0"/>
          <w:bCs w:val="0"/>
          <w:sz w:val="30"/>
          <w:szCs w:val="30"/>
        </w:rPr>
        <w:t>说明</w:t>
      </w:r>
      <w:bookmarkEnd w:id="24"/>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天津市津南区物业服务中心2022年度无国有资本经营预算财政拨款收入、支出和结转结余。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5" w:name="_Toc4518"/>
      <w:r>
        <w:rPr>
          <w:rFonts w:hint="eastAsia" w:ascii="黑体" w:hAnsi="黑体" w:eastAsia="黑体"/>
          <w:b w:val="0"/>
          <w:sz w:val="30"/>
          <w:szCs w:val="30"/>
        </w:rPr>
        <w:t>九、</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rPr>
        <w:t>说明</w:t>
      </w:r>
      <w:bookmarkEnd w:id="25"/>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（一）总体情况</w:t>
      </w:r>
    </w:p>
    <w:p>
      <w:pPr>
        <w:spacing w:line="600" w:lineRule="exact"/>
        <w:ind w:firstLine="645"/>
        <w:jc w:val="both"/>
        <w:rPr>
          <w:rFonts w:ascii="仿宋_GB2312" w:eastAsia="仿宋_GB2312" w:cs="仿宋_GB2312"/>
          <w:sz w:val="30"/>
          <w:szCs w:val="30"/>
        </w:rPr>
      </w:pPr>
      <w:r>
        <w:rPr>
          <w:rFonts w:hint="eastAsia" w:eastAsia="楷体"/>
          <w:sz w:val="30"/>
          <w:szCs w:val="30"/>
        </w:rPr>
        <w:t>2022</w:t>
      </w:r>
      <w:r>
        <w:rPr>
          <w:rFonts w:hint="eastAsia" w:ascii="仿宋_GB2312" w:eastAsia="仿宋_GB2312" w:cs="仿宋_GB2312"/>
          <w:sz w:val="30"/>
          <w:szCs w:val="30"/>
        </w:rPr>
        <w:t>年一般公共预算财政拨款“三公”经费预算0.00元，支出决算0.00元（去年同期0.00元），支出决算与</w:t>
      </w:r>
      <w:r>
        <w:rPr>
          <w:rFonts w:hint="eastAsia" w:eastAsia="楷体"/>
          <w:sz w:val="30"/>
          <w:szCs w:val="30"/>
        </w:rPr>
        <w:t>2022</w:t>
      </w:r>
      <w:r>
        <w:rPr>
          <w:rFonts w:hint="eastAsia" w:ascii="仿宋_GB2312" w:eastAsia="仿宋_GB2312" w:cs="仿宋_GB2312"/>
          <w:sz w:val="30"/>
          <w:szCs w:val="30"/>
        </w:rPr>
        <w:t>年预算相比持平；支出决算较上年持平。因本年及去年同期均未使用一般公共预算财政拨款列支“三公”经费，故本年支出决算与本年预算、上年支出决算均持平为0。</w:t>
      </w:r>
    </w:p>
    <w:p>
      <w:pPr>
        <w:spacing w:line="600" w:lineRule="exact"/>
        <w:ind w:firstLine="602" w:firstLineChars="200"/>
        <w:jc w:val="both"/>
        <w:rPr>
          <w:rFonts w:ascii="楷体" w:hAnsi="楷体" w:eastAsia="楷体" w:cs="楷体"/>
          <w:b/>
          <w:bCs/>
          <w:sz w:val="30"/>
          <w:szCs w:val="30"/>
        </w:rPr>
      </w:pPr>
      <w:r>
        <w:rPr>
          <w:rFonts w:hint="eastAsia" w:ascii="楷体" w:hAnsi="楷体" w:eastAsia="楷体" w:cs="楷体"/>
          <w:b/>
          <w:bCs/>
          <w:sz w:val="30"/>
          <w:szCs w:val="30"/>
        </w:rPr>
        <w:t>（二）具体情况</w:t>
      </w:r>
    </w:p>
    <w:p>
      <w:pPr>
        <w:spacing w:line="600" w:lineRule="exact"/>
        <w:ind w:firstLine="600" w:firstLineChars="200"/>
        <w:jc w:val="both"/>
        <w:rPr>
          <w:rFonts w:eastAsia="仿宋_GB2312"/>
          <w:sz w:val="30"/>
          <w:szCs w:val="30"/>
        </w:rPr>
      </w:pPr>
      <w:r>
        <w:rPr>
          <w:rFonts w:hint="eastAsia" w:eastAsia="仿宋_GB2312"/>
          <w:sz w:val="30"/>
          <w:szCs w:val="30"/>
        </w:rPr>
        <w:t>1.</w:t>
      </w:r>
      <w:r>
        <w:rPr>
          <w:rFonts w:hint="eastAsia" w:ascii="仿宋_GB2312" w:eastAsia="仿宋_GB2312" w:cs="仿宋_GB2312"/>
          <w:sz w:val="30"/>
          <w:szCs w:val="30"/>
        </w:rPr>
        <w:t>因公出国（境）费预算0.00元，支出决算0.00元（去年同期0.00元），支出决算与预算相比持平；支出决算较上年持平。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rPr>
        <w:t>年本单位组织的出国团组0个，出国0人次。</w:t>
      </w:r>
    </w:p>
    <w:p>
      <w:pPr>
        <w:spacing w:line="600" w:lineRule="exact"/>
        <w:ind w:firstLine="600" w:firstLineChars="200"/>
        <w:jc w:val="both"/>
        <w:rPr>
          <w:rFonts w:eastAsia="仿宋_GB2312"/>
          <w:sz w:val="30"/>
          <w:szCs w:val="30"/>
        </w:rPr>
      </w:pPr>
      <w:r>
        <w:rPr>
          <w:rFonts w:hint="eastAsia" w:eastAsia="仿宋_GB2312"/>
          <w:sz w:val="30"/>
          <w:szCs w:val="30"/>
        </w:rPr>
        <w:t>2.</w:t>
      </w:r>
      <w:r>
        <w:rPr>
          <w:rFonts w:hint="eastAsia" w:ascii="仿宋_GB2312" w:eastAsia="仿宋_GB2312" w:cs="仿宋_GB2312"/>
          <w:sz w:val="30"/>
          <w:szCs w:val="30"/>
        </w:rPr>
        <w:t>公务用车购置及运行维护费预算0.00元，支出决算0.00元（去年同期0.00元），支出决算与预算相比持平；支出决算较上年持平。其中：</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运行维护费预算0.00元，支出决算0.00元（去年同期0.00元），支出决算与预算相比持平；支出决算较上年持平。因本年及去年同期均未使用一般公共预算财政拨款列支“公务用车运行维护费”经费，故本年支出决算与本年预算、上年支出决算均持平为0。截至2022年12月31日，使用</w:t>
      </w:r>
      <w:r>
        <w:rPr>
          <w:rFonts w:hint="eastAsia" w:eastAsia="仿宋_GB2312"/>
          <w:sz w:val="30"/>
          <w:szCs w:val="30"/>
        </w:rPr>
        <w:t>一般公共预算</w:t>
      </w:r>
      <w:r>
        <w:rPr>
          <w:rFonts w:hint="eastAsia" w:ascii="仿宋_GB2312" w:eastAsia="仿宋_GB2312" w:cs="仿宋_GB2312"/>
          <w:sz w:val="30"/>
          <w:szCs w:val="30"/>
        </w:rPr>
        <w:t>财政拨款开支运行维护费的公务用车保有量为0辆。</w:t>
      </w:r>
    </w:p>
    <w:p>
      <w:pPr>
        <w:spacing w:line="600" w:lineRule="exact"/>
        <w:ind w:firstLine="600" w:firstLineChars="200"/>
        <w:jc w:val="both"/>
        <w:rPr>
          <w:rFonts w:eastAsia="仿宋_GB2312"/>
          <w:sz w:val="30"/>
          <w:szCs w:val="30"/>
        </w:rPr>
      </w:pPr>
      <w:r>
        <w:rPr>
          <w:rFonts w:hint="eastAsia" w:ascii="仿宋_GB2312" w:eastAsia="仿宋_GB2312" w:cs="仿宋_GB2312"/>
          <w:sz w:val="30"/>
          <w:szCs w:val="30"/>
        </w:rPr>
        <w:t>公务用车购置费预算0.00元，支出决算0.00元（去年同期0.00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rPr>
      </w:pPr>
      <w:r>
        <w:rPr>
          <w:rFonts w:hint="eastAsia" w:eastAsia="仿宋_GB2312"/>
          <w:sz w:val="30"/>
          <w:szCs w:val="30"/>
        </w:rPr>
        <w:t>3.</w:t>
      </w:r>
      <w:r>
        <w:rPr>
          <w:rFonts w:hint="eastAsia" w:ascii="仿宋_GB2312" w:eastAsia="仿宋_GB2312" w:cs="仿宋_GB2312"/>
          <w:sz w:val="30"/>
          <w:szCs w:val="30"/>
        </w:rPr>
        <w:t>公务接待费预算0.00元，支出决算0.00元（去年同期0.00元），支出决算与预算相比持平；支出决算较上年持平。</w:t>
      </w:r>
      <w:r>
        <w:rPr>
          <w:rFonts w:ascii="仿宋_GB2312" w:eastAsia="仿宋_GB2312" w:cs="仿宋_GB2312"/>
          <w:sz w:val="30"/>
          <w:szCs w:val="30"/>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rPr>
        <w:t>年本单位国内公务接待0批</w:t>
      </w:r>
      <w:r>
        <w:rPr>
          <w:rFonts w:hint="eastAsia" w:eastAsia="仿宋_GB2312" w:cs="仿宋_GB2312"/>
          <w:sz w:val="30"/>
          <w:szCs w:val="30"/>
        </w:rPr>
        <w:t>次，</w:t>
      </w:r>
      <w:r>
        <w:rPr>
          <w:rFonts w:hint="eastAsia" w:ascii="仿宋_GB2312" w:eastAsia="仿宋_GB2312" w:cs="仿宋_GB2312"/>
          <w:sz w:val="30"/>
          <w:szCs w:val="30"/>
        </w:rPr>
        <w:t>0</w:t>
      </w:r>
      <w:r>
        <w:rPr>
          <w:rFonts w:hint="eastAsia" w:eastAsia="仿宋_GB2312" w:cs="仿宋_GB2312"/>
          <w:sz w:val="30"/>
          <w:szCs w:val="30"/>
        </w:rPr>
        <w:t>人次；其中，外事接待</w:t>
      </w:r>
      <w:r>
        <w:rPr>
          <w:rFonts w:hint="eastAsia" w:ascii="仿宋_GB2312" w:eastAsia="仿宋_GB2312" w:cs="仿宋_GB2312"/>
          <w:sz w:val="30"/>
          <w:szCs w:val="30"/>
        </w:rPr>
        <w:t>0</w:t>
      </w:r>
      <w:r>
        <w:rPr>
          <w:rFonts w:hint="eastAsia" w:eastAsia="仿宋_GB2312" w:cs="仿宋_GB2312"/>
          <w:sz w:val="30"/>
          <w:szCs w:val="30"/>
        </w:rPr>
        <w:t>批次，</w:t>
      </w:r>
      <w:r>
        <w:rPr>
          <w:rFonts w:hint="eastAsia" w:ascii="仿宋_GB2312" w:eastAsia="仿宋_GB2312" w:cs="仿宋_GB2312"/>
          <w:sz w:val="30"/>
          <w:szCs w:val="30"/>
        </w:rPr>
        <w:t>0</w:t>
      </w:r>
      <w:r>
        <w:rPr>
          <w:rFonts w:hint="eastAsia" w:eastAsia="仿宋_GB2312" w:cs="仿宋_GB2312"/>
          <w:sz w:val="30"/>
          <w:szCs w:val="30"/>
        </w:rPr>
        <w:t>人次。</w:t>
      </w:r>
    </w:p>
    <w:p>
      <w:pPr>
        <w:pStyle w:val="3"/>
        <w:spacing w:before="0" w:after="0" w:line="600" w:lineRule="exact"/>
        <w:ind w:firstLine="600" w:firstLineChars="200"/>
        <w:rPr>
          <w:rFonts w:ascii="黑体" w:hAnsi="黑体" w:eastAsia="黑体"/>
          <w:b w:val="0"/>
          <w:sz w:val="30"/>
          <w:szCs w:val="30"/>
        </w:rPr>
      </w:pPr>
      <w:bookmarkStart w:id="26" w:name="_Toc3411"/>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rPr>
        <w:t>说明</w:t>
      </w:r>
      <w:bookmarkEnd w:id="26"/>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天津市津南区物业服务中心2022年度无机关运行经费。</w:t>
      </w:r>
    </w:p>
    <w:p>
      <w:pPr>
        <w:pStyle w:val="3"/>
        <w:spacing w:before="0" w:after="0" w:line="600" w:lineRule="exact"/>
        <w:ind w:firstLine="600" w:firstLineChars="200"/>
        <w:rPr>
          <w:rFonts w:ascii="黑体" w:hAnsi="黑体" w:eastAsia="黑体"/>
          <w:b w:val="0"/>
          <w:sz w:val="30"/>
          <w:szCs w:val="30"/>
        </w:rPr>
      </w:pPr>
      <w:bookmarkStart w:id="27" w:name="_Toc31102"/>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rPr>
        <w:t>说明</w:t>
      </w:r>
      <w:bookmarkEnd w:id="27"/>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天津市津南区物业服务中心2022年度无政府采购支出。</w:t>
      </w:r>
    </w:p>
    <w:p>
      <w:pPr>
        <w:pStyle w:val="3"/>
        <w:spacing w:before="0" w:after="0" w:line="600" w:lineRule="exact"/>
        <w:ind w:firstLine="600" w:firstLineChars="200"/>
        <w:rPr>
          <w:rFonts w:ascii="黑体" w:hAnsi="黑体" w:eastAsia="黑体"/>
          <w:b w:val="0"/>
          <w:sz w:val="30"/>
          <w:szCs w:val="30"/>
        </w:rPr>
      </w:pPr>
      <w:bookmarkStart w:id="28" w:name="_Toc23709"/>
      <w:r>
        <w:rPr>
          <w:rFonts w:hint="eastAsia" w:ascii="黑体" w:hAnsi="黑体" w:eastAsia="黑体"/>
          <w:b w:val="0"/>
          <w:sz w:val="30"/>
          <w:szCs w:val="30"/>
        </w:rPr>
        <w:t>十二、国有资产占有使用情况</w:t>
      </w:r>
      <w:r>
        <w:rPr>
          <w:rFonts w:hint="eastAsia" w:ascii="黑体" w:hAnsi="黑体" w:eastAsia="黑体"/>
          <w:b w:val="0"/>
          <w:bCs w:val="0"/>
          <w:sz w:val="30"/>
          <w:szCs w:val="30"/>
        </w:rPr>
        <w:t>说明</w:t>
      </w:r>
      <w:bookmarkEnd w:id="28"/>
    </w:p>
    <w:p>
      <w:pPr>
        <w:spacing w:line="600" w:lineRule="exact"/>
        <w:ind w:firstLine="645"/>
        <w:jc w:val="both"/>
        <w:rPr>
          <w:rFonts w:ascii="仿宋_GB2312" w:eastAsia="仿宋_GB2312" w:cs="仿宋_GB2312"/>
          <w:sz w:val="30"/>
          <w:szCs w:val="30"/>
        </w:rPr>
      </w:pPr>
      <w:r>
        <w:rPr>
          <w:rFonts w:hint="eastAsia" w:ascii="仿宋_GB2312" w:eastAsia="仿宋_GB2312" w:cs="仿宋_GB2312"/>
          <w:sz w:val="30"/>
          <w:szCs w:val="30"/>
        </w:rPr>
        <w:t>天津市津南区物业服务中心2022年度无国有资产占有使用情况。</w:t>
      </w:r>
    </w:p>
    <w:p>
      <w:pPr>
        <w:pStyle w:val="3"/>
        <w:spacing w:before="0" w:after="0" w:line="540" w:lineRule="exact"/>
        <w:ind w:firstLine="600" w:firstLineChars="200"/>
        <w:rPr>
          <w:rFonts w:ascii="黑体" w:hAnsi="黑体" w:eastAsia="黑体"/>
          <w:b w:val="0"/>
          <w:bCs w:val="0"/>
          <w:sz w:val="30"/>
          <w:szCs w:val="30"/>
        </w:rPr>
      </w:pPr>
      <w:bookmarkStart w:id="29" w:name="_Toc11467"/>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hint="eastAsia" w:eastAsia="仿宋_GB2312"/>
          <w:sz w:val="30"/>
          <w:szCs w:val="30"/>
          <w:lang w:eastAsia="zh-CN"/>
        </w:rPr>
      </w:pPr>
      <w:bookmarkStart w:id="30" w:name="_Toc15949"/>
      <w:r>
        <w:rPr>
          <w:rFonts w:hint="eastAsia" w:eastAsia="仿宋_GB2312"/>
          <w:sz w:val="30"/>
          <w:szCs w:val="30"/>
        </w:rPr>
        <w:t>天津市津南区物业服务中心2022年度无需公开项目支出绩效自评结果</w:t>
      </w:r>
      <w:r>
        <w:rPr>
          <w:rFonts w:hint="eastAsia" w:eastAsia="仿宋_GB2312"/>
          <w:sz w:val="30"/>
          <w:szCs w:val="30"/>
          <w:lang w:eastAsia="zh-CN"/>
        </w:rPr>
        <w:t>。</w:t>
      </w:r>
    </w:p>
    <w:p>
      <w:pPr>
        <w:spacing w:line="600" w:lineRule="exact"/>
        <w:ind w:firstLine="600" w:firstLineChars="200"/>
        <w:jc w:val="both"/>
        <w:rPr>
          <w:rFonts w:ascii="Times New Roman" w:hAnsi="Times New Roman" w:eastAsia="黑体"/>
          <w:b w:val="0"/>
          <w:sz w:val="30"/>
          <w:szCs w:val="30"/>
        </w:rPr>
      </w:pPr>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rPr>
        <w:t>说明</w:t>
      </w:r>
      <w:bookmarkEnd w:id="30"/>
    </w:p>
    <w:p>
      <w:pPr>
        <w:spacing w:line="600" w:lineRule="exact"/>
        <w:ind w:firstLine="645"/>
        <w:jc w:val="both"/>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天津市津南区物业服务中心不属于乡、镇、街级单位，不涉及公开2022年度教育、医疗卫生、社会保障和就业、住房保障、涉农补贴等民生支出情况。</w:t>
      </w:r>
    </w:p>
    <w:p>
      <w:pPr>
        <w:pStyle w:val="2"/>
        <w:spacing w:before="0" w:after="0" w:line="600" w:lineRule="exact"/>
        <w:jc w:val="center"/>
        <w:rPr>
          <w:rFonts w:ascii="方正小标宋简体" w:hAnsi="方正小标宋简体" w:eastAsia="方正小标宋简体" w:cs="方正小标宋简体"/>
          <w:b w:val="0"/>
        </w:rPr>
      </w:pPr>
      <w:bookmarkStart w:id="31" w:name="_Toc30612"/>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3"/>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MS Serif">
    <w:altName w:val="Times New Roman"/>
    <w:panose1 w:val="00000000000000000000"/>
    <w:charset w:val="00"/>
    <w:family w:val="roman"/>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hNDk5Y2Y2ZTlkZTE5ZjBhZWM3OTdjOTE5NTc5ZjAifQ=="/>
  </w:docVars>
  <w:rsids>
    <w:rsidRoot w:val="00172A27"/>
    <w:rsid w:val="000017AF"/>
    <w:rsid w:val="00011076"/>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8CC088B"/>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2946208"/>
    <w:rsid w:val="135D03D9"/>
    <w:rsid w:val="13A17616"/>
    <w:rsid w:val="144F5DF3"/>
    <w:rsid w:val="149264E6"/>
    <w:rsid w:val="14A04A70"/>
    <w:rsid w:val="14D25818"/>
    <w:rsid w:val="14F31DE2"/>
    <w:rsid w:val="15127621"/>
    <w:rsid w:val="156A2C3E"/>
    <w:rsid w:val="157A3189"/>
    <w:rsid w:val="15E37C52"/>
    <w:rsid w:val="161B1FF6"/>
    <w:rsid w:val="169221B4"/>
    <w:rsid w:val="16EA0A1B"/>
    <w:rsid w:val="17A617C9"/>
    <w:rsid w:val="181D0AF6"/>
    <w:rsid w:val="18E12A26"/>
    <w:rsid w:val="1A2F34CF"/>
    <w:rsid w:val="1B0B6786"/>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ABD71D"/>
    <w:rsid w:val="20505929"/>
    <w:rsid w:val="2093268B"/>
    <w:rsid w:val="228770CD"/>
    <w:rsid w:val="22A211C8"/>
    <w:rsid w:val="22F75B35"/>
    <w:rsid w:val="236906A5"/>
    <w:rsid w:val="23BA0D09"/>
    <w:rsid w:val="24593BF8"/>
    <w:rsid w:val="24BA0C0F"/>
    <w:rsid w:val="250B61A3"/>
    <w:rsid w:val="259F5563"/>
    <w:rsid w:val="25A662F9"/>
    <w:rsid w:val="25AD749C"/>
    <w:rsid w:val="25AE4162"/>
    <w:rsid w:val="25E9469B"/>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B00783"/>
    <w:rsid w:val="33987EA4"/>
    <w:rsid w:val="33E55770"/>
    <w:rsid w:val="342060B3"/>
    <w:rsid w:val="343041E9"/>
    <w:rsid w:val="343E2C5A"/>
    <w:rsid w:val="349571CB"/>
    <w:rsid w:val="34E404B6"/>
    <w:rsid w:val="353874A5"/>
    <w:rsid w:val="356C4B0F"/>
    <w:rsid w:val="357756D0"/>
    <w:rsid w:val="35F83418"/>
    <w:rsid w:val="35FA3DA7"/>
    <w:rsid w:val="36433E0B"/>
    <w:rsid w:val="3685618C"/>
    <w:rsid w:val="369B027F"/>
    <w:rsid w:val="36DF7E92"/>
    <w:rsid w:val="37210A48"/>
    <w:rsid w:val="37C605ED"/>
    <w:rsid w:val="37EC07D4"/>
    <w:rsid w:val="39054161"/>
    <w:rsid w:val="395157DA"/>
    <w:rsid w:val="39D81DB4"/>
    <w:rsid w:val="39DD1F63"/>
    <w:rsid w:val="3A875795"/>
    <w:rsid w:val="3B3A6848"/>
    <w:rsid w:val="3B5C22DF"/>
    <w:rsid w:val="3C7702D9"/>
    <w:rsid w:val="3C822FFF"/>
    <w:rsid w:val="3C987755"/>
    <w:rsid w:val="3D1712DB"/>
    <w:rsid w:val="3D6E4CFB"/>
    <w:rsid w:val="3DB948D9"/>
    <w:rsid w:val="3DED19CC"/>
    <w:rsid w:val="3E551C1D"/>
    <w:rsid w:val="3E6D1878"/>
    <w:rsid w:val="3EAA16DD"/>
    <w:rsid w:val="3EE7006C"/>
    <w:rsid w:val="3F043070"/>
    <w:rsid w:val="3F397145"/>
    <w:rsid w:val="419141BF"/>
    <w:rsid w:val="41C515FE"/>
    <w:rsid w:val="41F26234"/>
    <w:rsid w:val="42955F29"/>
    <w:rsid w:val="42C52D12"/>
    <w:rsid w:val="42EA0B90"/>
    <w:rsid w:val="436E1D48"/>
    <w:rsid w:val="442221E6"/>
    <w:rsid w:val="44FC0AD9"/>
    <w:rsid w:val="45C47AF9"/>
    <w:rsid w:val="45C66F5A"/>
    <w:rsid w:val="464311BD"/>
    <w:rsid w:val="46762869"/>
    <w:rsid w:val="46800ECA"/>
    <w:rsid w:val="46D65DFF"/>
    <w:rsid w:val="46ED43C8"/>
    <w:rsid w:val="47655748"/>
    <w:rsid w:val="481F5D29"/>
    <w:rsid w:val="485B08F6"/>
    <w:rsid w:val="48E65506"/>
    <w:rsid w:val="49A95325"/>
    <w:rsid w:val="49C60D15"/>
    <w:rsid w:val="49EE18E7"/>
    <w:rsid w:val="4C72500A"/>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9303E0"/>
    <w:rsid w:val="57BD125F"/>
    <w:rsid w:val="57DB4D69"/>
    <w:rsid w:val="58CB2B06"/>
    <w:rsid w:val="59005937"/>
    <w:rsid w:val="596D5572"/>
    <w:rsid w:val="59DC23BD"/>
    <w:rsid w:val="5A106A61"/>
    <w:rsid w:val="5B012DD6"/>
    <w:rsid w:val="5B4A303E"/>
    <w:rsid w:val="5B6E7B08"/>
    <w:rsid w:val="5B867F38"/>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F74B4"/>
    <w:rsid w:val="607B68FE"/>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032316"/>
    <w:rsid w:val="6B617BE2"/>
    <w:rsid w:val="6BA66029"/>
    <w:rsid w:val="6CA041B2"/>
    <w:rsid w:val="6DDD5EBF"/>
    <w:rsid w:val="6DFC4CD2"/>
    <w:rsid w:val="6E2E2D6D"/>
    <w:rsid w:val="6E3F51B6"/>
    <w:rsid w:val="6E460B96"/>
    <w:rsid w:val="6EA82131"/>
    <w:rsid w:val="6F046708"/>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6F81981"/>
    <w:rsid w:val="773A73AB"/>
    <w:rsid w:val="775767BB"/>
    <w:rsid w:val="7779068F"/>
    <w:rsid w:val="77B92148"/>
    <w:rsid w:val="77FFE39F"/>
    <w:rsid w:val="781B1736"/>
    <w:rsid w:val="789C4823"/>
    <w:rsid w:val="78F051A8"/>
    <w:rsid w:val="79EF18A6"/>
    <w:rsid w:val="7A903B21"/>
    <w:rsid w:val="7AC3080E"/>
    <w:rsid w:val="7C804164"/>
    <w:rsid w:val="7CF2196B"/>
    <w:rsid w:val="7D2E7430"/>
    <w:rsid w:val="7D993EC8"/>
    <w:rsid w:val="7D9A013D"/>
    <w:rsid w:val="7E9160CF"/>
    <w:rsid w:val="7EC677D3"/>
    <w:rsid w:val="7FDC2489"/>
    <w:rsid w:val="7FFDEEFD"/>
    <w:rsid w:val="BBFEB28B"/>
    <w:rsid w:val="D74FDF30"/>
    <w:rsid w:val="DEAEE68D"/>
    <w:rsid w:val="F7F97754"/>
    <w:rsid w:val="FB7FC3E7"/>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qFormat/>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qFormat/>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1036</Words>
  <Characters>5906</Characters>
  <Lines>49</Lines>
  <Paragraphs>13</Paragraphs>
  <TotalTime>1</TotalTime>
  <ScaleCrop>false</ScaleCrop>
  <LinksUpToDate>false</LinksUpToDate>
  <CharactersWithSpaces>6929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2019-07-28T02:37:00Z</dcterms:created>
  <dc:creator>Administrator</dc:creator>
  <cp:lastModifiedBy>lenovo</cp:lastModifiedBy>
  <cp:lastPrinted>2012-09-19T14:00:00Z</cp:lastPrinted>
  <dcterms:modified xsi:type="dcterms:W3CDTF">2023-10-10T07:21:29Z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90D74AD8847844C8B6B3F08FF3278CF3_13</vt:lpwstr>
  </property>
</Properties>
</file>