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天津市津南区住房和建设委员会</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10"/>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第一部分概况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3</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13</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1"/>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beforeLines="0" w:afterLines="0" w:line="580" w:lineRule="exact"/>
        <w:ind w:firstLine="600" w:firstLineChars="200"/>
        <w:rPr>
          <w:rFonts w:ascii="仿宋_GB2312" w:eastAsia="仿宋_GB2312"/>
          <w:sz w:val="30"/>
          <w:szCs w:val="30"/>
        </w:rPr>
      </w:pPr>
      <w:r>
        <w:rPr>
          <w:rFonts w:hint="eastAsia" w:ascii="仿宋_GB2312" w:hAnsi="宋体" w:eastAsia="仿宋_GB2312"/>
          <w:sz w:val="30"/>
          <w:szCs w:val="24"/>
          <w:u w:val="none"/>
        </w:rPr>
        <w:t>天津市津南区住房和建设委员会主要职责是贯彻执行国家有关住房和建设的法律、法规、规章和政策文件。负责组织实施区基础设施重点工程、协调区内市重点工程推进住房制度改革责任、承担城镇低收入住房困难家庭住房保障责任、物业管理活动的监督管理、建筑行业和建筑市场管理、规范房地产市场秩序、监督管理房地产市场的责任、建设工程消防设计审查验收。</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天津市津南区住房和建设委员会部门</w:t>
      </w:r>
      <w:r>
        <w:rPr>
          <w:rFonts w:eastAsia="仿宋_GB2312"/>
          <w:sz w:val="30"/>
          <w:szCs w:val="30"/>
        </w:rPr>
        <w:t>内设</w:t>
      </w:r>
      <w:r>
        <w:rPr>
          <w:rFonts w:hint="eastAsia" w:eastAsia="仿宋_GB2312"/>
          <w:sz w:val="30"/>
          <w:szCs w:val="30"/>
          <w:lang w:val="en-US" w:eastAsia="zh-CN"/>
        </w:rPr>
        <w:t>8</w:t>
      </w:r>
      <w:r>
        <w:rPr>
          <w:rFonts w:eastAsia="仿宋_GB2312"/>
          <w:sz w:val="30"/>
          <w:szCs w:val="30"/>
          <w:u w:val="none"/>
        </w:rPr>
        <w:t>个职</w:t>
      </w:r>
      <w:r>
        <w:rPr>
          <w:rFonts w:eastAsia="仿宋_GB2312"/>
          <w:sz w:val="30"/>
          <w:szCs w:val="30"/>
        </w:rPr>
        <w:t>能处室</w:t>
      </w:r>
      <w:r>
        <w:rPr>
          <w:rFonts w:hint="eastAsia" w:ascii="仿宋_GB2312" w:eastAsia="仿宋_GB2312" w:cs="仿宋_GB2312"/>
          <w:sz w:val="30"/>
          <w:szCs w:val="30"/>
        </w:rPr>
        <w:t>；下辖4个预算单位。纳入天津市津南区住房和建设委员会2022年度部门决算编制范围的单位包括：</w:t>
      </w:r>
      <w:r>
        <w:rPr>
          <w:rFonts w:hint="eastAsia" w:ascii="仿宋_GB2312" w:eastAsia="仿宋_GB2312" w:cs="仿宋_GB2312"/>
          <w:sz w:val="30"/>
          <w:szCs w:val="30"/>
        </w:rPr>
        <w:br w:type="textWrapping"/>
      </w:r>
      <w:r>
        <w:rPr>
          <w:rFonts w:hint="eastAsia" w:ascii="仿宋_GB2312" w:eastAsia="仿宋_GB2312" w:cs="仿宋_GB2312"/>
          <w:sz w:val="30"/>
          <w:szCs w:val="30"/>
        </w:rPr>
        <w:t>　　1.天津市津南区住房和建设委员会（本级）</w:t>
      </w:r>
      <w:r>
        <w:rPr>
          <w:rFonts w:hint="eastAsia" w:ascii="仿宋_GB2312" w:eastAsia="仿宋_GB2312" w:cs="仿宋_GB2312"/>
          <w:sz w:val="30"/>
          <w:szCs w:val="30"/>
        </w:rPr>
        <w:br w:type="textWrapping"/>
      </w:r>
      <w:r>
        <w:rPr>
          <w:rFonts w:hint="eastAsia" w:ascii="仿宋_GB2312" w:eastAsia="仿宋_GB2312" w:cs="仿宋_GB2312"/>
          <w:sz w:val="30"/>
          <w:szCs w:val="30"/>
        </w:rPr>
        <w:t>　　2.天津市津南区住房和建设综合行政执法支队</w:t>
      </w:r>
      <w:r>
        <w:rPr>
          <w:rFonts w:hint="eastAsia" w:ascii="仿宋_GB2312" w:eastAsia="仿宋_GB2312" w:cs="仿宋_GB2312"/>
          <w:sz w:val="30"/>
          <w:szCs w:val="30"/>
        </w:rPr>
        <w:br w:type="textWrapping"/>
      </w:r>
      <w:r>
        <w:rPr>
          <w:rFonts w:hint="eastAsia" w:ascii="仿宋_GB2312" w:eastAsia="仿宋_GB2312" w:cs="仿宋_GB2312"/>
          <w:sz w:val="30"/>
          <w:szCs w:val="30"/>
        </w:rPr>
        <w:t>　　3.天津市津南区住房和建设服务中心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4.天津市津南区物业服务中心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5.天津市津南区工程建设交易服务中心</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天津市津南区住房和建设委员会2022年度国有资本经营预算财政拨款收入支出决算表为空表。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天津市津南区住房和建设委员会2022年度收入、支出决算总计3143742892.77元。与2021年度相比，收、支总计各增加1125263202.14元，增长55.75%，主要原因是</w:t>
      </w:r>
      <w:r>
        <w:rPr>
          <w:rFonts w:hint="eastAsia" w:ascii="仿宋_GB2312" w:eastAsia="仿宋_GB2312" w:cs="仿宋_GB2312"/>
          <w:sz w:val="30"/>
          <w:szCs w:val="30"/>
          <w:u w:val="none"/>
          <w:lang w:eastAsia="zh-CN"/>
        </w:rPr>
        <w:t>新增国家会展中心二期项目等专项债券项目支出</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cs="仿宋_GB2312"/>
          <w:b w:val="0"/>
          <w:sz w:val="30"/>
          <w:szCs w:val="30"/>
          <w:u w:val="none"/>
        </w:rPr>
      </w:pPr>
      <w:bookmarkStart w:id="18" w:name="_Toc18552"/>
      <w:r>
        <w:rPr>
          <w:rFonts w:hint="eastAsia" w:ascii="黑体" w:hAnsi="黑体" w:eastAsia="黑体" w:cs="仿宋_GB2312"/>
          <w:b w:val="0"/>
          <w:sz w:val="30"/>
          <w:szCs w:val="30"/>
          <w:u w:val="none"/>
        </w:rPr>
        <w:t>二、收入决算情况说明</w:t>
      </w:r>
      <w:bookmarkEnd w:id="18"/>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天津市津南区住房和建设委员会</w:t>
      </w:r>
      <w:r>
        <w:rPr>
          <w:rFonts w:hint="eastAsia" w:eastAsia="楷体"/>
          <w:sz w:val="30"/>
          <w:szCs w:val="30"/>
          <w:u w:val="none"/>
        </w:rPr>
        <w:t>2022</w:t>
      </w:r>
      <w:r>
        <w:rPr>
          <w:rFonts w:hint="eastAsia" w:ascii="仿宋_GB2312" w:eastAsia="仿宋_GB2312" w:cs="仿宋_GB2312"/>
          <w:sz w:val="30"/>
          <w:szCs w:val="30"/>
          <w:u w:val="none"/>
        </w:rPr>
        <w:t>年度本年收入合计2782976480.73元，与2021年度相比增加1478435754.60元，主要原因是</w:t>
      </w:r>
      <w:r>
        <w:rPr>
          <w:rFonts w:hint="eastAsia" w:eastAsia="仿宋_GB2312"/>
          <w:sz w:val="30"/>
          <w:szCs w:val="30"/>
          <w:u w:val="none"/>
          <w:lang w:eastAsia="zh-CN"/>
        </w:rPr>
        <w:t>新增国家会展中心二期项目等专项债券项目收入</w:t>
      </w:r>
      <w:r>
        <w:rPr>
          <w:rFonts w:hint="eastAsia" w:eastAsia="仿宋_GB2312"/>
          <w:sz w:val="30"/>
          <w:szCs w:val="30"/>
          <w:u w:val="none"/>
        </w:rPr>
        <w:t>。</w:t>
      </w:r>
      <w:r>
        <w:rPr>
          <w:rFonts w:hint="eastAsia" w:ascii="仿宋_GB2312" w:eastAsia="仿宋_GB2312" w:cs="仿宋_GB2312"/>
          <w:sz w:val="30"/>
          <w:szCs w:val="30"/>
          <w:u w:val="none"/>
        </w:rPr>
        <w:t>其中：一般公共预算财政拨款收入66096751.24元，占2.38%；政府性基金预算财政拨款收入2179630194.00元，占78.32%；其他收入537249535.49元，占19.30%。</w:t>
      </w:r>
    </w:p>
    <w:p>
      <w:pPr>
        <w:pStyle w:val="3"/>
        <w:spacing w:before="0" w:after="0" w:line="600" w:lineRule="exact"/>
        <w:ind w:firstLine="600" w:firstLineChars="200"/>
        <w:rPr>
          <w:rFonts w:ascii="黑体" w:hAnsi="黑体" w:eastAsia="黑体" w:cs="仿宋_GB2312"/>
          <w:b w:val="0"/>
          <w:sz w:val="30"/>
          <w:szCs w:val="30"/>
          <w:u w:val="none"/>
        </w:rPr>
      </w:pPr>
      <w:bookmarkStart w:id="19" w:name="_Toc26952"/>
      <w:r>
        <w:rPr>
          <w:rFonts w:hint="eastAsia" w:ascii="黑体" w:hAnsi="黑体" w:eastAsia="黑体" w:cs="仿宋_GB2312"/>
          <w:b w:val="0"/>
          <w:sz w:val="30"/>
          <w:szCs w:val="30"/>
          <w:u w:val="none"/>
        </w:rPr>
        <w:t>三、</w:t>
      </w:r>
      <w:r>
        <w:rPr>
          <w:rFonts w:ascii="黑体" w:hAnsi="黑体" w:eastAsia="黑体" w:cs="仿宋_GB2312"/>
          <w:b w:val="0"/>
          <w:sz w:val="30"/>
          <w:szCs w:val="30"/>
          <w:u w:val="none"/>
        </w:rPr>
        <w:t>支出</w:t>
      </w:r>
      <w:r>
        <w:rPr>
          <w:rFonts w:hint="eastAsia" w:ascii="黑体" w:hAnsi="黑体" w:eastAsia="黑体" w:cs="仿宋_GB2312"/>
          <w:b w:val="0"/>
          <w:sz w:val="30"/>
          <w:szCs w:val="30"/>
          <w:u w:val="none"/>
        </w:rPr>
        <w:t>决算</w:t>
      </w:r>
      <w:r>
        <w:rPr>
          <w:rFonts w:ascii="黑体" w:hAnsi="黑体" w:eastAsia="黑体" w:cs="仿宋_GB2312"/>
          <w:b w:val="0"/>
          <w:sz w:val="30"/>
          <w:szCs w:val="30"/>
          <w:u w:val="none"/>
        </w:rPr>
        <w:t>情况</w:t>
      </w:r>
      <w:r>
        <w:rPr>
          <w:rFonts w:hint="eastAsia" w:ascii="黑体" w:hAnsi="黑体" w:eastAsia="黑体" w:cs="仿宋_GB2312"/>
          <w:b w:val="0"/>
          <w:sz w:val="30"/>
          <w:szCs w:val="30"/>
          <w:u w:val="none"/>
        </w:rPr>
        <w:t>说明</w:t>
      </w:r>
      <w:bookmarkEnd w:id="19"/>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天津市津南区住房和建设委员会</w:t>
      </w:r>
      <w:r>
        <w:rPr>
          <w:rFonts w:hint="eastAsia" w:eastAsia="楷体"/>
          <w:sz w:val="30"/>
          <w:szCs w:val="30"/>
          <w:u w:val="none"/>
        </w:rPr>
        <w:t>2022</w:t>
      </w:r>
      <w:r>
        <w:rPr>
          <w:rFonts w:hint="eastAsia" w:ascii="仿宋_GB2312" w:eastAsia="仿宋_GB2312" w:cs="仿宋_GB2312"/>
          <w:sz w:val="30"/>
          <w:szCs w:val="30"/>
          <w:u w:val="none"/>
        </w:rPr>
        <w:t>年度本年支出合计2660404967.96元，与2021年度相比增加1028104830.08元，主要原因是</w:t>
      </w:r>
      <w:r>
        <w:rPr>
          <w:rFonts w:hint="eastAsia" w:eastAsia="仿宋_GB2312"/>
          <w:sz w:val="30"/>
          <w:szCs w:val="30"/>
          <w:u w:val="none"/>
          <w:lang w:eastAsia="zh-CN"/>
        </w:rPr>
        <w:t>新增国家会展中心二期项目等专项债券项目支出</w:t>
      </w:r>
      <w:r>
        <w:rPr>
          <w:rFonts w:hint="eastAsia" w:eastAsia="仿宋_GB2312"/>
          <w:sz w:val="30"/>
          <w:szCs w:val="30"/>
          <w:u w:val="none"/>
        </w:rPr>
        <w:t>。</w:t>
      </w:r>
      <w:r>
        <w:rPr>
          <w:rFonts w:hint="eastAsia" w:ascii="仿宋_GB2312" w:eastAsia="仿宋_GB2312" w:cs="仿宋_GB2312"/>
          <w:sz w:val="30"/>
          <w:szCs w:val="30"/>
          <w:u w:val="none"/>
        </w:rPr>
        <w:t>其中：基本支出44623109.26元，占1.68%；项目支出2615781858.70元，占98.32%。</w:t>
      </w:r>
    </w:p>
    <w:p>
      <w:pPr>
        <w:pStyle w:val="3"/>
        <w:spacing w:before="0" w:after="0" w:line="600" w:lineRule="exact"/>
        <w:ind w:firstLine="600" w:firstLineChars="200"/>
        <w:rPr>
          <w:rFonts w:ascii="黑体" w:hAnsi="黑体" w:eastAsia="黑体"/>
          <w:b w:val="0"/>
          <w:sz w:val="30"/>
          <w:szCs w:val="30"/>
          <w:u w:val="none"/>
        </w:rPr>
      </w:pPr>
      <w:bookmarkStart w:id="20" w:name="_Toc1812"/>
      <w:r>
        <w:rPr>
          <w:rFonts w:hint="eastAsia" w:ascii="黑体" w:hAnsi="黑体" w:eastAsia="黑体"/>
          <w:b w:val="0"/>
          <w:sz w:val="30"/>
          <w:szCs w:val="30"/>
          <w:u w:val="none"/>
        </w:rPr>
        <w:t>四、财政拨款收支决算总体情况说明</w:t>
      </w:r>
      <w:bookmarkEnd w:id="20"/>
    </w:p>
    <w:p>
      <w:pPr>
        <w:spacing w:line="600" w:lineRule="exact"/>
        <w:ind w:firstLine="600" w:firstLineChars="200"/>
        <w:rPr>
          <w:rFonts w:hint="eastAsia"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天津市津南区住房和建设委员会2022年度财政拨款收入、支出决算总计2598925370.34元。与2021年度相比，财政拨款收、支总计各增加631245509.20元，增长32.08%，主要原因是</w:t>
      </w:r>
      <w:r>
        <w:rPr>
          <w:rFonts w:hint="eastAsia" w:ascii="仿宋_GB2312" w:eastAsia="仿宋_GB2312" w:cs="仿宋_GB2312"/>
          <w:sz w:val="30"/>
          <w:szCs w:val="30"/>
          <w:u w:val="none"/>
          <w:lang w:eastAsia="zh-CN"/>
        </w:rPr>
        <w:t>新增国家会展中心二期项目等专项债券项目支出</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1" w:name="_Toc10091"/>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一般公共预算财政拨款支出决算情况</w:t>
      </w:r>
      <w:r>
        <w:rPr>
          <w:rFonts w:hint="eastAsia" w:ascii="黑体" w:hAnsi="黑体" w:eastAsia="黑体"/>
          <w:b w:val="0"/>
          <w:sz w:val="30"/>
          <w:szCs w:val="30"/>
          <w:u w:val="none"/>
        </w:rPr>
        <w:t>说明</w:t>
      </w:r>
      <w:bookmarkEnd w:id="21"/>
    </w:p>
    <w:p>
      <w:pPr>
        <w:spacing w:line="600" w:lineRule="exact"/>
        <w:ind w:left="480" w:leftChars="200"/>
        <w:rPr>
          <w:rFonts w:ascii="楷体" w:hAnsi="楷体" w:eastAsia="楷体" w:cs="仿宋_GB2312"/>
          <w:b/>
          <w:sz w:val="30"/>
          <w:szCs w:val="30"/>
          <w:u w:val="none"/>
        </w:rPr>
      </w:pPr>
      <w:r>
        <w:rPr>
          <w:rFonts w:hint="eastAsia" w:ascii="楷体" w:hAnsi="楷体" w:eastAsia="楷体" w:cs="仿宋_GB2312"/>
          <w:b/>
          <w:sz w:val="30"/>
          <w:szCs w:val="30"/>
          <w:u w:val="none"/>
        </w:rPr>
        <w:t>（一）总体情况</w:t>
      </w:r>
    </w:p>
    <w:p>
      <w:pPr>
        <w:spacing w:line="600" w:lineRule="exact"/>
        <w:ind w:firstLine="600" w:firstLineChars="200"/>
        <w:rPr>
          <w:rFonts w:hint="eastAsia" w:eastAsia="仿宋_GB2312"/>
          <w:sz w:val="30"/>
          <w:szCs w:val="30"/>
          <w:u w:val="none"/>
        </w:rPr>
      </w:pPr>
      <w:r>
        <w:rPr>
          <w:rFonts w:hint="eastAsia" w:ascii="仿宋_GB2312" w:eastAsia="仿宋_GB2312" w:cs="仿宋_GB2312"/>
          <w:sz w:val="30"/>
          <w:szCs w:val="30"/>
          <w:u w:val="none"/>
        </w:rPr>
        <w:t>天津市津南区住房和建设委员会</w:t>
      </w:r>
      <w:r>
        <w:rPr>
          <w:rFonts w:hint="eastAsia" w:eastAsia="楷体"/>
          <w:sz w:val="30"/>
          <w:szCs w:val="30"/>
          <w:u w:val="none"/>
        </w:rPr>
        <w:t>2022</w:t>
      </w:r>
      <w:r>
        <w:rPr>
          <w:rFonts w:hint="eastAsia" w:ascii="仿宋_GB2312" w:eastAsia="仿宋_GB2312" w:cs="仿宋_GB2312"/>
          <w:sz w:val="30"/>
          <w:szCs w:val="30"/>
          <w:u w:val="none"/>
        </w:rPr>
        <w:t>年度一般公共预算财政拨款支出合计66095552.24元，占本年支出合计的2.</w:t>
      </w:r>
      <w:r>
        <w:rPr>
          <w:rFonts w:hint="eastAsia" w:ascii="仿宋_GB2312" w:eastAsia="仿宋_GB2312" w:cs="仿宋_GB2312"/>
          <w:sz w:val="30"/>
          <w:szCs w:val="30"/>
          <w:u w:val="none"/>
          <w:lang w:val="en-US" w:eastAsia="zh-CN"/>
        </w:rPr>
        <w:t>48</w:t>
      </w:r>
      <w:r>
        <w:rPr>
          <w:rFonts w:hint="eastAsia" w:ascii="仿宋_GB2312" w:eastAsia="仿宋_GB2312" w:cs="仿宋_GB2312"/>
          <w:sz w:val="30"/>
          <w:szCs w:val="30"/>
          <w:u w:val="none"/>
        </w:rPr>
        <w:t>%。与2021年度相比，一般公共预算财政拨款支出减少427820927.30元，下降86.62%，主要原因是</w:t>
      </w:r>
      <w:r>
        <w:rPr>
          <w:rFonts w:hint="eastAsia" w:eastAsia="仿宋_GB2312"/>
          <w:sz w:val="30"/>
          <w:szCs w:val="30"/>
          <w:u w:val="none"/>
          <w:lang w:eastAsia="zh-CN"/>
        </w:rPr>
        <w:t>压减一般公共预算项目</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仿宋_GB2312" w:eastAsia="仿宋_GB2312" w:cs="仿宋_GB2312"/>
          <w:sz w:val="30"/>
          <w:szCs w:val="30"/>
          <w:u w:val="none"/>
        </w:rPr>
      </w:pPr>
      <w:r>
        <w:rPr>
          <w:rFonts w:hint="eastAsia" w:ascii="仿宋_GB2312" w:eastAsia="仿宋_GB2312" w:cs="仿宋_GB2312"/>
          <w:sz w:val="30"/>
          <w:szCs w:val="30"/>
          <w:u w:val="none"/>
        </w:rPr>
        <w:t>2022年度一般公共预算财政拨款支出66095552.24元，主要用于以下方面：</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一般公共服务支出（类）支出9381364.36元，占14.19%；</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社会保障和就业支出（类）支出2898604.58元，占4.39%；</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卫生健康支出（类）支出1434655.94元，占2.17%；</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城乡社区支出（类）支出37644510.45元，占56.95%；</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住房保障支出（类）支出14716416.91元，占22.27%；</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lang w:val="en-US" w:eastAsia="zh-CN"/>
        </w:rPr>
        <w:t xml:space="preserve">    </w:t>
      </w:r>
      <w:r>
        <w:rPr>
          <w:rFonts w:hint="eastAsia" w:ascii="仿宋_GB2312" w:eastAsia="仿宋_GB2312" w:cs="仿宋_GB2312"/>
          <w:sz w:val="30"/>
          <w:szCs w:val="30"/>
          <w:u w:val="none"/>
        </w:rPr>
        <w:t>灾害防治及应急管理支出（类）支出20000.00元，占0.03%。</w:t>
      </w:r>
    </w:p>
    <w:p>
      <w:pPr>
        <w:numPr>
          <w:ilvl w:val="0"/>
          <w:numId w:val="2"/>
        </w:numPr>
        <w:spacing w:line="600" w:lineRule="exact"/>
        <w:ind w:firstLine="602" w:firstLineChars="200"/>
        <w:rPr>
          <w:rFonts w:ascii="楷体" w:hAnsi="楷体" w:eastAsia="楷体" w:cs="仿宋_GB2312"/>
          <w:b/>
          <w:sz w:val="30"/>
          <w:szCs w:val="30"/>
          <w:u w:val="none"/>
        </w:rPr>
      </w:pPr>
      <w:r>
        <w:rPr>
          <w:rFonts w:ascii="楷体" w:hAnsi="楷体" w:eastAsia="楷体" w:cs="仿宋_GB2312"/>
          <w:b/>
          <w:sz w:val="30"/>
          <w:szCs w:val="30"/>
          <w:u w:val="none"/>
        </w:rPr>
        <w:t>具体情况</w:t>
      </w:r>
    </w:p>
    <w:p>
      <w:pPr>
        <w:spacing w:line="600" w:lineRule="exact"/>
        <w:ind w:firstLine="645"/>
        <w:jc w:val="both"/>
        <w:rPr>
          <w:rFonts w:hint="eastAsia"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年度一般公共预算财政拨款支出年初预算为</w:t>
      </w:r>
      <w:r>
        <w:rPr>
          <w:rFonts w:hint="eastAsia" w:ascii="仿宋_GB2312" w:eastAsia="仿宋_GB2312" w:cs="仿宋_GB2312"/>
          <w:sz w:val="30"/>
          <w:szCs w:val="30"/>
          <w:u w:val="none"/>
          <w:lang w:val="en-US" w:eastAsia="zh-CN"/>
        </w:rPr>
        <w:t>139870688.15</w:t>
      </w:r>
      <w:r>
        <w:rPr>
          <w:rFonts w:hint="eastAsia" w:ascii="仿宋_GB2312" w:eastAsia="仿宋_GB2312" w:cs="仿宋_GB2312"/>
          <w:sz w:val="30"/>
          <w:szCs w:val="30"/>
          <w:u w:val="none"/>
        </w:rPr>
        <w:t>元，支出决算为66095552.24元，完成年初预算的47.2</w:t>
      </w:r>
      <w:r>
        <w:rPr>
          <w:rFonts w:hint="eastAsia" w:ascii="仿宋_GB2312" w:eastAsia="仿宋_GB2312" w:cs="仿宋_GB2312"/>
          <w:sz w:val="30"/>
          <w:szCs w:val="30"/>
          <w:u w:val="none"/>
          <w:lang w:val="en-US" w:eastAsia="zh-CN"/>
        </w:rPr>
        <w:t>5</w:t>
      </w:r>
      <w:r>
        <w:rPr>
          <w:rFonts w:hint="eastAsia" w:ascii="仿宋_GB2312" w:eastAsia="仿宋_GB2312" w:cs="仿宋_GB2312"/>
          <w:sz w:val="30"/>
          <w:szCs w:val="30"/>
          <w:u w:val="none"/>
        </w:rPr>
        <w:t>%。其中：</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一般公共服务支出（类）政府办公厅（室）及相关机构事务（款）信访事务（项）年初预算为</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元，支出决算为55000.00元，决算数大于年初预算数的主要原因是</w:t>
      </w:r>
      <w:r>
        <w:rPr>
          <w:rFonts w:hint="eastAsia" w:ascii="仿宋_GB2312" w:eastAsia="仿宋_GB2312" w:cs="仿宋_GB2312"/>
          <w:sz w:val="30"/>
          <w:szCs w:val="30"/>
          <w:u w:val="none"/>
          <w:lang w:eastAsia="zh-CN"/>
        </w:rPr>
        <w:t>收解决疑难信访问题中央补助资金</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color w:val="auto"/>
          <w:sz w:val="30"/>
          <w:szCs w:val="30"/>
          <w:u w:val="none"/>
        </w:rPr>
      </w:pPr>
      <w:r>
        <w:rPr>
          <w:rFonts w:hint="eastAsia" w:ascii="仿宋_GB2312" w:eastAsia="仿宋_GB2312" w:cs="仿宋_GB2312"/>
          <w:sz w:val="30"/>
          <w:szCs w:val="30"/>
          <w:u w:val="none"/>
        </w:rPr>
        <w:t>一般公共服务支出（类）政府办公厅（室）及相关机构事务（款）事业运行（项）年初预算为9897557</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45元，支出决算为9302364.36元，完成年初预算数的</w:t>
      </w:r>
      <w:r>
        <w:rPr>
          <w:rFonts w:hint="eastAsia" w:ascii="仿宋_GB2312" w:eastAsia="仿宋_GB2312" w:cs="仿宋_GB2312"/>
          <w:sz w:val="30"/>
          <w:szCs w:val="30"/>
          <w:u w:val="none"/>
          <w:lang w:val="en-US" w:eastAsia="zh-CN"/>
        </w:rPr>
        <w:t>93.99</w:t>
      </w:r>
      <w:r>
        <w:rPr>
          <w:rFonts w:hint="eastAsia" w:ascii="仿宋_GB2312" w:eastAsia="仿宋_GB2312" w:cs="仿宋_GB2312"/>
          <w:sz w:val="30"/>
          <w:szCs w:val="30"/>
          <w:u w:val="none"/>
        </w:rPr>
        <w:t>%，决算数小</w:t>
      </w:r>
      <w:r>
        <w:rPr>
          <w:rFonts w:hint="eastAsia" w:ascii="仿宋_GB2312" w:eastAsia="仿宋_GB2312" w:cs="仿宋_GB2312"/>
          <w:color w:val="auto"/>
          <w:sz w:val="30"/>
          <w:szCs w:val="30"/>
          <w:u w:val="none"/>
        </w:rPr>
        <w:t>于年初预算数的主要原因是</w:t>
      </w:r>
      <w:r>
        <w:rPr>
          <w:rFonts w:hint="eastAsia" w:ascii="仿宋_GB2312" w:eastAsia="仿宋_GB2312" w:cs="仿宋_GB2312"/>
          <w:color w:val="auto"/>
          <w:sz w:val="30"/>
          <w:szCs w:val="30"/>
          <w:u w:val="none"/>
          <w:lang w:eastAsia="zh-CN"/>
        </w:rPr>
        <w:t>压缩办公经费及人员调动</w:t>
      </w:r>
      <w:r>
        <w:rPr>
          <w:rFonts w:hint="eastAsia" w:ascii="仿宋_GB2312" w:eastAsia="仿宋_GB2312" w:cs="仿宋_GB2312"/>
          <w:color w:val="auto"/>
          <w:sz w:val="30"/>
          <w:szCs w:val="30"/>
          <w:u w:val="none"/>
        </w:rPr>
        <w:t>。</w:t>
      </w:r>
    </w:p>
    <w:p>
      <w:pPr>
        <w:spacing w:line="600" w:lineRule="exact"/>
        <w:ind w:firstLine="645"/>
        <w:jc w:val="both"/>
        <w:rPr>
          <w:rFonts w:hint="eastAsia" w:ascii="仿宋_GB2312" w:eastAsia="仿宋_GB2312" w:cs="仿宋_GB2312"/>
          <w:color w:val="C00000"/>
          <w:sz w:val="30"/>
          <w:szCs w:val="30"/>
          <w:u w:val="none"/>
        </w:rPr>
      </w:pPr>
      <w:r>
        <w:rPr>
          <w:rFonts w:hint="eastAsia" w:ascii="仿宋_GB2312" w:eastAsia="仿宋_GB2312" w:cs="仿宋_GB2312"/>
          <w:sz w:val="30"/>
          <w:szCs w:val="30"/>
          <w:u w:val="none"/>
        </w:rPr>
        <w:t>一般公共服务支出（类）组织事务（款）其他组织事务支出（项）年初预算为</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元，支出决算为24000.00元，</w:t>
      </w:r>
      <w:r>
        <w:rPr>
          <w:rFonts w:hint="eastAsia" w:ascii="仿宋_GB2312" w:eastAsia="仿宋_GB2312" w:cs="仿宋_GB2312"/>
          <w:color w:val="auto"/>
          <w:sz w:val="30"/>
          <w:szCs w:val="30"/>
          <w:u w:val="none"/>
        </w:rPr>
        <w:t>决算数大于年初预算数的主要原因是增加了2022年甘肃挂职干部食宿补贴。</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社会保障和就业支出（类）行政事业单位养老支出（款）机关事业单位基本养老保险缴费支出（项）年初预算为1861182</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92元，支出决算为1932460.50元，完成年初预算数的</w:t>
      </w:r>
      <w:r>
        <w:rPr>
          <w:rFonts w:hint="eastAsia" w:ascii="仿宋_GB2312" w:eastAsia="仿宋_GB2312" w:cs="仿宋_GB2312"/>
          <w:sz w:val="30"/>
          <w:szCs w:val="30"/>
          <w:u w:val="none"/>
          <w:lang w:val="en-US" w:eastAsia="zh-CN"/>
        </w:rPr>
        <w:t>103.83</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社会保障和就业支出（类）行政事业单位养老支出（款）机关事业单位职业年金缴费支出（项）年初预算为930591</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48元，支出决算为966144.08元，完成年初预算数的</w:t>
      </w:r>
      <w:r>
        <w:rPr>
          <w:rFonts w:hint="eastAsia" w:ascii="仿宋_GB2312" w:eastAsia="仿宋_GB2312" w:cs="仿宋_GB2312"/>
          <w:sz w:val="30"/>
          <w:szCs w:val="30"/>
          <w:u w:val="none"/>
          <w:lang w:val="en-US" w:eastAsia="zh-CN"/>
        </w:rPr>
        <w:t>103.82</w:t>
      </w:r>
      <w:r>
        <w:rPr>
          <w:rFonts w:hint="eastAsia" w:ascii="仿宋_GB2312" w:eastAsia="仿宋_GB2312" w:cs="仿宋_GB2312"/>
          <w:sz w:val="30"/>
          <w:szCs w:val="30"/>
          <w:u w:val="none"/>
        </w:rPr>
        <w:t>%，决算数小于</w:t>
      </w:r>
      <w:bookmarkStart w:id="32" w:name="_GoBack"/>
      <w:bookmarkEnd w:id="32"/>
      <w:r>
        <w:rPr>
          <w:rFonts w:hint="eastAsia" w:ascii="仿宋_GB2312" w:eastAsia="仿宋_GB2312" w:cs="仿宋_GB2312"/>
          <w:sz w:val="30"/>
          <w:szCs w:val="30"/>
          <w:u w:val="none"/>
        </w:rPr>
        <w:t>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卫生健康支出（类）行政事业单位医疗（款）行政单位医疗（项）年初预算为336602</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16元，支出决算为342655.60元，完成年初预算数的</w:t>
      </w:r>
      <w:r>
        <w:rPr>
          <w:rFonts w:hint="eastAsia" w:ascii="仿宋_GB2312" w:eastAsia="仿宋_GB2312" w:cs="仿宋_GB2312"/>
          <w:sz w:val="30"/>
          <w:szCs w:val="30"/>
          <w:u w:val="none"/>
          <w:lang w:val="en-US" w:eastAsia="zh-CN"/>
        </w:rPr>
        <w:t>101.8</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卫生健康支出（类）行政事业单位医疗（款）事业单位医疗（项）年初预算为826638元，支出决算为809512.68元，完成年初预算数的</w:t>
      </w:r>
      <w:r>
        <w:rPr>
          <w:rFonts w:hint="eastAsia" w:ascii="仿宋_GB2312" w:eastAsia="仿宋_GB2312" w:cs="仿宋_GB2312"/>
          <w:sz w:val="30"/>
          <w:szCs w:val="30"/>
          <w:u w:val="none"/>
          <w:lang w:val="en-US" w:eastAsia="zh-CN"/>
        </w:rPr>
        <w:t>97.93</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卫生健康支出（类）行政事业单位医疗（款）公务员医疗补助（项）年初预算为134640</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96元，支出决算为62837.66元，完成年初预算数的</w:t>
      </w:r>
      <w:r>
        <w:rPr>
          <w:rFonts w:hint="eastAsia" w:ascii="仿宋_GB2312" w:eastAsia="仿宋_GB2312" w:cs="仿宋_GB2312"/>
          <w:sz w:val="30"/>
          <w:szCs w:val="30"/>
          <w:u w:val="none"/>
          <w:lang w:val="en-US" w:eastAsia="zh-CN"/>
        </w:rPr>
        <w:t>46.67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卫生健康支出（类）行政事业单位医疗（款）其他行政事业单位医疗支出（项）年初预算为</w:t>
      </w:r>
      <w:r>
        <w:rPr>
          <w:rFonts w:hint="eastAsia" w:ascii="仿宋_GB2312" w:eastAsia="仿宋_GB2312" w:cs="仿宋_GB2312"/>
          <w:sz w:val="30"/>
          <w:szCs w:val="30"/>
          <w:u w:val="none"/>
          <w:lang w:val="en-US" w:eastAsia="zh-CN"/>
        </w:rPr>
        <w:t>193200</w:t>
      </w:r>
      <w:r>
        <w:rPr>
          <w:rFonts w:hint="eastAsia" w:ascii="仿宋_GB2312" w:eastAsia="仿宋_GB2312" w:cs="仿宋_GB2312"/>
          <w:sz w:val="30"/>
          <w:szCs w:val="30"/>
          <w:u w:val="none"/>
        </w:rPr>
        <w:t>元，支出决算为219650.00元，完成年初预算数的</w:t>
      </w:r>
      <w:r>
        <w:rPr>
          <w:rFonts w:hint="eastAsia" w:ascii="仿宋_GB2312" w:eastAsia="仿宋_GB2312" w:cs="仿宋_GB2312"/>
          <w:sz w:val="30"/>
          <w:szCs w:val="30"/>
          <w:u w:val="none"/>
          <w:lang w:val="en-US" w:eastAsia="zh-CN"/>
        </w:rPr>
        <w:t>113.7</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城乡社区支出（类）城乡社区管理事务（款）行政运行（项）年初预算为9263806</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71元，支出决算为10173564.94元，完成年初预算数的</w:t>
      </w:r>
      <w:r>
        <w:rPr>
          <w:rFonts w:hint="eastAsia" w:ascii="仿宋_GB2312" w:eastAsia="仿宋_GB2312" w:cs="仿宋_GB2312"/>
          <w:sz w:val="30"/>
          <w:szCs w:val="30"/>
          <w:u w:val="none"/>
          <w:lang w:val="en-US" w:eastAsia="zh-CN"/>
        </w:rPr>
        <w:t>109.82</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人员调动及保险基数调整</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城乡社区支出（类）城乡社区管理事务（款）其他城乡社区管理事务支出（项）年初预算为13072903</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82元，支出决算为4966447.91元，完成年初预算数的</w:t>
      </w:r>
      <w:r>
        <w:rPr>
          <w:rFonts w:hint="eastAsia" w:ascii="仿宋_GB2312" w:eastAsia="仿宋_GB2312" w:cs="仿宋_GB2312"/>
          <w:sz w:val="30"/>
          <w:szCs w:val="30"/>
          <w:u w:val="none"/>
          <w:lang w:val="en-US" w:eastAsia="zh-CN"/>
        </w:rPr>
        <w:t>38</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城乡社区支出（类）城乡社区公共设施（款）小城镇基础设施建设（项）年初预算为</w:t>
      </w:r>
      <w:r>
        <w:rPr>
          <w:rFonts w:hint="eastAsia" w:ascii="仿宋_GB2312" w:eastAsia="仿宋_GB2312" w:cs="仿宋_GB2312"/>
          <w:sz w:val="30"/>
          <w:szCs w:val="30"/>
          <w:u w:val="none"/>
          <w:lang w:val="en-US" w:eastAsia="zh-CN"/>
        </w:rPr>
        <w:t>5297860</w:t>
      </w:r>
      <w:r>
        <w:rPr>
          <w:rFonts w:hint="eastAsia" w:ascii="仿宋_GB2312" w:eastAsia="仿宋_GB2312" w:cs="仿宋_GB2312"/>
          <w:sz w:val="30"/>
          <w:szCs w:val="30"/>
          <w:u w:val="none"/>
        </w:rPr>
        <w:t>元，支出决算为831331.39元，完成年初预算数的</w:t>
      </w:r>
      <w:r>
        <w:rPr>
          <w:rFonts w:hint="eastAsia" w:ascii="仿宋_GB2312" w:eastAsia="仿宋_GB2312" w:cs="仿宋_GB2312"/>
          <w:sz w:val="30"/>
          <w:szCs w:val="30"/>
          <w:u w:val="none"/>
          <w:lang w:val="en-US" w:eastAsia="zh-CN"/>
        </w:rPr>
        <w:t>15.7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color w:val="auto"/>
          <w:sz w:val="30"/>
          <w:szCs w:val="30"/>
          <w:u w:val="none"/>
          <w:lang w:eastAsia="zh-CN"/>
        </w:rPr>
      </w:pPr>
      <w:r>
        <w:rPr>
          <w:rFonts w:hint="eastAsia" w:ascii="仿宋_GB2312" w:eastAsia="仿宋_GB2312" w:cs="仿宋_GB2312"/>
          <w:sz w:val="30"/>
          <w:szCs w:val="30"/>
          <w:u w:val="none"/>
        </w:rPr>
        <w:t>城乡社区支出（类）城乡社区公共设施（款）其他城乡社区公共设施支出（项）年初预算为63738</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45元，支出决算为15350000.00元，完成年初预算数的</w:t>
      </w:r>
      <w:r>
        <w:rPr>
          <w:rFonts w:hint="eastAsia" w:ascii="仿宋_GB2312" w:eastAsia="仿宋_GB2312" w:cs="仿宋_GB2312"/>
          <w:sz w:val="30"/>
          <w:szCs w:val="30"/>
          <w:u w:val="none"/>
          <w:lang w:val="en-US" w:eastAsia="zh-CN"/>
        </w:rPr>
        <w:t>0.42</w:t>
      </w:r>
      <w:r>
        <w:rPr>
          <w:rFonts w:hint="eastAsia" w:ascii="仿宋_GB2312" w:eastAsia="仿宋_GB2312" w:cs="仿宋_GB2312"/>
          <w:sz w:val="30"/>
          <w:szCs w:val="30"/>
          <w:u w:val="none"/>
        </w:rPr>
        <w:t>%，</w:t>
      </w:r>
      <w:r>
        <w:rPr>
          <w:rFonts w:hint="eastAsia" w:ascii="仿宋_GB2312" w:eastAsia="仿宋_GB2312" w:cs="仿宋_GB2312"/>
          <w:color w:val="auto"/>
          <w:sz w:val="30"/>
          <w:szCs w:val="30"/>
          <w:u w:val="none"/>
        </w:rPr>
        <w:t>决算数大于年初预算数的主要原因是</w:t>
      </w:r>
      <w:r>
        <w:rPr>
          <w:rFonts w:hint="eastAsia" w:ascii="仿宋_GB2312" w:eastAsia="仿宋_GB2312" w:cs="仿宋_GB2312"/>
          <w:color w:val="auto"/>
          <w:sz w:val="30"/>
          <w:szCs w:val="30"/>
          <w:u w:val="none"/>
          <w:lang w:eastAsia="zh-CN"/>
        </w:rPr>
        <w:t>新增丰泽道方涵及辛沽道雨污合建泵站工程项目。</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城乡社区支出（类）建设市场管理与监督（款）建设市场管理与监督（项）年初预算为13070912</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66元，支出决算为6143875.21元，完成年初预算数的</w:t>
      </w:r>
      <w:r>
        <w:rPr>
          <w:rFonts w:hint="eastAsia" w:ascii="仿宋_GB2312" w:eastAsia="仿宋_GB2312" w:cs="仿宋_GB2312"/>
          <w:sz w:val="30"/>
          <w:szCs w:val="30"/>
          <w:u w:val="none"/>
          <w:lang w:val="en-US" w:eastAsia="zh-CN"/>
        </w:rPr>
        <w:t>47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城乡社区支出（类）其他城乡社区支出（款）其他城乡社区支出（项）年初预算为</w:t>
      </w:r>
      <w:r>
        <w:rPr>
          <w:rFonts w:hint="eastAsia" w:ascii="仿宋_GB2312" w:eastAsia="仿宋_GB2312" w:cs="仿宋_GB2312"/>
          <w:sz w:val="30"/>
          <w:szCs w:val="30"/>
          <w:u w:val="none"/>
          <w:lang w:val="en-US" w:eastAsia="zh-CN"/>
        </w:rPr>
        <w:t>5400000</w:t>
      </w:r>
      <w:r>
        <w:rPr>
          <w:rFonts w:hint="eastAsia" w:ascii="仿宋_GB2312" w:eastAsia="仿宋_GB2312" w:cs="仿宋_GB2312"/>
          <w:sz w:val="30"/>
          <w:szCs w:val="30"/>
          <w:u w:val="none"/>
        </w:rPr>
        <w:t>元，支出决算为179291.00元，完成年初预算数的</w:t>
      </w:r>
      <w:r>
        <w:rPr>
          <w:rFonts w:hint="eastAsia" w:ascii="仿宋_GB2312" w:eastAsia="仿宋_GB2312" w:cs="仿宋_GB2312"/>
          <w:sz w:val="30"/>
          <w:szCs w:val="30"/>
          <w:u w:val="none"/>
          <w:lang w:val="en-US" w:eastAsia="zh-CN"/>
        </w:rPr>
        <w:t>3.32</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住房保障支出（类）保障性安居工程支出（款）农村危房改造（项）年初预算为2024101</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54元，支出决算为1013784.32元，完成年初预算数的</w:t>
      </w:r>
      <w:r>
        <w:rPr>
          <w:rFonts w:hint="eastAsia" w:ascii="仿宋_GB2312" w:eastAsia="仿宋_GB2312" w:cs="仿宋_GB2312"/>
          <w:sz w:val="30"/>
          <w:szCs w:val="30"/>
          <w:u w:val="none"/>
          <w:lang w:val="en-US" w:eastAsia="zh-CN"/>
        </w:rPr>
        <w:t>50.09</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住房保障支出（类）保障性安居工程支出（款）公共租赁住房（项）年初预算为1243878</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元，支出决算为11778083.59元，完成年初预算数的</w:t>
      </w:r>
      <w:r>
        <w:rPr>
          <w:rFonts w:hint="eastAsia" w:ascii="仿宋_GB2312" w:eastAsia="仿宋_GB2312" w:cs="仿宋_GB2312"/>
          <w:sz w:val="30"/>
          <w:szCs w:val="30"/>
          <w:u w:val="none"/>
          <w:lang w:val="en-US" w:eastAsia="zh-CN"/>
        </w:rPr>
        <w:t>94.69</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预算资金财政未足额拨付</w:t>
      </w:r>
      <w:r>
        <w:rPr>
          <w:rFonts w:hint="eastAsia" w:ascii="仿宋_GB2312" w:eastAsia="仿宋_GB2312" w:cs="仿宋_GB2312"/>
          <w:sz w:val="30"/>
          <w:szCs w:val="30"/>
          <w:u w:val="none"/>
        </w:rPr>
        <w:t>。</w:t>
      </w:r>
    </w:p>
    <w:p>
      <w:pPr>
        <w:spacing w:line="600" w:lineRule="exact"/>
        <w:ind w:firstLine="645"/>
        <w:jc w:val="both"/>
        <w:rPr>
          <w:rFonts w:hint="eastAsia" w:ascii="仿宋_GB2312" w:eastAsia="仿宋_GB2312" w:cs="仿宋_GB2312"/>
          <w:sz w:val="30"/>
          <w:szCs w:val="30"/>
          <w:u w:val="none"/>
        </w:rPr>
      </w:pPr>
      <w:r>
        <w:rPr>
          <w:rFonts w:hint="eastAsia" w:ascii="仿宋_GB2312" w:eastAsia="仿宋_GB2312" w:cs="仿宋_GB2312"/>
          <w:sz w:val="30"/>
          <w:szCs w:val="30"/>
          <w:u w:val="none"/>
        </w:rPr>
        <w:t>住房保障支出（类）住房改革支出（款）住房公积金（项）年初预算为1968372元，支出决算为1924549.00元，完成年初预算数的</w:t>
      </w:r>
      <w:r>
        <w:rPr>
          <w:rFonts w:hint="eastAsia" w:ascii="仿宋_GB2312" w:eastAsia="仿宋_GB2312" w:cs="仿宋_GB2312"/>
          <w:sz w:val="30"/>
          <w:szCs w:val="30"/>
          <w:u w:val="none"/>
          <w:lang w:val="en-US" w:eastAsia="zh-CN"/>
        </w:rPr>
        <w:t>97.77%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人员调动及公积金基数调整</w:t>
      </w:r>
      <w:r>
        <w:rPr>
          <w:rFonts w:hint="eastAsia" w:ascii="仿宋_GB2312" w:eastAsia="仿宋_GB2312" w:cs="仿宋_GB2312"/>
          <w:sz w:val="30"/>
          <w:szCs w:val="30"/>
          <w:u w:val="none"/>
        </w:rPr>
        <w:t>。</w:t>
      </w:r>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灾害防治及应急管理支出（类）消防救援事务（款）一般行政管理事务（项）年初预算为</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元，支出决算为20000.00元，决算数大于年初预算数的主要原因是</w:t>
      </w:r>
      <w:r>
        <w:rPr>
          <w:rFonts w:hint="eastAsia" w:ascii="仿宋_GB2312" w:eastAsia="仿宋_GB2312" w:cs="仿宋_GB2312"/>
          <w:sz w:val="30"/>
          <w:szCs w:val="30"/>
          <w:u w:val="none"/>
          <w:lang w:eastAsia="zh-CN"/>
        </w:rPr>
        <w:t>调增南环路消防站项目</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2" w:name="_Toc10721"/>
      <w:r>
        <w:rPr>
          <w:rFonts w:ascii="黑体" w:hAnsi="黑体" w:eastAsia="黑体"/>
          <w:b w:val="0"/>
          <w:sz w:val="30"/>
          <w:szCs w:val="30"/>
          <w:u w:val="none"/>
        </w:rPr>
        <w:t>六、一般公共预算财政拨款基本支出决算情况</w:t>
      </w:r>
      <w:r>
        <w:rPr>
          <w:rFonts w:hint="eastAsia" w:ascii="黑体" w:hAnsi="黑体" w:eastAsia="黑体"/>
          <w:b w:val="0"/>
          <w:sz w:val="30"/>
          <w:szCs w:val="30"/>
          <w:u w:val="none"/>
        </w:rPr>
        <w:t>说明</w:t>
      </w:r>
      <w:bookmarkEnd w:id="22"/>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w:t>
      </w:r>
      <w:r>
        <w:rPr>
          <w:rFonts w:hint="eastAsia" w:eastAsia="楷体"/>
          <w:sz w:val="30"/>
          <w:szCs w:val="30"/>
          <w:u w:val="none"/>
        </w:rPr>
        <w:t>2022</w:t>
      </w:r>
      <w:r>
        <w:rPr>
          <w:rFonts w:hint="eastAsia" w:ascii="仿宋_GB2312" w:eastAsia="仿宋_GB2312" w:cs="仿宋_GB2312"/>
          <w:sz w:val="30"/>
          <w:szCs w:val="30"/>
          <w:u w:val="none"/>
        </w:rPr>
        <w:t>年度一般公共预算财政拨款基本支出合计36583381.94元，与2021年度相比增加1566019.91元，主要原因是</w:t>
      </w:r>
      <w:r>
        <w:rPr>
          <w:rFonts w:hint="eastAsia" w:ascii="仿宋_GB2312" w:eastAsia="仿宋_GB2312" w:cs="仿宋_GB2312"/>
          <w:sz w:val="30"/>
          <w:szCs w:val="30"/>
          <w:u w:val="none"/>
          <w:lang w:eastAsia="zh-CN"/>
        </w:rPr>
        <w:t>人员调动及基数调整</w:t>
      </w:r>
      <w:r>
        <w:rPr>
          <w:rFonts w:hint="eastAsia" w:ascii="仿宋_GB2312" w:eastAsia="仿宋_GB2312" w:cs="仿宋_GB2312"/>
          <w:sz w:val="30"/>
          <w:szCs w:val="30"/>
          <w:u w:val="none"/>
        </w:rPr>
        <w:t>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人员经费31838486.92元，主要包括基本工资、津贴补贴、奖金、绩效工资、机关事业单位养老保险缴费、职业年金缴费、职工基本医疗保险缴费、公务员医疗补助缴费、其他社会保障缴费、住房公积金、其他工资福利支出、离休费、退休费、抚恤金、生活补助；</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公用经费4744895.02元，主要包括办公费、咨询费、手续费、水费、电费、邮电费、取暖费、物业管理费、差旅费、维修（护）费、培训费、委托物业费、工会经费、福利费、公务用车运行维护费、其他交通费用、其他商品和服务支出、办公设备购置。</w:t>
      </w:r>
    </w:p>
    <w:p>
      <w:pPr>
        <w:pStyle w:val="3"/>
        <w:spacing w:before="0" w:after="0" w:line="600" w:lineRule="exact"/>
        <w:ind w:firstLine="600" w:firstLineChars="200"/>
        <w:rPr>
          <w:rFonts w:ascii="楷体" w:hAnsi="楷体" w:eastAsia="楷体" w:cs="仿宋_GB2312"/>
          <w:b w:val="0"/>
          <w:sz w:val="30"/>
          <w:szCs w:val="30"/>
          <w:u w:val="none"/>
        </w:rPr>
      </w:pPr>
      <w:bookmarkStart w:id="23" w:name="_Toc17918"/>
      <w:r>
        <w:rPr>
          <w:rFonts w:hint="eastAsia" w:ascii="黑体" w:hAnsi="黑体" w:eastAsia="黑体"/>
          <w:b w:val="0"/>
          <w:sz w:val="30"/>
          <w:szCs w:val="30"/>
          <w:u w:val="none"/>
        </w:rPr>
        <w:t>七</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收支决算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3"/>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2022年度政府性基金预算财政拨款年初结转和结余353198425.10元，收入2179630194.00元，支出2532828619.10元，年末结转和结余0.00元。与2021年度相比，政府性基金预算财政拨款支出增加1412314216.68元，增长126.04%，主要原因是</w:t>
      </w:r>
      <w:r>
        <w:rPr>
          <w:rFonts w:hint="eastAsia" w:eastAsia="仿宋_GB2312"/>
          <w:sz w:val="30"/>
          <w:szCs w:val="30"/>
          <w:u w:val="none"/>
          <w:lang w:eastAsia="zh-CN"/>
        </w:rPr>
        <w:t>新增国家会展中心二期项目等专项债券项目支出</w:t>
      </w:r>
      <w:r>
        <w:rPr>
          <w:rFonts w:hint="eastAsia" w:ascii="仿宋_GB2312" w:eastAsia="仿宋_GB2312" w:cs="仿宋_GB2312"/>
          <w:sz w:val="30"/>
          <w:szCs w:val="30"/>
          <w:u w:val="none"/>
        </w:rPr>
        <w:t>。</w:t>
      </w:r>
    </w:p>
    <w:p>
      <w:pPr>
        <w:pStyle w:val="3"/>
        <w:spacing w:before="0" w:after="0" w:line="600" w:lineRule="exact"/>
        <w:ind w:firstLine="600" w:firstLineChars="200"/>
        <w:rPr>
          <w:rFonts w:eastAsia="黑体"/>
          <w:b w:val="0"/>
          <w:sz w:val="30"/>
          <w:szCs w:val="30"/>
          <w:u w:val="none"/>
        </w:rPr>
      </w:pPr>
      <w:bookmarkStart w:id="24" w:name="_Toc23897"/>
      <w:r>
        <w:rPr>
          <w:rFonts w:hint="eastAsia" w:eastAsia="黑体"/>
          <w:b w:val="0"/>
          <w:sz w:val="30"/>
          <w:szCs w:val="30"/>
          <w:u w:val="none"/>
        </w:rPr>
        <w:t>八、国有资本经营预算财政拨款收支决算情况</w:t>
      </w:r>
      <w:r>
        <w:rPr>
          <w:rFonts w:hint="eastAsia" w:ascii="黑体" w:hAnsi="黑体" w:eastAsia="黑体"/>
          <w:b w:val="0"/>
          <w:bCs w:val="0"/>
          <w:sz w:val="30"/>
          <w:szCs w:val="30"/>
          <w:u w:val="none"/>
        </w:rPr>
        <w:t>说明</w:t>
      </w:r>
      <w:bookmarkEnd w:id="24"/>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u w:val="none"/>
        </w:rPr>
      </w:pPr>
      <w:bookmarkStart w:id="25" w:name="_Toc4518"/>
      <w:r>
        <w:rPr>
          <w:rFonts w:hint="eastAsia" w:ascii="黑体" w:hAnsi="黑体" w:eastAsia="黑体"/>
          <w:b w:val="0"/>
          <w:sz w:val="30"/>
          <w:szCs w:val="30"/>
          <w:u w:val="none"/>
        </w:rPr>
        <w:t>九、</w:t>
      </w:r>
      <w:r>
        <w:rPr>
          <w:rFonts w:ascii="黑体" w:hAnsi="黑体" w:eastAsia="黑体"/>
          <w:b w:val="0"/>
          <w:sz w:val="30"/>
          <w:szCs w:val="30"/>
          <w:u w:val="none"/>
        </w:rPr>
        <w:t>一般公共预算财政拨款“三公”经费</w:t>
      </w:r>
      <w:r>
        <w:rPr>
          <w:rFonts w:hint="eastAsia" w:ascii="黑体" w:hAnsi="黑体" w:eastAsia="黑体"/>
          <w:b w:val="0"/>
          <w:sz w:val="30"/>
          <w:szCs w:val="30"/>
          <w:u w:val="none"/>
        </w:rPr>
        <w:t>支出决算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5"/>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（一）总体情况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年一般公共预算财政拨款“三公”经费预算</w:t>
      </w:r>
      <w:r>
        <w:rPr>
          <w:rFonts w:hint="eastAsia" w:ascii="仿宋_GB2312" w:eastAsia="仿宋_GB2312" w:cs="仿宋_GB2312"/>
          <w:sz w:val="30"/>
          <w:szCs w:val="30"/>
          <w:u w:val="none"/>
          <w:lang w:val="en-US" w:eastAsia="zh-CN"/>
        </w:rPr>
        <w:t>155807.67</w:t>
      </w:r>
      <w:r>
        <w:rPr>
          <w:rFonts w:hint="eastAsia" w:ascii="仿宋_GB2312" w:eastAsia="仿宋_GB2312" w:cs="仿宋_GB2312"/>
          <w:sz w:val="30"/>
          <w:szCs w:val="30"/>
          <w:u w:val="none"/>
        </w:rPr>
        <w:t>元，支出决算43114.76元（去年同期63834.02元），支出决算与</w:t>
      </w:r>
      <w:r>
        <w:rPr>
          <w:rFonts w:hint="eastAsia" w:eastAsia="楷体"/>
          <w:sz w:val="30"/>
          <w:szCs w:val="30"/>
          <w:u w:val="none"/>
        </w:rPr>
        <w:t>2022</w:t>
      </w:r>
      <w:r>
        <w:rPr>
          <w:rFonts w:hint="eastAsia" w:ascii="仿宋_GB2312" w:eastAsia="仿宋_GB2312" w:cs="仿宋_GB2312"/>
          <w:sz w:val="30"/>
          <w:szCs w:val="30"/>
          <w:u w:val="none"/>
        </w:rPr>
        <w:t>年预算相比减少</w:t>
      </w:r>
      <w:r>
        <w:rPr>
          <w:rFonts w:hint="eastAsia" w:ascii="仿宋_GB2312" w:eastAsia="仿宋_GB2312" w:cs="仿宋_GB2312"/>
          <w:sz w:val="30"/>
          <w:szCs w:val="30"/>
          <w:u w:val="none"/>
          <w:lang w:val="en-US" w:eastAsia="zh-CN"/>
        </w:rPr>
        <w:t>112692.91</w:t>
      </w:r>
      <w:r>
        <w:rPr>
          <w:rFonts w:hint="eastAsia" w:ascii="仿宋_GB2312" w:eastAsia="仿宋_GB2312" w:cs="仿宋_GB2312"/>
          <w:sz w:val="30"/>
          <w:szCs w:val="30"/>
          <w:u w:val="none"/>
        </w:rPr>
        <w:t>元,完成预算的</w:t>
      </w:r>
      <w:r>
        <w:rPr>
          <w:rFonts w:hint="eastAsia" w:ascii="仿宋_GB2312" w:eastAsia="仿宋_GB2312" w:cs="仿宋_GB2312"/>
          <w:sz w:val="30"/>
          <w:szCs w:val="30"/>
          <w:u w:val="none"/>
          <w:lang w:val="en-US" w:eastAsia="zh-CN"/>
        </w:rPr>
        <w:t>27.67</w:t>
      </w:r>
      <w:r>
        <w:rPr>
          <w:rFonts w:hint="eastAsia" w:ascii="仿宋_GB2312" w:eastAsia="仿宋_GB2312" w:cs="仿宋_GB2312"/>
          <w:sz w:val="30"/>
          <w:szCs w:val="30"/>
          <w:u w:val="none"/>
        </w:rPr>
        <w:t>%；支出决算较上年减少20719.26元，下降32.46%。决算数小于预算数的主要原因是</w:t>
      </w:r>
      <w:r>
        <w:rPr>
          <w:rFonts w:hint="eastAsia" w:ascii="仿宋_GB2312" w:eastAsia="仿宋_GB2312" w:cs="仿宋_GB2312"/>
          <w:sz w:val="30"/>
          <w:szCs w:val="30"/>
          <w:u w:val="none"/>
          <w:lang w:eastAsia="zh-CN"/>
        </w:rPr>
        <w:t>压减一般公共预算“三公”经费支出</w:t>
      </w:r>
      <w:r>
        <w:rPr>
          <w:rFonts w:hint="eastAsia" w:ascii="仿宋_GB2312" w:eastAsia="仿宋_GB2312" w:cs="仿宋_GB2312"/>
          <w:sz w:val="30"/>
          <w:szCs w:val="30"/>
          <w:u w:val="none"/>
        </w:rPr>
        <w:t>。决算数较上年减少的主要原因是</w:t>
      </w:r>
      <w:r>
        <w:rPr>
          <w:rFonts w:hint="eastAsia" w:ascii="仿宋_GB2312" w:eastAsia="仿宋_GB2312" w:cs="仿宋_GB2312"/>
          <w:sz w:val="30"/>
          <w:szCs w:val="30"/>
          <w:u w:val="none"/>
          <w:lang w:eastAsia="zh-CN"/>
        </w:rPr>
        <w:t>压减一般公共预算“三公”经费支出</w:t>
      </w:r>
      <w:r>
        <w:rPr>
          <w:rFonts w:hint="eastAsia" w:ascii="仿宋_GB2312" w:eastAsia="仿宋_GB2312" w:cs="仿宋_GB2312"/>
          <w:sz w:val="30"/>
          <w:szCs w:val="30"/>
          <w:u w:val="none"/>
        </w:rPr>
        <w:t>。</w:t>
      </w:r>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（二）具体情况</w:t>
      </w:r>
    </w:p>
    <w:p>
      <w:pPr>
        <w:spacing w:line="600" w:lineRule="exact"/>
        <w:ind w:firstLine="600" w:firstLineChars="200"/>
        <w:jc w:val="both"/>
        <w:rPr>
          <w:rFonts w:eastAsia="仿宋_GB2312"/>
          <w:sz w:val="30"/>
          <w:szCs w:val="30"/>
          <w:u w:val="none"/>
        </w:rPr>
      </w:pPr>
      <w:r>
        <w:rPr>
          <w:rFonts w:hint="eastAsia" w:eastAsia="仿宋_GB2312"/>
          <w:sz w:val="30"/>
          <w:szCs w:val="30"/>
          <w:u w:val="none"/>
        </w:rPr>
        <w:t>1.</w:t>
      </w:r>
      <w:r>
        <w:rPr>
          <w:rFonts w:hint="eastAsia" w:ascii="仿宋_GB2312" w:eastAsia="仿宋_GB2312" w:cs="仿宋_GB2312"/>
          <w:sz w:val="30"/>
          <w:szCs w:val="30"/>
          <w:u w:val="none"/>
        </w:rPr>
        <w:t>因公出国（境）费预算0.00元，支出决算0.00元（去年同期0.00元），支出决算与预算相比持平；支出决算较上年持平。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u w:val="none"/>
        </w:rPr>
        <w:t>年本单位组织的出国团组0个，出国0人次。</w:t>
      </w:r>
    </w:p>
    <w:p>
      <w:pPr>
        <w:spacing w:line="600" w:lineRule="exact"/>
        <w:ind w:firstLine="600" w:firstLineChars="200"/>
        <w:jc w:val="both"/>
        <w:rPr>
          <w:rFonts w:eastAsia="仿宋_GB2312"/>
          <w:sz w:val="30"/>
          <w:szCs w:val="30"/>
          <w:u w:val="none"/>
        </w:rPr>
      </w:pPr>
      <w:r>
        <w:rPr>
          <w:rFonts w:hint="eastAsia" w:eastAsia="仿宋_GB2312"/>
          <w:sz w:val="30"/>
          <w:szCs w:val="30"/>
          <w:u w:val="none"/>
        </w:rPr>
        <w:t>2.</w:t>
      </w:r>
      <w:r>
        <w:rPr>
          <w:rFonts w:hint="eastAsia" w:ascii="仿宋_GB2312" w:eastAsia="仿宋_GB2312" w:cs="仿宋_GB2312"/>
          <w:sz w:val="30"/>
          <w:szCs w:val="30"/>
          <w:u w:val="none"/>
        </w:rPr>
        <w:t>公务用车购置及运行维护费预算</w:t>
      </w:r>
      <w:r>
        <w:rPr>
          <w:rFonts w:hint="eastAsia" w:ascii="仿宋_GB2312" w:eastAsia="仿宋_GB2312" w:cs="仿宋_GB2312"/>
          <w:sz w:val="30"/>
          <w:szCs w:val="30"/>
          <w:u w:val="none"/>
          <w:lang w:val="en-US" w:eastAsia="zh-CN"/>
        </w:rPr>
        <w:t>155807.67</w:t>
      </w:r>
      <w:r>
        <w:rPr>
          <w:rFonts w:hint="eastAsia" w:ascii="仿宋_GB2312" w:eastAsia="仿宋_GB2312" w:cs="仿宋_GB2312"/>
          <w:sz w:val="30"/>
          <w:szCs w:val="30"/>
          <w:u w:val="none"/>
        </w:rPr>
        <w:t>元，支出决算43114.76元（去年同期63834.02元），支出决算与预算相比减少</w:t>
      </w:r>
      <w:r>
        <w:rPr>
          <w:rFonts w:hint="eastAsia" w:ascii="仿宋_GB2312" w:eastAsia="仿宋_GB2312" w:cs="仿宋_GB2312"/>
          <w:sz w:val="30"/>
          <w:szCs w:val="30"/>
          <w:u w:val="none"/>
          <w:lang w:val="en-US" w:eastAsia="zh-CN"/>
        </w:rPr>
        <w:t>112692.91</w:t>
      </w:r>
      <w:r>
        <w:rPr>
          <w:rFonts w:hint="eastAsia" w:ascii="仿宋_GB2312" w:eastAsia="仿宋_GB2312" w:cs="仿宋_GB2312"/>
          <w:sz w:val="30"/>
          <w:szCs w:val="30"/>
          <w:u w:val="none"/>
        </w:rPr>
        <w:t>元,完成预算的</w:t>
      </w:r>
      <w:r>
        <w:rPr>
          <w:rFonts w:hint="eastAsia" w:ascii="仿宋_GB2312" w:eastAsia="仿宋_GB2312" w:cs="仿宋_GB2312"/>
          <w:sz w:val="30"/>
          <w:szCs w:val="30"/>
          <w:u w:val="none"/>
          <w:lang w:val="en-US" w:eastAsia="zh-CN"/>
        </w:rPr>
        <w:t>27.67</w:t>
      </w:r>
      <w:r>
        <w:rPr>
          <w:rFonts w:hint="eastAsia" w:ascii="仿宋_GB2312" w:eastAsia="仿宋_GB2312" w:cs="仿宋_GB2312"/>
          <w:sz w:val="30"/>
          <w:szCs w:val="30"/>
          <w:u w:val="none"/>
        </w:rPr>
        <w:t>%；支出决算较上年减少20719.26元，下降32.46%。其中：</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公务用车运行维护费预算</w:t>
      </w:r>
      <w:r>
        <w:rPr>
          <w:rFonts w:hint="eastAsia" w:ascii="仿宋_GB2312" w:eastAsia="仿宋_GB2312" w:cs="仿宋_GB2312"/>
          <w:sz w:val="30"/>
          <w:szCs w:val="30"/>
          <w:u w:val="none"/>
          <w:lang w:val="en-US" w:eastAsia="zh-CN"/>
        </w:rPr>
        <w:t>155807.67</w:t>
      </w:r>
      <w:r>
        <w:rPr>
          <w:rFonts w:hint="eastAsia" w:ascii="仿宋_GB2312" w:eastAsia="仿宋_GB2312" w:cs="仿宋_GB2312"/>
          <w:sz w:val="30"/>
          <w:szCs w:val="30"/>
          <w:u w:val="none"/>
        </w:rPr>
        <w:t>元，支出决算43114.76元（去年同期63834.02元），支出决算与预算相比减少</w:t>
      </w:r>
      <w:r>
        <w:rPr>
          <w:rFonts w:hint="eastAsia" w:ascii="仿宋_GB2312" w:eastAsia="仿宋_GB2312" w:cs="仿宋_GB2312"/>
          <w:sz w:val="30"/>
          <w:szCs w:val="30"/>
          <w:u w:val="none"/>
          <w:lang w:val="en-US" w:eastAsia="zh-CN"/>
        </w:rPr>
        <w:t>112692.91</w:t>
      </w:r>
      <w:r>
        <w:rPr>
          <w:rFonts w:hint="eastAsia" w:ascii="仿宋_GB2312" w:eastAsia="仿宋_GB2312" w:cs="仿宋_GB2312"/>
          <w:sz w:val="30"/>
          <w:szCs w:val="30"/>
          <w:u w:val="none"/>
        </w:rPr>
        <w:t>元,完成预算的</w:t>
      </w:r>
      <w:r>
        <w:rPr>
          <w:rFonts w:hint="eastAsia" w:ascii="仿宋_GB2312" w:eastAsia="仿宋_GB2312" w:cs="仿宋_GB2312"/>
          <w:sz w:val="30"/>
          <w:szCs w:val="30"/>
          <w:u w:val="none"/>
          <w:lang w:val="en-US" w:eastAsia="zh-CN"/>
        </w:rPr>
        <w:t>27.67</w:t>
      </w:r>
      <w:r>
        <w:rPr>
          <w:rFonts w:hint="eastAsia" w:ascii="仿宋_GB2312" w:eastAsia="仿宋_GB2312" w:cs="仿宋_GB2312"/>
          <w:sz w:val="30"/>
          <w:szCs w:val="30"/>
          <w:u w:val="none"/>
        </w:rPr>
        <w:t>%；支出决算较上年减少20719.26元，下降32.46%。</w:t>
      </w:r>
      <w:r>
        <w:rPr>
          <w:rFonts w:hint="eastAsia" w:ascii="仿宋_GB2312" w:eastAsia="仿宋_GB2312" w:cs="仿宋_GB2312"/>
          <w:color w:val="auto"/>
          <w:sz w:val="30"/>
          <w:szCs w:val="30"/>
          <w:u w:val="none"/>
        </w:rPr>
        <w:t>决算数小于预算数的主要原因是</w:t>
      </w:r>
      <w:r>
        <w:rPr>
          <w:rFonts w:hint="eastAsia" w:ascii="仿宋_GB2312" w:eastAsia="仿宋_GB2312" w:cs="仿宋_GB2312"/>
          <w:color w:val="auto"/>
          <w:sz w:val="30"/>
          <w:szCs w:val="30"/>
          <w:u w:val="none"/>
          <w:lang w:eastAsia="zh-CN"/>
        </w:rPr>
        <w:t>大量压缩三公经费支出，在办证公车保险和日常维修维护的基础上，不再增加油费，消化以前年度油卡里油费余额</w:t>
      </w:r>
      <w:r>
        <w:rPr>
          <w:rFonts w:hint="eastAsia" w:ascii="仿宋_GB2312" w:eastAsia="仿宋_GB2312" w:cs="仿宋_GB2312"/>
          <w:color w:val="auto"/>
          <w:sz w:val="30"/>
          <w:szCs w:val="30"/>
          <w:u w:val="none"/>
        </w:rPr>
        <w:t>。决算数较上年减少的主要原因是</w:t>
      </w:r>
      <w:r>
        <w:rPr>
          <w:rFonts w:hint="eastAsia" w:ascii="仿宋_GB2312" w:eastAsia="仿宋_GB2312" w:cs="仿宋_GB2312"/>
          <w:color w:val="auto"/>
          <w:sz w:val="30"/>
          <w:szCs w:val="30"/>
          <w:u w:val="none"/>
          <w:lang w:eastAsia="zh-CN"/>
        </w:rPr>
        <w:t>大量压缩三公经费支出，在办证公车保险和日常维修维护的基础</w:t>
      </w:r>
      <w:r>
        <w:rPr>
          <w:rFonts w:hint="eastAsia" w:ascii="仿宋_GB2312" w:eastAsia="仿宋_GB2312" w:cs="仿宋_GB2312"/>
          <w:sz w:val="30"/>
          <w:szCs w:val="30"/>
          <w:u w:val="none"/>
          <w:lang w:eastAsia="zh-CN"/>
        </w:rPr>
        <w:t>上，不再增加油费，消化以前年度油卡里油费</w:t>
      </w:r>
      <w:r>
        <w:rPr>
          <w:rFonts w:hint="eastAsia" w:ascii="仿宋_GB2312" w:eastAsia="仿宋_GB2312" w:cs="仿宋_GB2312"/>
          <w:color w:val="auto"/>
          <w:sz w:val="30"/>
          <w:szCs w:val="30"/>
          <w:u w:val="none"/>
          <w:lang w:eastAsia="zh-CN"/>
        </w:rPr>
        <w:t>余额</w:t>
      </w:r>
      <w:r>
        <w:rPr>
          <w:rFonts w:hint="eastAsia" w:ascii="仿宋_GB2312" w:eastAsia="仿宋_GB2312" w:cs="仿宋_GB2312"/>
          <w:color w:val="auto"/>
          <w:sz w:val="30"/>
          <w:szCs w:val="30"/>
          <w:u w:val="none"/>
        </w:rPr>
        <w:t>。</w:t>
      </w:r>
      <w:r>
        <w:rPr>
          <w:rFonts w:hint="eastAsia" w:ascii="仿宋_GB2312" w:eastAsia="仿宋_GB2312" w:cs="仿宋_GB2312"/>
          <w:sz w:val="30"/>
          <w:szCs w:val="30"/>
          <w:u w:val="none"/>
        </w:rPr>
        <w:t>截至2022年12月31日，使用</w:t>
      </w:r>
      <w:r>
        <w:rPr>
          <w:rFonts w:hint="eastAsia" w:eastAsia="仿宋_GB2312"/>
          <w:sz w:val="30"/>
          <w:szCs w:val="30"/>
          <w:u w:val="none"/>
        </w:rPr>
        <w:t>一般公共预算</w:t>
      </w:r>
      <w:r>
        <w:rPr>
          <w:rFonts w:hint="eastAsia" w:ascii="仿宋_GB2312" w:eastAsia="仿宋_GB2312" w:cs="仿宋_GB2312"/>
          <w:sz w:val="30"/>
          <w:szCs w:val="30"/>
          <w:u w:val="none"/>
        </w:rPr>
        <w:t>财政拨款开支运行维护费的公务用车保有量为7辆。</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公务用车购置费预算0.00元，支出决算0.00元（去年同期</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u w:val="none"/>
        </w:rPr>
      </w:pPr>
      <w:r>
        <w:rPr>
          <w:rFonts w:hint="eastAsia" w:eastAsia="仿宋_GB2312"/>
          <w:sz w:val="30"/>
          <w:szCs w:val="30"/>
          <w:u w:val="none"/>
        </w:rPr>
        <w:t>3.</w:t>
      </w:r>
      <w:r>
        <w:rPr>
          <w:rFonts w:hint="eastAsia" w:ascii="仿宋_GB2312" w:eastAsia="仿宋_GB2312" w:cs="仿宋_GB2312"/>
          <w:sz w:val="30"/>
          <w:szCs w:val="30"/>
          <w:u w:val="none"/>
        </w:rPr>
        <w:t>公务接待费预算0.00元，支出决算0.00元（去年同期0.00元），支出决算与预算相比持平；支出决算较上年持平。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u w:val="none"/>
        </w:rPr>
        <w:t>年本单位国内公务接待0批</w:t>
      </w:r>
      <w:r>
        <w:rPr>
          <w:rFonts w:hint="eastAsia" w:eastAsia="仿宋_GB2312" w:cs="仿宋_GB2312"/>
          <w:sz w:val="30"/>
          <w:szCs w:val="30"/>
          <w:u w:val="none"/>
        </w:rPr>
        <w:t>次，</w:t>
      </w:r>
      <w:r>
        <w:rPr>
          <w:rFonts w:hint="eastAsia" w:ascii="仿宋_GB2312" w:eastAsia="仿宋_GB2312" w:cs="仿宋_GB2312"/>
          <w:sz w:val="30"/>
          <w:szCs w:val="30"/>
          <w:u w:val="none"/>
        </w:rPr>
        <w:t>0</w:t>
      </w:r>
      <w:r>
        <w:rPr>
          <w:rFonts w:hint="eastAsia" w:eastAsia="仿宋_GB2312" w:cs="仿宋_GB2312"/>
          <w:sz w:val="30"/>
          <w:szCs w:val="30"/>
          <w:u w:val="none"/>
        </w:rPr>
        <w:t>人次；其中，外事接待</w:t>
      </w:r>
      <w:r>
        <w:rPr>
          <w:rFonts w:hint="eastAsia" w:ascii="仿宋_GB2312" w:eastAsia="仿宋_GB2312" w:cs="仿宋_GB2312"/>
          <w:sz w:val="30"/>
          <w:szCs w:val="30"/>
          <w:u w:val="none"/>
        </w:rPr>
        <w:t>0</w:t>
      </w:r>
      <w:r>
        <w:rPr>
          <w:rFonts w:hint="eastAsia" w:eastAsia="仿宋_GB2312" w:cs="仿宋_GB2312"/>
          <w:sz w:val="30"/>
          <w:szCs w:val="30"/>
          <w:u w:val="none"/>
        </w:rPr>
        <w:t>批次，</w:t>
      </w:r>
      <w:r>
        <w:rPr>
          <w:rFonts w:hint="eastAsia" w:ascii="仿宋_GB2312" w:eastAsia="仿宋_GB2312" w:cs="仿宋_GB2312"/>
          <w:sz w:val="30"/>
          <w:szCs w:val="30"/>
          <w:u w:val="none"/>
        </w:rPr>
        <w:t>0</w:t>
      </w:r>
      <w:r>
        <w:rPr>
          <w:rFonts w:hint="eastAsia" w:eastAsia="仿宋_GB2312" w:cs="仿宋_GB2312"/>
          <w:sz w:val="30"/>
          <w:szCs w:val="30"/>
          <w:u w:val="none"/>
        </w:rPr>
        <w:t>人次。</w:t>
      </w:r>
    </w:p>
    <w:p>
      <w:pPr>
        <w:pStyle w:val="3"/>
        <w:spacing w:before="0" w:after="0" w:line="600" w:lineRule="exact"/>
        <w:ind w:firstLine="600" w:firstLineChars="200"/>
        <w:rPr>
          <w:rFonts w:ascii="黑体" w:hAnsi="黑体" w:eastAsia="黑体"/>
          <w:b w:val="0"/>
          <w:sz w:val="30"/>
          <w:szCs w:val="30"/>
          <w:u w:val="none"/>
        </w:rPr>
      </w:pPr>
      <w:bookmarkStart w:id="26" w:name="_Toc3411"/>
      <w:r>
        <w:rPr>
          <w:rFonts w:hint="eastAsia" w:ascii="黑体" w:hAnsi="黑体" w:eastAsia="黑体"/>
          <w:b w:val="0"/>
          <w:sz w:val="30"/>
          <w:szCs w:val="30"/>
          <w:u w:val="none"/>
        </w:rPr>
        <w:t>十、</w:t>
      </w:r>
      <w:r>
        <w:rPr>
          <w:rFonts w:ascii="黑体" w:hAnsi="黑体" w:eastAsia="黑体"/>
          <w:b w:val="0"/>
          <w:sz w:val="30"/>
          <w:szCs w:val="30"/>
          <w:u w:val="none"/>
        </w:rPr>
        <w:t>机关运行经费</w:t>
      </w:r>
      <w:r>
        <w:rPr>
          <w:rFonts w:hint="eastAsia" w:ascii="黑体" w:hAnsi="黑体" w:eastAsia="黑体"/>
          <w:b w:val="0"/>
          <w:sz w:val="30"/>
          <w:szCs w:val="30"/>
          <w:u w:val="none"/>
        </w:rPr>
        <w:t>支出情况</w:t>
      </w:r>
      <w:r>
        <w:rPr>
          <w:rFonts w:hint="eastAsia" w:ascii="黑体" w:hAnsi="黑体" w:eastAsia="黑体"/>
          <w:b w:val="0"/>
          <w:bCs w:val="0"/>
          <w:sz w:val="30"/>
          <w:szCs w:val="30"/>
          <w:u w:val="none"/>
        </w:rPr>
        <w:t>说明</w:t>
      </w:r>
      <w:bookmarkEnd w:id="26"/>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机关运行经费是指行政单位和参照公务员法管理的事业单位使用一般公共预算财政拨款安排的基本支出中的日常公用经费支出，天津市津南区住房和建设委员会2022年度机关运行经费决算数1976382.68元，比2021年减少77482.33元，下降3.77%，主要原因是</w:t>
      </w:r>
      <w:r>
        <w:rPr>
          <w:rFonts w:hint="eastAsia" w:ascii="仿宋_GB2312" w:eastAsia="仿宋_GB2312" w:cs="仿宋_GB2312"/>
          <w:sz w:val="30"/>
          <w:szCs w:val="30"/>
          <w:u w:val="none"/>
          <w:lang w:eastAsia="zh-CN"/>
        </w:rPr>
        <w:t>压减机关运行经费</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7" w:name="_Toc31102"/>
      <w:r>
        <w:rPr>
          <w:rFonts w:hint="eastAsia" w:ascii="黑体" w:hAnsi="黑体" w:eastAsia="黑体"/>
          <w:b w:val="0"/>
          <w:sz w:val="30"/>
          <w:szCs w:val="30"/>
          <w:u w:val="none"/>
        </w:rPr>
        <w:t>十一、</w:t>
      </w:r>
      <w:r>
        <w:rPr>
          <w:rFonts w:ascii="黑体" w:hAnsi="黑体" w:eastAsia="黑体"/>
          <w:b w:val="0"/>
          <w:sz w:val="30"/>
          <w:szCs w:val="30"/>
          <w:u w:val="none"/>
        </w:rPr>
        <w:t>政府采购</w:t>
      </w:r>
      <w:r>
        <w:rPr>
          <w:rFonts w:hint="eastAsia" w:ascii="黑体" w:hAnsi="黑体" w:eastAsia="黑体"/>
          <w:b w:val="0"/>
          <w:sz w:val="30"/>
          <w:szCs w:val="30"/>
          <w:u w:val="none"/>
        </w:rPr>
        <w:t>支出</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7"/>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委员会2022年政府采购支出总额11519984.74元，其中：政府采购货物支出206062.40元、政府采购工程支出8199468.00元、政府采购服务支出3114454.34元。授予中小企业合同金额11519984.74元，占政府采购支出总额的100.00%，其中：授予小微企业合同金额11519984.74元，占政府采购支出总额的100.00%；货物采购授予中小企业合同金额占货物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%，工程采购授予中小企业合同金额占工程支出金额的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%，服务采购授予中小企业合同金额占服务支出金额的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8" w:name="_Toc23709"/>
      <w:r>
        <w:rPr>
          <w:rFonts w:hint="eastAsia" w:ascii="黑体" w:hAnsi="黑体" w:eastAsia="黑体"/>
          <w:b w:val="0"/>
          <w:sz w:val="30"/>
          <w:szCs w:val="30"/>
          <w:u w:val="none"/>
        </w:rPr>
        <w:t>十二、国有资产占有使用情况</w:t>
      </w:r>
      <w:r>
        <w:rPr>
          <w:rFonts w:hint="eastAsia" w:ascii="黑体" w:hAnsi="黑体" w:eastAsia="黑体"/>
          <w:b w:val="0"/>
          <w:bCs w:val="0"/>
          <w:sz w:val="30"/>
          <w:szCs w:val="30"/>
          <w:u w:val="none"/>
        </w:rPr>
        <w:t>说明</w:t>
      </w:r>
      <w:bookmarkEnd w:id="28"/>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截至2022年12月31日，天津市津南区住房和建设委员会共有车辆33辆，其中：副部（省）级及以上领导用车</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辆、主要领导干部用车0辆、机要通信车0辆、应急保障用车0辆、执法执勤用车6辆、特种专业技术用车0辆、离退休干部用车0辆、其他用车27辆，其他用车主要包括</w:t>
      </w:r>
      <w:r>
        <w:rPr>
          <w:rFonts w:hint="eastAsia" w:ascii="仿宋_GB2312" w:eastAsia="仿宋_GB2312" w:cs="仿宋_GB2312"/>
          <w:sz w:val="30"/>
          <w:szCs w:val="30"/>
          <w:u w:val="none"/>
          <w:lang w:eastAsia="zh-CN"/>
        </w:rPr>
        <w:t>单位公务用车</w:t>
      </w:r>
      <w:r>
        <w:rPr>
          <w:rFonts w:hint="eastAsia" w:ascii="仿宋_GB2312" w:eastAsia="仿宋_GB2312" w:cs="仿宋_GB2312"/>
          <w:sz w:val="30"/>
          <w:szCs w:val="30"/>
          <w:u w:val="none"/>
        </w:rPr>
        <w:t>。单价100万元以上的专用设备0台（套）。</w:t>
      </w:r>
    </w:p>
    <w:p>
      <w:pPr>
        <w:pStyle w:val="3"/>
        <w:spacing w:before="0" w:after="0" w:line="540" w:lineRule="exact"/>
        <w:ind w:firstLine="600" w:firstLineChars="200"/>
        <w:rPr>
          <w:rFonts w:ascii="黑体" w:hAnsi="黑体" w:eastAsia="黑体"/>
          <w:b w:val="0"/>
          <w:bCs w:val="0"/>
          <w:sz w:val="30"/>
          <w:szCs w:val="30"/>
          <w:u w:val="none"/>
        </w:rPr>
      </w:pPr>
      <w:bookmarkStart w:id="29" w:name="_Toc11467"/>
      <w:r>
        <w:rPr>
          <w:rFonts w:hint="eastAsia" w:ascii="黑体" w:hAnsi="黑体" w:eastAsia="黑体"/>
          <w:b w:val="0"/>
          <w:bCs w:val="0"/>
          <w:sz w:val="30"/>
          <w:szCs w:val="30"/>
          <w:u w:val="none"/>
        </w:rPr>
        <w:t>十三、预算绩效情况说明</w:t>
      </w:r>
      <w:bookmarkEnd w:id="29"/>
    </w:p>
    <w:p>
      <w:pPr>
        <w:spacing w:line="600" w:lineRule="exact"/>
        <w:ind w:firstLine="600" w:firstLineChars="200"/>
        <w:jc w:val="both"/>
        <w:rPr>
          <w:rFonts w:eastAsia="仿宋_GB2312"/>
          <w:sz w:val="30"/>
          <w:szCs w:val="30"/>
          <w:u w:val="none"/>
        </w:rPr>
      </w:pPr>
      <w:r>
        <w:rPr>
          <w:rFonts w:eastAsia="仿宋_GB2312"/>
          <w:sz w:val="30"/>
          <w:szCs w:val="30"/>
          <w:u w:val="none"/>
        </w:rPr>
        <w:t>根据预算绩效管理要求，</w:t>
      </w:r>
      <w:r>
        <w:rPr>
          <w:rFonts w:hint="eastAsia" w:ascii="仿宋_GB2312" w:eastAsia="仿宋_GB2312" w:cs="仿宋_GB2312"/>
          <w:sz w:val="30"/>
          <w:szCs w:val="30"/>
          <w:u w:val="none"/>
        </w:rPr>
        <w:t>天津市津南区住房和建设委员会</w:t>
      </w:r>
      <w:r>
        <w:rPr>
          <w:rFonts w:hint="eastAsia" w:eastAsia="楷体"/>
          <w:sz w:val="30"/>
          <w:szCs w:val="30"/>
          <w:u w:val="none"/>
        </w:rPr>
        <w:t>2022</w:t>
      </w:r>
      <w:r>
        <w:rPr>
          <w:rFonts w:hint="eastAsia" w:ascii="仿宋_GB2312" w:eastAsia="仿宋_GB2312" w:cs="仿宋_GB2312"/>
          <w:sz w:val="30"/>
          <w:szCs w:val="30"/>
          <w:u w:val="none"/>
        </w:rPr>
        <w:t>年度已</w:t>
      </w:r>
      <w:r>
        <w:rPr>
          <w:rFonts w:hint="eastAsia" w:eastAsia="仿宋_GB2312"/>
          <w:sz w:val="30"/>
          <w:szCs w:val="30"/>
          <w:u w:val="none"/>
        </w:rPr>
        <w:t>对</w:t>
      </w:r>
      <w:r>
        <w:rPr>
          <w:rFonts w:hint="eastAsia" w:eastAsia="仿宋_GB2312"/>
          <w:sz w:val="30"/>
          <w:szCs w:val="30"/>
          <w:u w:val="none"/>
          <w:lang w:val="en-US" w:eastAsia="zh-CN"/>
        </w:rPr>
        <w:t>26</w:t>
      </w:r>
      <w:r>
        <w:rPr>
          <w:rFonts w:eastAsia="仿宋_GB2312"/>
          <w:sz w:val="30"/>
          <w:szCs w:val="30"/>
          <w:u w:val="none"/>
        </w:rPr>
        <w:t>个</w:t>
      </w:r>
      <w:r>
        <w:rPr>
          <w:rFonts w:hint="eastAsia" w:eastAsia="仿宋_GB2312"/>
          <w:sz w:val="30"/>
          <w:szCs w:val="30"/>
          <w:u w:val="none"/>
        </w:rPr>
        <w:t>区级</w:t>
      </w:r>
      <w:r>
        <w:rPr>
          <w:rFonts w:eastAsia="仿宋_GB2312"/>
          <w:sz w:val="30"/>
          <w:szCs w:val="30"/>
          <w:u w:val="none"/>
        </w:rPr>
        <w:t>项目开展绩效自评，涉及金额</w:t>
      </w:r>
      <w:r>
        <w:rPr>
          <w:rFonts w:hint="eastAsia" w:eastAsia="仿宋_GB2312"/>
          <w:sz w:val="30"/>
          <w:szCs w:val="30"/>
          <w:u w:val="none"/>
          <w:lang w:val="en-US" w:eastAsia="zh-CN"/>
        </w:rPr>
        <w:t>2615749000</w:t>
      </w:r>
      <w:r>
        <w:rPr>
          <w:rFonts w:eastAsia="仿宋_GB2312"/>
          <w:sz w:val="30"/>
          <w:szCs w:val="30"/>
          <w:u w:val="none"/>
        </w:rPr>
        <w:t>元</w:t>
      </w:r>
      <w:r>
        <w:rPr>
          <w:rFonts w:hint="eastAsia" w:eastAsia="仿宋_GB2312"/>
          <w:sz w:val="30"/>
          <w:szCs w:val="30"/>
          <w:u w:val="none"/>
        </w:rPr>
        <w:t>，自评结果已随部门决算一并公开；已对</w:t>
      </w:r>
      <w:r>
        <w:rPr>
          <w:rFonts w:hint="eastAsia" w:eastAsia="仿宋_GB2312"/>
          <w:sz w:val="30"/>
          <w:szCs w:val="30"/>
          <w:u w:val="none"/>
          <w:lang w:val="en-US" w:eastAsia="zh-CN"/>
        </w:rPr>
        <w:t>26</w:t>
      </w:r>
      <w:r>
        <w:rPr>
          <w:rFonts w:eastAsia="仿宋_GB2312"/>
          <w:sz w:val="30"/>
          <w:szCs w:val="30"/>
          <w:u w:val="none"/>
        </w:rPr>
        <w:t>个项目</w:t>
      </w:r>
      <w:r>
        <w:rPr>
          <w:rFonts w:hint="eastAsia" w:eastAsia="仿宋_GB2312"/>
          <w:sz w:val="30"/>
          <w:szCs w:val="30"/>
          <w:u w:val="none"/>
        </w:rPr>
        <w:t>开展部门评价</w:t>
      </w:r>
      <w:r>
        <w:rPr>
          <w:rFonts w:eastAsia="仿宋_GB2312"/>
          <w:sz w:val="30"/>
          <w:szCs w:val="30"/>
          <w:u w:val="none"/>
        </w:rPr>
        <w:t>，涉及金额</w:t>
      </w:r>
      <w:r>
        <w:rPr>
          <w:rFonts w:hint="eastAsia" w:eastAsia="仿宋_GB2312"/>
          <w:sz w:val="30"/>
          <w:szCs w:val="30"/>
          <w:u w:val="none"/>
          <w:lang w:val="en-US" w:eastAsia="zh-CN"/>
        </w:rPr>
        <w:t>2615749000</w:t>
      </w:r>
      <w:r>
        <w:rPr>
          <w:rFonts w:eastAsia="仿宋_GB2312"/>
          <w:sz w:val="30"/>
          <w:szCs w:val="30"/>
          <w:u w:val="none"/>
        </w:rPr>
        <w:t>元</w:t>
      </w:r>
      <w:r>
        <w:rPr>
          <w:rFonts w:hint="eastAsia" w:eastAsia="仿宋_GB2312"/>
          <w:sz w:val="30"/>
          <w:szCs w:val="30"/>
          <w:u w:val="none"/>
        </w:rPr>
        <w:t>。</w:t>
      </w:r>
    </w:p>
    <w:p>
      <w:pPr>
        <w:pStyle w:val="3"/>
        <w:spacing w:before="0" w:after="0" w:line="600" w:lineRule="exact"/>
        <w:ind w:firstLine="600" w:firstLineChars="200"/>
        <w:rPr>
          <w:rFonts w:ascii="Times New Roman" w:hAnsi="Times New Roman" w:eastAsia="黑体"/>
          <w:b w:val="0"/>
          <w:sz w:val="30"/>
          <w:szCs w:val="30"/>
          <w:u w:val="none"/>
        </w:rPr>
      </w:pPr>
      <w:bookmarkStart w:id="30" w:name="_Toc15949"/>
      <w:r>
        <w:rPr>
          <w:rFonts w:hint="eastAsia" w:ascii="Times New Roman" w:hAnsi="Times New Roman" w:eastAsia="黑体"/>
          <w:b w:val="0"/>
          <w:sz w:val="30"/>
          <w:szCs w:val="30"/>
          <w:u w:val="none"/>
        </w:rPr>
        <w:t>十四、</w:t>
      </w:r>
      <w:r>
        <w:rPr>
          <w:rFonts w:ascii="Times New Roman" w:hAnsi="Times New Roman" w:eastAsia="黑体"/>
          <w:b w:val="0"/>
          <w:sz w:val="30"/>
          <w:szCs w:val="30"/>
          <w:u w:val="none"/>
        </w:rPr>
        <w:t>教育、医疗卫生、社会保障和就业、住房保障、涉农补贴等民生支出情况</w:t>
      </w:r>
      <w:r>
        <w:rPr>
          <w:rFonts w:hint="eastAsia" w:ascii="黑体" w:hAnsi="黑体" w:eastAsia="黑体"/>
          <w:b w:val="0"/>
          <w:bCs w:val="0"/>
          <w:sz w:val="30"/>
          <w:szCs w:val="30"/>
          <w:u w:val="none"/>
        </w:rPr>
        <w:t>说明</w:t>
      </w:r>
      <w:bookmarkEnd w:id="30"/>
    </w:p>
    <w:p>
      <w:pPr>
        <w:spacing w:line="600" w:lineRule="exact"/>
        <w:ind w:firstLine="645"/>
        <w:jc w:val="both"/>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天津市津南区住房和建设委员会不属于乡、镇、街级单位，不涉及公开2022年度教育、医疗卫生、社会保障和就业、住房保障、涉农补贴等民生支出情况。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B341C"/>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91E66"/>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842762"/>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531336"/>
    <w:rsid w:val="0D66464C"/>
    <w:rsid w:val="0DCA24E7"/>
    <w:rsid w:val="0E1905E8"/>
    <w:rsid w:val="0E6B081A"/>
    <w:rsid w:val="0E812A35"/>
    <w:rsid w:val="0F3A7BBE"/>
    <w:rsid w:val="0FB146BC"/>
    <w:rsid w:val="10D0376E"/>
    <w:rsid w:val="11D75F2F"/>
    <w:rsid w:val="11D802DB"/>
    <w:rsid w:val="121401BA"/>
    <w:rsid w:val="122B009F"/>
    <w:rsid w:val="12946208"/>
    <w:rsid w:val="13026970"/>
    <w:rsid w:val="135D03D9"/>
    <w:rsid w:val="13A17616"/>
    <w:rsid w:val="144F5DF3"/>
    <w:rsid w:val="149264E6"/>
    <w:rsid w:val="14A04A70"/>
    <w:rsid w:val="14F31DE2"/>
    <w:rsid w:val="15127621"/>
    <w:rsid w:val="156A2C3E"/>
    <w:rsid w:val="157A3189"/>
    <w:rsid w:val="15E37C52"/>
    <w:rsid w:val="165E3157"/>
    <w:rsid w:val="169221B4"/>
    <w:rsid w:val="16EA0A1B"/>
    <w:rsid w:val="17A617C9"/>
    <w:rsid w:val="181D0AF6"/>
    <w:rsid w:val="18E12A26"/>
    <w:rsid w:val="194F5568"/>
    <w:rsid w:val="1A2F34CF"/>
    <w:rsid w:val="1B0B6786"/>
    <w:rsid w:val="1BC037EC"/>
    <w:rsid w:val="1BCC4E67"/>
    <w:rsid w:val="1BE24A05"/>
    <w:rsid w:val="1C12375B"/>
    <w:rsid w:val="1C2E1750"/>
    <w:rsid w:val="1C4701E9"/>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3674C1"/>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EDB17BE"/>
    <w:rsid w:val="2F8573F4"/>
    <w:rsid w:val="2FFC60D8"/>
    <w:rsid w:val="2FFD4B55"/>
    <w:rsid w:val="31F32BCC"/>
    <w:rsid w:val="322D5537"/>
    <w:rsid w:val="32500429"/>
    <w:rsid w:val="326A2A2B"/>
    <w:rsid w:val="32B00783"/>
    <w:rsid w:val="33987EA4"/>
    <w:rsid w:val="33E55770"/>
    <w:rsid w:val="33F74F54"/>
    <w:rsid w:val="342060B3"/>
    <w:rsid w:val="343041E9"/>
    <w:rsid w:val="343E2C5A"/>
    <w:rsid w:val="34E404B6"/>
    <w:rsid w:val="353874A5"/>
    <w:rsid w:val="356C4B0F"/>
    <w:rsid w:val="357756D0"/>
    <w:rsid w:val="35F83418"/>
    <w:rsid w:val="35FA3DA7"/>
    <w:rsid w:val="36433E0B"/>
    <w:rsid w:val="3685618C"/>
    <w:rsid w:val="369B027F"/>
    <w:rsid w:val="36DF7E92"/>
    <w:rsid w:val="37210A48"/>
    <w:rsid w:val="374E0226"/>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536E53"/>
    <w:rsid w:val="436E1D48"/>
    <w:rsid w:val="442221E6"/>
    <w:rsid w:val="44FC0AD9"/>
    <w:rsid w:val="45C66F5A"/>
    <w:rsid w:val="464311BD"/>
    <w:rsid w:val="46762869"/>
    <w:rsid w:val="46800ECA"/>
    <w:rsid w:val="46D65DFF"/>
    <w:rsid w:val="46ED43C8"/>
    <w:rsid w:val="47655748"/>
    <w:rsid w:val="4810158D"/>
    <w:rsid w:val="481F5D29"/>
    <w:rsid w:val="485B08F6"/>
    <w:rsid w:val="48E65506"/>
    <w:rsid w:val="496F29A9"/>
    <w:rsid w:val="49A95325"/>
    <w:rsid w:val="49C60D15"/>
    <w:rsid w:val="49EE18E7"/>
    <w:rsid w:val="4A1E1CDA"/>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19F5DF6"/>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032C5"/>
    <w:rsid w:val="7779068F"/>
    <w:rsid w:val="77B92148"/>
    <w:rsid w:val="77FFE39F"/>
    <w:rsid w:val="781B1736"/>
    <w:rsid w:val="78F051A8"/>
    <w:rsid w:val="79EF18A6"/>
    <w:rsid w:val="7A903B21"/>
    <w:rsid w:val="7AC3080E"/>
    <w:rsid w:val="7CF2196B"/>
    <w:rsid w:val="7D2E7430"/>
    <w:rsid w:val="7D993EC8"/>
    <w:rsid w:val="7D9A013D"/>
    <w:rsid w:val="7E9160CF"/>
    <w:rsid w:val="7EC677D3"/>
    <w:rsid w:val="7FB2FCB7"/>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spacing w:after="120" w:afterLines="0"/>
      <w:ind w:left="420" w:leftChars="200"/>
    </w:pPr>
  </w:style>
  <w:style w:type="paragraph" w:styleId="6">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7">
    <w:name w:val="Balloon Text"/>
    <w:basedOn w:val="1"/>
    <w:link w:val="19"/>
    <w:unhideWhenUsed/>
    <w:qFormat/>
    <w:uiPriority w:val="99"/>
    <w:pPr>
      <w:spacing w:line="240" w:lineRule="auto"/>
    </w:pPr>
    <w:rPr>
      <w:sz w:val="18"/>
      <w:szCs w:val="18"/>
    </w:rPr>
  </w:style>
  <w:style w:type="paragraph" w:styleId="8">
    <w:name w:val="footer"/>
    <w:basedOn w:val="1"/>
    <w:link w:val="20"/>
    <w:unhideWhenUsed/>
    <w:qFormat/>
    <w:uiPriority w:val="0"/>
    <w:pPr>
      <w:tabs>
        <w:tab w:val="center" w:pos="4153"/>
        <w:tab w:val="right" w:pos="8306"/>
      </w:tabs>
      <w:snapToGrid w:val="0"/>
      <w:spacing w:line="240" w:lineRule="atLeast"/>
    </w:pPr>
    <w:rPr>
      <w:sz w:val="18"/>
      <w:szCs w:val="18"/>
    </w:rPr>
  </w:style>
  <w:style w:type="paragraph" w:styleId="9">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0">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1">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styleId="12">
    <w:name w:val="Body Text First Indent 2"/>
    <w:basedOn w:val="5"/>
    <w:qFormat/>
    <w:uiPriority w:val="0"/>
    <w:pPr>
      <w:ind w:firstLine="420" w:firstLineChars="200"/>
    </w:pPr>
    <w:rPr>
      <w:rFonts w:ascii="Times New Roman" w:hAnsi="Times New Roman" w:eastAsia="宋体" w:cs="Times New Roman"/>
      <w:szCs w:val="24"/>
    </w:rPr>
  </w:style>
  <w:style w:type="character" w:styleId="15">
    <w:name w:val="Hyperlink"/>
    <w:unhideWhenUsed/>
    <w:qFormat/>
    <w:uiPriority w:val="99"/>
    <w:rPr>
      <w:color w:val="0000FF"/>
      <w:u w:val="single"/>
    </w:rPr>
  </w:style>
  <w:style w:type="character" w:customStyle="1" w:styleId="16">
    <w:name w:val="标题 1 字符"/>
    <w:link w:val="2"/>
    <w:qFormat/>
    <w:uiPriority w:val="9"/>
    <w:rPr>
      <w:b/>
      <w:bCs/>
      <w:kern w:val="44"/>
      <w:sz w:val="44"/>
      <w:szCs w:val="44"/>
    </w:rPr>
  </w:style>
  <w:style w:type="character" w:customStyle="1" w:styleId="17">
    <w:name w:val="标题 2 字符"/>
    <w:link w:val="3"/>
    <w:semiHidden/>
    <w:qFormat/>
    <w:uiPriority w:val="9"/>
    <w:rPr>
      <w:rFonts w:ascii="Cambria" w:hAnsi="Cambria" w:eastAsia="宋体" w:cs="Times New Roman"/>
      <w:b/>
      <w:bCs/>
      <w:sz w:val="32"/>
      <w:szCs w:val="32"/>
    </w:rPr>
  </w:style>
  <w:style w:type="character" w:customStyle="1" w:styleId="18">
    <w:name w:val="标题 3 字符"/>
    <w:link w:val="4"/>
    <w:semiHidden/>
    <w:qFormat/>
    <w:uiPriority w:val="9"/>
    <w:rPr>
      <w:b/>
      <w:bCs/>
      <w:sz w:val="32"/>
      <w:szCs w:val="32"/>
    </w:rPr>
  </w:style>
  <w:style w:type="character" w:customStyle="1" w:styleId="19">
    <w:name w:val="批注框文本 字符"/>
    <w:link w:val="7"/>
    <w:semiHidden/>
    <w:qFormat/>
    <w:uiPriority w:val="99"/>
    <w:rPr>
      <w:sz w:val="18"/>
      <w:szCs w:val="18"/>
    </w:rPr>
  </w:style>
  <w:style w:type="character" w:customStyle="1" w:styleId="20">
    <w:name w:val="页脚 字符"/>
    <w:link w:val="8"/>
    <w:semiHidden/>
    <w:qFormat/>
    <w:uiPriority w:val="0"/>
    <w:rPr>
      <w:sz w:val="18"/>
      <w:szCs w:val="18"/>
    </w:rPr>
  </w:style>
  <w:style w:type="character" w:customStyle="1" w:styleId="21">
    <w:name w:val="页眉 字符"/>
    <w:link w:val="9"/>
    <w:semiHidden/>
    <w:qFormat/>
    <w:uiPriority w:val="0"/>
    <w:rPr>
      <w:sz w:val="18"/>
      <w:szCs w:val="18"/>
    </w:rPr>
  </w:style>
  <w:style w:type="paragraph" w:customStyle="1" w:styleId="22">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1414</Words>
  <Characters>8062</Characters>
  <Lines>67</Lines>
  <Paragraphs>18</Paragraphs>
  <TotalTime>10</TotalTime>
  <ScaleCrop>false</ScaleCrop>
  <LinksUpToDate>false</LinksUpToDate>
  <CharactersWithSpaces>9458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侯亚琪</cp:lastModifiedBy>
  <cp:lastPrinted>2012-09-20T06:00:00Z</cp:lastPrinted>
  <dcterms:modified xsi:type="dcterms:W3CDTF">2023-10-11T06:40:27Z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90D74AD8847844C8B6B3F08FF3278CF3_13</vt:lpwstr>
  </property>
</Properties>
</file>