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天津市津南区住房和建设综合行政执法支队</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第一部分概况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第一部分概况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r>
        <w:rPr>
          <w:rFonts w:hint="eastAsia" w:ascii="仿宋_GB2312" w:eastAsia="仿宋_GB2312"/>
          <w:sz w:val="30"/>
          <w:szCs w:val="30"/>
        </w:rPr>
        <w:t>实施国家、市和区有关住房和建设行政执法的方针政策、法律法规,参与起草涉及住房和建设行政贯彻执法的规范性文件和政策并组织实施。负责法律法规明确县级承担的房地产、建筑市场、勘察设计市场、建设工程消防设计审查验收、绿色建筑和建筑节能等方面的行政执法工作。负责建设工程(法律法规有特殊规定的除外)质量监督管理、安全生产文明施工的行政执法工作。</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w:t>
      </w:r>
      <w:r>
        <w:rPr>
          <w:rFonts w:eastAsia="仿宋_GB2312"/>
          <w:sz w:val="30"/>
          <w:szCs w:val="30"/>
        </w:rPr>
        <w:t>内设</w:t>
      </w:r>
      <w:r>
        <w:rPr>
          <w:rFonts w:hint="eastAsia" w:eastAsia="仿宋_GB2312"/>
          <w:sz w:val="30"/>
          <w:szCs w:val="30"/>
        </w:rPr>
        <w:t>7</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ind w:firstLine="600" w:firstLineChars="200"/>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天津市津南区住房和建设综合行政执法支队2022年度政府性基金预算财政拨款收入支出决算表为空表。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天津市津南区住房和建设综合行政执法支队2022年度国有资本经营预算财政拨款收入支出决算表为空表。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ind w:firstLine="600" w:firstLineChars="200"/>
        <w:rPr>
          <w:rFonts w:eastAsia="楷体_GB2312"/>
          <w:b/>
          <w:sz w:val="30"/>
          <w:szCs w:val="30"/>
        </w:rPr>
      </w:pPr>
      <w:r>
        <w:rPr>
          <w:rFonts w:hint="eastAsia" w:ascii="仿宋_GB2312" w:eastAsia="仿宋_GB2312" w:cs="仿宋_GB2312"/>
          <w:sz w:val="30"/>
          <w:szCs w:val="30"/>
        </w:rPr>
        <w:t>天津市津南区住房和建设综合行政执法支队</w:t>
      </w:r>
      <w:r>
        <w:rPr>
          <w:rFonts w:hint="eastAsia" w:eastAsia="楷体"/>
          <w:sz w:val="30"/>
          <w:szCs w:val="30"/>
        </w:rPr>
        <w:t>2022</w:t>
      </w:r>
      <w:r>
        <w:rPr>
          <w:rFonts w:hint="eastAsia" w:ascii="仿宋_GB2312" w:eastAsia="仿宋_GB2312" w:cs="仿宋_GB2312"/>
          <w:sz w:val="30"/>
          <w:szCs w:val="30"/>
        </w:rPr>
        <w:t>年度收入、支出决算总计7444737.19元。与2021年度相比，收、支总计各减少3853358.50元，下降34.11%，主要原因是项目收入支出减少导致总体收支减少</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w:t>
      </w:r>
      <w:r>
        <w:rPr>
          <w:rFonts w:hint="eastAsia" w:eastAsia="楷体"/>
          <w:sz w:val="30"/>
          <w:szCs w:val="30"/>
        </w:rPr>
        <w:t>2022</w:t>
      </w:r>
      <w:r>
        <w:rPr>
          <w:rFonts w:hint="eastAsia" w:ascii="仿宋_GB2312" w:eastAsia="仿宋_GB2312" w:cs="仿宋_GB2312"/>
          <w:sz w:val="30"/>
          <w:szCs w:val="30"/>
        </w:rPr>
        <w:t>年度本年收入合计7444737.19元，与2021年度相比减少3853358.50元，主要原因是项目收入减少</w:t>
      </w:r>
      <w:r>
        <w:rPr>
          <w:rFonts w:hint="eastAsia" w:eastAsia="仿宋_GB2312"/>
          <w:sz w:val="30"/>
          <w:szCs w:val="30"/>
        </w:rPr>
        <w:t>。</w:t>
      </w:r>
      <w:r>
        <w:rPr>
          <w:rFonts w:hint="eastAsia" w:ascii="仿宋_GB2312" w:eastAsia="仿宋_GB2312" w:cs="仿宋_GB2312"/>
          <w:sz w:val="30"/>
          <w:szCs w:val="30"/>
        </w:rPr>
        <w:t>其中：一般公共预算财政拨款收入7444737.19元，占100.00%。</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w:t>
      </w:r>
      <w:r>
        <w:rPr>
          <w:rFonts w:hint="eastAsia" w:eastAsia="楷体"/>
          <w:sz w:val="30"/>
          <w:szCs w:val="30"/>
        </w:rPr>
        <w:t>2022</w:t>
      </w:r>
      <w:r>
        <w:rPr>
          <w:rFonts w:hint="eastAsia" w:ascii="仿宋_GB2312" w:eastAsia="仿宋_GB2312" w:cs="仿宋_GB2312"/>
          <w:sz w:val="30"/>
          <w:szCs w:val="30"/>
        </w:rPr>
        <w:t>年度本年支出合计7444737.19元，与2021年度相比减少3853358.50元，主要原因是项目支出减少</w:t>
      </w:r>
      <w:r>
        <w:rPr>
          <w:rFonts w:hint="eastAsia" w:eastAsia="仿宋_GB2312"/>
          <w:sz w:val="30"/>
          <w:szCs w:val="30"/>
        </w:rPr>
        <w:t>。</w:t>
      </w:r>
      <w:r>
        <w:rPr>
          <w:rFonts w:hint="eastAsia" w:ascii="仿宋_GB2312" w:eastAsia="仿宋_GB2312" w:cs="仿宋_GB2312"/>
          <w:sz w:val="30"/>
          <w:szCs w:val="30"/>
        </w:rPr>
        <w:t>其中：基本支出7420737.19元，占99.68%；项目支出24000.00元，占0.32%。</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ind w:firstLine="600" w:firstLineChars="200"/>
        <w:rPr>
          <w:rFonts w:eastAsia="楷体_GB2312"/>
          <w:b/>
          <w:sz w:val="30"/>
          <w:szCs w:val="30"/>
        </w:rPr>
      </w:pPr>
      <w:r>
        <w:rPr>
          <w:rFonts w:hint="eastAsia" w:ascii="仿宋_GB2312" w:eastAsia="仿宋_GB2312" w:cs="仿宋_GB2312"/>
          <w:sz w:val="30"/>
          <w:szCs w:val="30"/>
        </w:rPr>
        <w:t>天津市津南区住房和建设综合行政执法支队</w:t>
      </w:r>
      <w:r>
        <w:rPr>
          <w:rFonts w:hint="eastAsia" w:eastAsia="楷体"/>
          <w:sz w:val="30"/>
          <w:szCs w:val="30"/>
        </w:rPr>
        <w:t>2022</w:t>
      </w:r>
      <w:r>
        <w:rPr>
          <w:rFonts w:hint="eastAsia" w:ascii="仿宋_GB2312" w:eastAsia="仿宋_GB2312" w:cs="仿宋_GB2312"/>
          <w:sz w:val="30"/>
          <w:szCs w:val="30"/>
        </w:rPr>
        <w:t>年度财政拨款收入、支出决算总计7444737.19元。与2021年度相比，财政拨款收、支总计各减少3853358.50元，下降34.11%，主要原因是项目收支减少</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w:t>
      </w:r>
      <w:r>
        <w:rPr>
          <w:rFonts w:hint="eastAsia" w:eastAsia="楷体"/>
          <w:sz w:val="30"/>
          <w:szCs w:val="30"/>
        </w:rPr>
        <w:t>2022</w:t>
      </w:r>
      <w:r>
        <w:rPr>
          <w:rFonts w:hint="eastAsia" w:ascii="仿宋_GB2312" w:eastAsia="仿宋_GB2312" w:cs="仿宋_GB2312"/>
          <w:sz w:val="30"/>
          <w:szCs w:val="30"/>
        </w:rPr>
        <w:t>年度一般公共预算财政拨款支出合计7444737.19元，占本年支出合计的100.00%。与2021年度相比，一般公共预算财政拨款支出减少3853358.50元，下降34.11%，主要原因是项目支出减少</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年度一般公共预算财政拨款支出7444737.19元，主要用于以下方面：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lang w:val="en-US" w:eastAsia="zh-CN"/>
        </w:rPr>
        <w:t xml:space="preserve">    </w:t>
      </w:r>
      <w:r>
        <w:rPr>
          <w:rFonts w:hint="eastAsia" w:ascii="仿宋_GB2312" w:eastAsia="仿宋_GB2312" w:cs="仿宋_GB2312"/>
          <w:sz w:val="30"/>
          <w:szCs w:val="30"/>
        </w:rPr>
        <w:t>一般公共服务支出（类）支出24000.00元，占0.32%；</w:t>
      </w:r>
      <w:r>
        <w:rPr>
          <w:rFonts w:hint="eastAsia" w:ascii="仿宋_GB2312" w:eastAsia="仿宋_GB2312" w:cs="仿宋_GB2312"/>
          <w:sz w:val="30"/>
          <w:szCs w:val="30"/>
        </w:rPr>
        <w:br w:type="textWrapping"/>
      </w:r>
      <w:r>
        <w:rPr>
          <w:rFonts w:hint="eastAsia" w:ascii="仿宋_GB2312" w:eastAsia="仿宋_GB2312" w:cs="仿宋_GB2312"/>
          <w:sz w:val="30"/>
          <w:szCs w:val="30"/>
          <w:lang w:val="en-US" w:eastAsia="zh-CN"/>
        </w:rPr>
        <w:t xml:space="preserve">    </w:t>
      </w:r>
      <w:r>
        <w:rPr>
          <w:rFonts w:hint="eastAsia" w:ascii="仿宋_GB2312" w:eastAsia="仿宋_GB2312" w:cs="仿宋_GB2312"/>
          <w:sz w:val="30"/>
          <w:szCs w:val="30"/>
        </w:rPr>
        <w:t>社会保障和就业支出（类）支出594647.28元，占7.99%；</w:t>
      </w:r>
      <w:r>
        <w:rPr>
          <w:rFonts w:hint="eastAsia" w:ascii="仿宋_GB2312" w:eastAsia="仿宋_GB2312" w:cs="仿宋_GB2312"/>
          <w:sz w:val="30"/>
          <w:szCs w:val="30"/>
        </w:rPr>
        <w:br w:type="textWrapping"/>
      </w:r>
      <w:r>
        <w:rPr>
          <w:rFonts w:hint="eastAsia" w:ascii="仿宋_GB2312" w:eastAsia="仿宋_GB2312" w:cs="仿宋_GB2312"/>
          <w:sz w:val="30"/>
          <w:szCs w:val="30"/>
          <w:lang w:val="en-US" w:eastAsia="zh-CN"/>
        </w:rPr>
        <w:t xml:space="preserve">    </w:t>
      </w:r>
      <w:r>
        <w:rPr>
          <w:rFonts w:hint="eastAsia" w:ascii="仿宋_GB2312" w:eastAsia="仿宋_GB2312" w:cs="仿宋_GB2312"/>
          <w:sz w:val="30"/>
          <w:szCs w:val="30"/>
        </w:rPr>
        <w:t>卫生健康支出（类）支出283419.70元，占3.81%；</w:t>
      </w:r>
      <w:r>
        <w:rPr>
          <w:rFonts w:hint="eastAsia" w:ascii="仿宋_GB2312" w:eastAsia="仿宋_GB2312" w:cs="仿宋_GB2312"/>
          <w:sz w:val="30"/>
          <w:szCs w:val="30"/>
        </w:rPr>
        <w:br w:type="textWrapping"/>
      </w:r>
      <w:r>
        <w:rPr>
          <w:rFonts w:hint="eastAsia" w:ascii="仿宋_GB2312" w:eastAsia="仿宋_GB2312" w:cs="仿宋_GB2312"/>
          <w:sz w:val="30"/>
          <w:szCs w:val="30"/>
          <w:lang w:val="en-US" w:eastAsia="zh-CN"/>
        </w:rPr>
        <w:t xml:space="preserve">    </w:t>
      </w:r>
      <w:r>
        <w:rPr>
          <w:rFonts w:hint="eastAsia" w:ascii="仿宋_GB2312" w:eastAsia="仿宋_GB2312" w:cs="仿宋_GB2312"/>
          <w:sz w:val="30"/>
          <w:szCs w:val="30"/>
        </w:rPr>
        <w:t>城乡社区支出（类）支出6143875.21元，占82.53%；</w:t>
      </w:r>
      <w:r>
        <w:rPr>
          <w:rFonts w:hint="eastAsia" w:ascii="仿宋_GB2312" w:eastAsia="仿宋_GB2312" w:cs="仿宋_GB2312"/>
          <w:sz w:val="30"/>
          <w:szCs w:val="30"/>
        </w:rPr>
        <w:br w:type="textWrapping"/>
      </w:r>
      <w:r>
        <w:rPr>
          <w:rFonts w:hint="eastAsia" w:ascii="仿宋_GB2312" w:eastAsia="仿宋_GB2312" w:cs="仿宋_GB2312"/>
          <w:sz w:val="30"/>
          <w:szCs w:val="30"/>
          <w:lang w:val="en-US" w:eastAsia="zh-CN"/>
        </w:rPr>
        <w:t xml:space="preserve">    </w:t>
      </w:r>
      <w:r>
        <w:rPr>
          <w:rFonts w:hint="eastAsia" w:ascii="仿宋_GB2312" w:eastAsia="仿宋_GB2312" w:cs="仿宋_GB2312"/>
          <w:sz w:val="30"/>
          <w:szCs w:val="30"/>
        </w:rPr>
        <w:t>住房保障支出（类）支出398795.00元，占5.36%。</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年度一般公共预算财政拨款支出年初预算为14420273.06元，支出决算为7444737.19元，完成年初预算的51.63%。其中：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一般公共服务支出（类）组织事务（款）其他组织事务支出（项）年初预算为0元，支出决算为24000.00元，决算数大于年初预算数的主要原因是增加了2022年甘肃挂职干部食宿补贴。</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426153.6元，支出决算为396431.52元，完成年初预算数的93.03%，决算数小于年初预算数的主要原因是人员调出和退休。</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213076.8元，支出决算为198215.76元，完成年初预算数的93.03%，决算数小于年初预算数的主要原因是人员调出和退休。</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卫生健康支出（类）行政事业单位医疗（款）事业单位医疗（项）年初预算为266346元，支出决算为247769.70元，完成年初预算数的93.03%，决算数小于年初预算数的主要原因是人员调出和退休。</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卫生健康支出（类）行政事业单位医疗（款）其他行政事业单位医疗支出（项）年初预算为0元，支出决算为35650.00元，决算数大于年初预算数的主要原因是年初预算功能科目错误，年末做了调剂。</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城乡社区支出（类）建设市场管理与监督（款）建设市场管理与监督（项）年初预算为</w:t>
      </w:r>
      <w:r>
        <w:rPr>
          <w:rFonts w:hint="eastAsia" w:ascii="仿宋_GB2312" w:eastAsia="仿宋_GB2312" w:cs="仿宋_GB2312"/>
          <w:color w:val="auto"/>
          <w:sz w:val="30"/>
          <w:szCs w:val="30"/>
        </w:rPr>
        <w:t>13070912.66元，支出决算为6143875.21元，完成年初预算数的47%，决算数小于</w:t>
      </w:r>
      <w:r>
        <w:rPr>
          <w:rFonts w:hint="eastAsia" w:ascii="仿宋_GB2312" w:eastAsia="仿宋_GB2312" w:cs="仿宋_GB2312"/>
          <w:sz w:val="30"/>
          <w:szCs w:val="30"/>
        </w:rPr>
        <w:t>年初预算数的主要原因是项目支出减少。</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住房保障支出（类）住房改革支出（款）住房公积金（项）年初预算为443784元，支出决算为398795.00元，完成年初预算数的89.89%，决算数小于年初预算数的主要原因是人员调出和退休。</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w:t>
      </w:r>
      <w:r>
        <w:rPr>
          <w:rFonts w:hint="eastAsia" w:eastAsia="楷体"/>
          <w:sz w:val="30"/>
          <w:szCs w:val="30"/>
        </w:rPr>
        <w:t>2022</w:t>
      </w:r>
      <w:r>
        <w:rPr>
          <w:rFonts w:hint="eastAsia" w:ascii="仿宋_GB2312" w:eastAsia="仿宋_GB2312" w:cs="仿宋_GB2312"/>
          <w:sz w:val="30"/>
          <w:szCs w:val="30"/>
        </w:rPr>
        <w:t>年度一般公共预算财政拨款基本支出合计7420737.19元，与2021年度相比减少925788.50元，主要原因是人员调出所致是其中：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人员经费6560472.40元，主要包括基本工资、津贴补贴、绩效工资、机关事业单位养老保险缴费、职业年金缴费、职工基本医疗保险缴费、其他社会保障缴费、住房公积金、其他工资福利支出、退休费；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公用经费860264.79元，主要包括办公费、手续费、水费、邮电费、物业管理费、维修（护）费、培训费、工会经费、福利费、公务用车运行维护费、其他交通费用、其他商品和服务支出。</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年一般公共预算财政拨款“三公”经费预算125000.00元，支出决算37307.09元（去年同期38835.77元），支出决算与</w:t>
      </w:r>
      <w:r>
        <w:rPr>
          <w:rFonts w:hint="eastAsia" w:eastAsia="楷体"/>
          <w:sz w:val="30"/>
          <w:szCs w:val="30"/>
        </w:rPr>
        <w:t>2022</w:t>
      </w:r>
      <w:r>
        <w:rPr>
          <w:rFonts w:hint="eastAsia" w:ascii="仿宋_GB2312" w:eastAsia="仿宋_GB2312" w:cs="仿宋_GB2312"/>
          <w:sz w:val="30"/>
          <w:szCs w:val="30"/>
        </w:rPr>
        <w:t>年预算相比减少87692.91元,完成预算的29.85%；支出决算较上年减少1528.68元，下降3.94%。决算数小于预算数的主要原因是控制公务用车费用支出。决算数较上年减少的主要原因是公务用车修车费用较上年减少。</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公务用车购置及运行维护费预算125000.00元，支出决算37307.09元（去年同期38835.77元），支出决算与预算相比减少87692.91元,完成预算的29.85%；支出决算较上年减少1528.68元，下降3.94%。其中：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w:t>
      </w:r>
      <w:r>
        <w:rPr>
          <w:rFonts w:hint="eastAsia" w:ascii="仿宋_GB2312" w:eastAsia="仿宋_GB2312" w:cs="仿宋_GB2312"/>
          <w:sz w:val="30"/>
          <w:szCs w:val="30"/>
          <w:lang w:val="en-US" w:eastAsia="zh-CN"/>
        </w:rPr>
        <w:t>125000</w:t>
      </w:r>
      <w:r>
        <w:rPr>
          <w:rFonts w:hint="eastAsia" w:ascii="仿宋_GB2312" w:eastAsia="仿宋_GB2312" w:cs="仿宋_GB2312"/>
          <w:sz w:val="30"/>
          <w:szCs w:val="30"/>
        </w:rPr>
        <w:t>元，支出决算37307.09元（去年同期38835.77元），支出决算与预算相比减少87692.91元,完成预算的29.85%；支出决算较上年减少1528.68元，下降3.94%。决算数小于预算数的主要原因是控制公务用车费用支出。决算数较上年减少的主要原因是公务用车修车费用较上年减少。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财政拨款开支运行维护费的公务用车保有量为5辆。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0.00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2022年政府采购支出总额13205.00元，其中：政府采购货物支出13205.00元、政府采购工程支出0.00元、政府采购服务支出0.00元。授予中小企业合同金额13205.00元，占政府采购支出总额的100.00%，其中：授予小微企业合同金额13205.00元，占政府采购支出总额的100.00%；货物采购授予中小企业合同金额占货物支出金额的100%，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住房和建设综合行政执法支队共有车辆5辆，其中：副部（省）级及以上领导用车0辆、主要领导干部用车0辆、机要通信车0辆、应急保障用车0辆、执法执勤用车5辆、特种专业技术用车0辆、离退休干部用车0辆、其他用车0辆。单价100万元以上的专用设备0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天津市津南区住房和建设综合行政执法支队</w:t>
      </w:r>
      <w:r>
        <w:rPr>
          <w:rFonts w:hint="eastAsia" w:eastAsia="楷体"/>
          <w:color w:val="auto"/>
          <w:sz w:val="30"/>
          <w:szCs w:val="30"/>
        </w:rPr>
        <w:t>2022</w:t>
      </w:r>
      <w:r>
        <w:rPr>
          <w:rFonts w:hint="eastAsia" w:ascii="仿宋_GB2312" w:eastAsia="仿宋_GB2312" w:cs="仿宋_GB2312"/>
          <w:color w:val="auto"/>
          <w:sz w:val="30"/>
          <w:szCs w:val="30"/>
        </w:rPr>
        <w:t>年度</w:t>
      </w:r>
      <w:r>
        <w:rPr>
          <w:rFonts w:hint="eastAsia" w:ascii="仿宋_GB2312" w:eastAsia="仿宋_GB2312" w:cs="仿宋_GB2312"/>
          <w:color w:val="auto"/>
          <w:sz w:val="30"/>
          <w:szCs w:val="30"/>
          <w:lang w:eastAsia="zh-CN"/>
        </w:rPr>
        <w:t>无需公开项目支出</w:t>
      </w:r>
      <w:r>
        <w:rPr>
          <w:rFonts w:eastAsia="仿宋_GB2312"/>
          <w:color w:val="auto"/>
          <w:sz w:val="30"/>
          <w:szCs w:val="30"/>
        </w:rPr>
        <w:t>绩效自评</w:t>
      </w:r>
      <w:r>
        <w:rPr>
          <w:rFonts w:hint="eastAsia" w:eastAsia="仿宋_GB2312"/>
          <w:color w:val="auto"/>
          <w:sz w:val="30"/>
          <w:szCs w:val="30"/>
          <w:lang w:eastAsia="zh-CN"/>
        </w:rPr>
        <w:t>结果</w:t>
      </w:r>
      <w:r>
        <w:rPr>
          <w:rFonts w:hint="eastAsia" w:eastAsia="仿宋_GB2312"/>
          <w:color w:val="auto"/>
          <w:sz w:val="30"/>
          <w:szCs w:val="30"/>
        </w:rPr>
        <w:t>。</w:t>
      </w:r>
      <w:r>
        <w:rPr>
          <w:rFonts w:hint="eastAsia" w:eastAsia="仿宋_GB2312"/>
          <w:sz w:val="30"/>
          <w:szCs w:val="30"/>
        </w:rPr>
        <w:t>　　</w:t>
      </w:r>
      <w:bookmarkStart w:id="32" w:name="_GoBack"/>
      <w:bookmarkEnd w:id="32"/>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天津市津南区住房和建设综合行政执法支队不属于乡、镇、街级单位，不涉及公开2022年度教育、医疗卫生、社会保障和就业、住房保障、涉农补贴等民生支出情况。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PF6w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MHmWha3e&#10;WR6hozzero4BciaVoyidEuhOPGD2Up/6PYnD/ec5RT3+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xzxes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mViYWJkZWE5NTNjYmNmZTAyNjhmNDI2ZWJjMWEifQ=="/>
  </w:docVars>
  <w:rsids>
    <w:rsidRoot w:val="00172A27"/>
    <w:rsid w:val="000120D5"/>
    <w:rsid w:val="00015911"/>
    <w:rsid w:val="000423B8"/>
    <w:rsid w:val="00046E1C"/>
    <w:rsid w:val="00053901"/>
    <w:rsid w:val="000864BF"/>
    <w:rsid w:val="00092AB8"/>
    <w:rsid w:val="000A116D"/>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85FFF"/>
    <w:rsid w:val="002912A7"/>
    <w:rsid w:val="002D2BBE"/>
    <w:rsid w:val="002E091E"/>
    <w:rsid w:val="002F00A9"/>
    <w:rsid w:val="003365DD"/>
    <w:rsid w:val="00343A9C"/>
    <w:rsid w:val="00352CF7"/>
    <w:rsid w:val="003714D5"/>
    <w:rsid w:val="00381206"/>
    <w:rsid w:val="0038216E"/>
    <w:rsid w:val="003942CD"/>
    <w:rsid w:val="003A4529"/>
    <w:rsid w:val="003B2994"/>
    <w:rsid w:val="004040D1"/>
    <w:rsid w:val="00432D37"/>
    <w:rsid w:val="0044208E"/>
    <w:rsid w:val="00464079"/>
    <w:rsid w:val="00465602"/>
    <w:rsid w:val="004918AD"/>
    <w:rsid w:val="004A1361"/>
    <w:rsid w:val="004D4DD6"/>
    <w:rsid w:val="0050332F"/>
    <w:rsid w:val="00532C4C"/>
    <w:rsid w:val="00570354"/>
    <w:rsid w:val="005B60DB"/>
    <w:rsid w:val="005C22AF"/>
    <w:rsid w:val="005F2510"/>
    <w:rsid w:val="00656F93"/>
    <w:rsid w:val="00676A5E"/>
    <w:rsid w:val="006A54BF"/>
    <w:rsid w:val="006D05B2"/>
    <w:rsid w:val="00722412"/>
    <w:rsid w:val="00727434"/>
    <w:rsid w:val="00734D29"/>
    <w:rsid w:val="0077787E"/>
    <w:rsid w:val="00787C00"/>
    <w:rsid w:val="0079348B"/>
    <w:rsid w:val="007A3491"/>
    <w:rsid w:val="007A5320"/>
    <w:rsid w:val="007B4B58"/>
    <w:rsid w:val="007B78DD"/>
    <w:rsid w:val="007F3679"/>
    <w:rsid w:val="007F448B"/>
    <w:rsid w:val="007F55AA"/>
    <w:rsid w:val="007F718E"/>
    <w:rsid w:val="00801B2B"/>
    <w:rsid w:val="0080287C"/>
    <w:rsid w:val="00803B43"/>
    <w:rsid w:val="00817AE2"/>
    <w:rsid w:val="008405C5"/>
    <w:rsid w:val="0085671E"/>
    <w:rsid w:val="00876FA4"/>
    <w:rsid w:val="0089325D"/>
    <w:rsid w:val="00893EAC"/>
    <w:rsid w:val="008A6092"/>
    <w:rsid w:val="008C19C3"/>
    <w:rsid w:val="008C3474"/>
    <w:rsid w:val="008C677C"/>
    <w:rsid w:val="008D2605"/>
    <w:rsid w:val="008D64CE"/>
    <w:rsid w:val="008E4334"/>
    <w:rsid w:val="009142B8"/>
    <w:rsid w:val="00915276"/>
    <w:rsid w:val="00936468"/>
    <w:rsid w:val="009371C3"/>
    <w:rsid w:val="00937EE6"/>
    <w:rsid w:val="00943284"/>
    <w:rsid w:val="00977064"/>
    <w:rsid w:val="0098387F"/>
    <w:rsid w:val="009A500B"/>
    <w:rsid w:val="009D4654"/>
    <w:rsid w:val="009E0EF5"/>
    <w:rsid w:val="009F18E1"/>
    <w:rsid w:val="009F712F"/>
    <w:rsid w:val="00A00638"/>
    <w:rsid w:val="00A12C57"/>
    <w:rsid w:val="00A557F8"/>
    <w:rsid w:val="00A74C4B"/>
    <w:rsid w:val="00A8183D"/>
    <w:rsid w:val="00AA676A"/>
    <w:rsid w:val="00AE683B"/>
    <w:rsid w:val="00B13870"/>
    <w:rsid w:val="00B14558"/>
    <w:rsid w:val="00B17258"/>
    <w:rsid w:val="00B210F5"/>
    <w:rsid w:val="00B41E8B"/>
    <w:rsid w:val="00B53416"/>
    <w:rsid w:val="00B807AE"/>
    <w:rsid w:val="00BA3182"/>
    <w:rsid w:val="00BB0047"/>
    <w:rsid w:val="00BB051A"/>
    <w:rsid w:val="00BD343E"/>
    <w:rsid w:val="00BE15DA"/>
    <w:rsid w:val="00BE682B"/>
    <w:rsid w:val="00BF17AE"/>
    <w:rsid w:val="00BF59FA"/>
    <w:rsid w:val="00C0672E"/>
    <w:rsid w:val="00C33362"/>
    <w:rsid w:val="00C47864"/>
    <w:rsid w:val="00C528B3"/>
    <w:rsid w:val="00C52B2B"/>
    <w:rsid w:val="00C53602"/>
    <w:rsid w:val="00C77332"/>
    <w:rsid w:val="00C83F29"/>
    <w:rsid w:val="00CA5CD5"/>
    <w:rsid w:val="00CA5CFE"/>
    <w:rsid w:val="00CE4C80"/>
    <w:rsid w:val="00CE7A0E"/>
    <w:rsid w:val="00CF0671"/>
    <w:rsid w:val="00CF4ADE"/>
    <w:rsid w:val="00D20562"/>
    <w:rsid w:val="00D45BB6"/>
    <w:rsid w:val="00D56FBF"/>
    <w:rsid w:val="00D81609"/>
    <w:rsid w:val="00DA3A83"/>
    <w:rsid w:val="00DB0D2B"/>
    <w:rsid w:val="00DC0D31"/>
    <w:rsid w:val="00DC6820"/>
    <w:rsid w:val="00E124DF"/>
    <w:rsid w:val="00E21DD7"/>
    <w:rsid w:val="00E4337C"/>
    <w:rsid w:val="00E56EBF"/>
    <w:rsid w:val="00E56F06"/>
    <w:rsid w:val="00E576CC"/>
    <w:rsid w:val="00E675A5"/>
    <w:rsid w:val="00E8795B"/>
    <w:rsid w:val="00E91D3A"/>
    <w:rsid w:val="00EB277E"/>
    <w:rsid w:val="00EB7B3B"/>
    <w:rsid w:val="00F01373"/>
    <w:rsid w:val="00F10CC3"/>
    <w:rsid w:val="00F14DB8"/>
    <w:rsid w:val="00F3454D"/>
    <w:rsid w:val="00F3737B"/>
    <w:rsid w:val="00F41F2F"/>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4E58D3"/>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86D6DD1"/>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5A03C6"/>
    <w:rsid w:val="42955F29"/>
    <w:rsid w:val="42C52D12"/>
    <w:rsid w:val="42EA0B90"/>
    <w:rsid w:val="436E1D48"/>
    <w:rsid w:val="442221E6"/>
    <w:rsid w:val="44FC0AD9"/>
    <w:rsid w:val="45C66F5A"/>
    <w:rsid w:val="464311BD"/>
    <w:rsid w:val="46762869"/>
    <w:rsid w:val="46800ECA"/>
    <w:rsid w:val="46A9191C"/>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5FD73A6F"/>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540558"/>
    <w:rsid w:val="6DDD5EBF"/>
    <w:rsid w:val="6DFC4CD2"/>
    <w:rsid w:val="6E2E2D6D"/>
    <w:rsid w:val="6E3F51B6"/>
    <w:rsid w:val="6E460B96"/>
    <w:rsid w:val="6EA82131"/>
    <w:rsid w:val="6EEA564F"/>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BFEB28B"/>
    <w:rsid w:val="D74FDF30"/>
    <w:rsid w:val="DEAEE68D"/>
    <w:rsid w:val="F7F97754"/>
    <w:rsid w:val="FB7FC3E7"/>
    <w:rsid w:val="FF3F61B6"/>
    <w:rsid w:val="FFC7EC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1077</Words>
  <Characters>6140</Characters>
  <Lines>51</Lines>
  <Paragraphs>14</Paragraphs>
  <TotalTime>1826</TotalTime>
  <ScaleCrop>false</ScaleCrop>
  <LinksUpToDate>false</LinksUpToDate>
  <CharactersWithSpaces>7203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侯亚琪</cp:lastModifiedBy>
  <cp:lastPrinted>2012-09-19T14:00:00Z</cp:lastPrinted>
  <dcterms:modified xsi:type="dcterms:W3CDTF">2023-10-11T07:21:39Z</dcterms:modified>
  <dc:title>附件1</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ADD243264AEC4F648BD9CB23E0B97AE5_13</vt:lpwstr>
  </property>
</Properties>
</file>