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天津市津南区住房和建设委员会（本级）</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第一部分概况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u w:val="none"/>
        </w:rPr>
      </w:pPr>
      <w:bookmarkStart w:id="0" w:name="_Toc859"/>
      <w:r>
        <w:rPr>
          <w:rFonts w:hint="eastAsia" w:ascii="方正小标宋简体" w:hAnsi="方正小标宋简体" w:eastAsia="方正小标宋简体" w:cs="方正小标宋简体"/>
          <w:b w:val="0"/>
          <w:u w:val="none"/>
        </w:rPr>
        <w:t>第一部分概况</w:t>
      </w:r>
      <w:bookmarkEnd w:id="0"/>
    </w:p>
    <w:p>
      <w:pPr>
        <w:spacing w:line="600" w:lineRule="exact"/>
        <w:rPr>
          <w:u w:val="none"/>
        </w:rPr>
      </w:pPr>
    </w:p>
    <w:p>
      <w:pPr>
        <w:pStyle w:val="3"/>
        <w:spacing w:before="0" w:after="0" w:line="600" w:lineRule="exact"/>
        <w:ind w:firstLine="600" w:firstLineChars="200"/>
        <w:rPr>
          <w:rFonts w:ascii="黑体" w:hAnsi="黑体" w:eastAsia="黑体"/>
          <w:b w:val="0"/>
          <w:bCs w:val="0"/>
          <w:sz w:val="30"/>
          <w:szCs w:val="30"/>
          <w:u w:val="none"/>
        </w:rPr>
      </w:pPr>
      <w:bookmarkStart w:id="1" w:name="_Toc21919"/>
      <w:r>
        <w:rPr>
          <w:rFonts w:hint="eastAsia" w:ascii="黑体" w:hAnsi="黑体" w:eastAsia="黑体"/>
          <w:b w:val="0"/>
          <w:bCs w:val="0"/>
          <w:sz w:val="30"/>
          <w:szCs w:val="30"/>
          <w:u w:val="none"/>
        </w:rPr>
        <w:t>一、主要职责</w:t>
      </w:r>
      <w:bookmarkEnd w:id="1"/>
    </w:p>
    <w:p>
      <w:pPr>
        <w:spacing w:beforeLines="0" w:afterLines="0" w:line="580" w:lineRule="exact"/>
        <w:ind w:firstLine="600" w:firstLineChars="200"/>
        <w:rPr>
          <w:rFonts w:hint="default" w:ascii="仿宋_GB2312" w:hAnsi="宋体" w:eastAsia="仿宋_GB2312"/>
          <w:sz w:val="30"/>
          <w:szCs w:val="24"/>
          <w:u w:val="none"/>
        </w:rPr>
      </w:pPr>
      <w:bookmarkStart w:id="2" w:name="_Toc17388"/>
      <w:r>
        <w:rPr>
          <w:rFonts w:hint="eastAsia" w:ascii="仿宋_GB2312" w:hAnsi="宋体" w:eastAsia="仿宋_GB2312"/>
          <w:sz w:val="30"/>
          <w:szCs w:val="24"/>
          <w:u w:val="none"/>
        </w:rPr>
        <w:t>天津市津南区住房和建设委员会</w:t>
      </w:r>
      <w:r>
        <w:rPr>
          <w:rFonts w:hint="eastAsia" w:ascii="仿宋_GB2312" w:hAnsi="宋体" w:eastAsia="仿宋_GB2312"/>
          <w:sz w:val="30"/>
          <w:szCs w:val="24"/>
          <w:u w:val="none"/>
          <w:lang w:eastAsia="zh-CN"/>
        </w:rPr>
        <w:t>（本级）</w:t>
      </w:r>
      <w:r>
        <w:rPr>
          <w:rFonts w:hint="eastAsia" w:ascii="仿宋_GB2312" w:hAnsi="宋体" w:eastAsia="仿宋_GB2312"/>
          <w:sz w:val="30"/>
          <w:szCs w:val="24"/>
          <w:u w:val="none"/>
        </w:rPr>
        <w:t>主要职责是贯彻执行国家有关住房和建设的法律、法规、规章和政策文件。负责组织实施区基础设施重点工程、协调区内市重点工程推进住房制度改革责任、承担城镇低收入住房困难家庭住房保障责任、物业管理活动的监督管理、建筑行业和建筑市场管理、规范房地产市场秩序、监督管理房地产市场的责任、建设工程消防设计审查验收。</w:t>
      </w:r>
    </w:p>
    <w:p>
      <w:pPr>
        <w:pStyle w:val="3"/>
        <w:spacing w:before="0" w:after="0" w:line="600" w:lineRule="exact"/>
        <w:ind w:firstLine="600" w:firstLineChars="200"/>
        <w:rPr>
          <w:rFonts w:ascii="黑体" w:hAnsi="黑体" w:eastAsia="黑体"/>
          <w:b w:val="0"/>
          <w:bCs w:val="0"/>
          <w:sz w:val="30"/>
          <w:szCs w:val="30"/>
          <w:u w:val="none"/>
        </w:rPr>
      </w:pPr>
      <w:r>
        <w:rPr>
          <w:rFonts w:hint="eastAsia" w:ascii="黑体" w:hAnsi="黑体" w:eastAsia="黑体"/>
          <w:b w:val="0"/>
          <w:bCs w:val="0"/>
          <w:sz w:val="30"/>
          <w:szCs w:val="30"/>
          <w:u w:val="none"/>
        </w:rPr>
        <w:t>二、机构设置</w:t>
      </w:r>
      <w:bookmarkEnd w:id="2"/>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天津市津南区住房和建设委员会（本级）部门</w:t>
      </w:r>
      <w:r>
        <w:rPr>
          <w:rFonts w:eastAsia="仿宋_GB2312"/>
          <w:sz w:val="30"/>
          <w:szCs w:val="30"/>
          <w:u w:val="none"/>
        </w:rPr>
        <w:t>内设</w:t>
      </w:r>
      <w:r>
        <w:rPr>
          <w:rFonts w:hint="eastAsia" w:eastAsia="仿宋_GB2312"/>
          <w:sz w:val="30"/>
          <w:szCs w:val="30"/>
          <w:u w:val="none"/>
          <w:lang w:val="en-US" w:eastAsia="zh-CN"/>
        </w:rPr>
        <w:t>8</w:t>
      </w:r>
      <w:r>
        <w:rPr>
          <w:rFonts w:eastAsia="仿宋_GB2312"/>
          <w:sz w:val="30"/>
          <w:szCs w:val="30"/>
          <w:u w:val="none"/>
        </w:rPr>
        <w:t>个职能处室</w:t>
      </w:r>
      <w:r>
        <w:rPr>
          <w:rFonts w:hint="eastAsia" w:ascii="仿宋_GB2312" w:eastAsia="仿宋_GB2312" w:cs="仿宋_GB2312"/>
          <w:sz w:val="30"/>
          <w:szCs w:val="30"/>
          <w:u w:val="none"/>
        </w:rPr>
        <w:t>。</w:t>
      </w:r>
    </w:p>
    <w:p>
      <w:pPr>
        <w:spacing w:line="600" w:lineRule="exact"/>
        <w:rPr>
          <w:rFonts w:eastAsia="楷体_GB2312"/>
          <w:b/>
          <w:sz w:val="30"/>
          <w:szCs w:val="30"/>
          <w:u w:val="none"/>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u w:val="none"/>
        </w:rPr>
        <w:br w:type="textWrapping"/>
      </w:r>
    </w:p>
    <w:p>
      <w:pPr>
        <w:spacing w:line="600" w:lineRule="exact"/>
        <w:rPr>
          <w:rFonts w:eastAsia="楷体_GB2312"/>
          <w:b/>
          <w:sz w:val="30"/>
          <w:szCs w:val="30"/>
          <w:u w:val="none"/>
        </w:rPr>
      </w:pPr>
    </w:p>
    <w:p>
      <w:pPr>
        <w:pStyle w:val="2"/>
        <w:spacing w:before="0" w:after="0" w:line="600" w:lineRule="exact"/>
        <w:jc w:val="center"/>
        <w:rPr>
          <w:rFonts w:ascii="方正小标宋简体" w:hAnsi="方正小标宋简体" w:eastAsia="方正小标宋简体" w:cs="方正小标宋简体"/>
          <w:b w:val="0"/>
          <w:u w:val="none"/>
        </w:rPr>
      </w:pPr>
      <w:bookmarkStart w:id="3" w:name="_Toc24747"/>
      <w:r>
        <w:rPr>
          <w:rFonts w:ascii="方正小标宋简体" w:hAnsi="方正小标宋简体" w:eastAsia="方正小标宋简体" w:cs="方正小标宋简体"/>
          <w:b w:val="0"/>
          <w:u w:val="none"/>
        </w:rPr>
        <w:t>第</w:t>
      </w:r>
      <w:r>
        <w:rPr>
          <w:rFonts w:hint="eastAsia" w:ascii="方正小标宋简体" w:hAnsi="方正小标宋简体" w:eastAsia="方正小标宋简体" w:cs="方正小标宋简体"/>
          <w:b w:val="0"/>
          <w:u w:val="none"/>
        </w:rPr>
        <w:t>二</w:t>
      </w:r>
      <w:r>
        <w:rPr>
          <w:rFonts w:ascii="方正小标宋简体" w:hAnsi="方正小标宋简体" w:eastAsia="方正小标宋简体" w:cs="方正小标宋简体"/>
          <w:b w:val="0"/>
          <w:u w:val="none"/>
        </w:rPr>
        <w:t>部分</w:t>
      </w:r>
      <w:r>
        <w:rPr>
          <w:rFonts w:hint="eastAsia" w:ascii="方正小标宋简体" w:hAnsi="方正小标宋简体" w:eastAsia="方正小标宋简体" w:cs="方正小标宋简体"/>
          <w:b w:val="0"/>
          <w:u w:val="none"/>
        </w:rPr>
        <w:t>2022</w:t>
      </w:r>
      <w:r>
        <w:rPr>
          <w:rFonts w:ascii="方正小标宋简体" w:hAnsi="方正小标宋简体" w:eastAsia="方正小标宋简体" w:cs="方正小标宋简体"/>
          <w:b w:val="0"/>
          <w:u w:val="none"/>
        </w:rPr>
        <w:t>年度部门决算</w:t>
      </w:r>
      <w:r>
        <w:rPr>
          <w:rFonts w:hint="eastAsia" w:ascii="方正小标宋简体" w:hAnsi="方正小标宋简体" w:eastAsia="方正小标宋简体" w:cs="方正小标宋简体"/>
          <w:b w:val="0"/>
          <w:u w:val="none"/>
        </w:rPr>
        <w:t>表</w:t>
      </w:r>
      <w:bookmarkEnd w:id="3"/>
    </w:p>
    <w:p>
      <w:pPr>
        <w:spacing w:line="600" w:lineRule="exact"/>
        <w:rPr>
          <w:u w:val="none"/>
        </w:rPr>
      </w:pPr>
    </w:p>
    <w:p>
      <w:pPr>
        <w:pStyle w:val="3"/>
        <w:spacing w:before="0" w:after="0" w:line="800" w:lineRule="exact"/>
        <w:ind w:firstLine="600" w:firstLineChars="200"/>
        <w:rPr>
          <w:rFonts w:ascii="黑体" w:hAnsi="黑体" w:eastAsia="黑体"/>
          <w:b w:val="0"/>
          <w:sz w:val="30"/>
          <w:szCs w:val="30"/>
          <w:u w:val="none"/>
        </w:rPr>
      </w:pPr>
      <w:bookmarkStart w:id="4" w:name="_Toc20142"/>
      <w:r>
        <w:rPr>
          <w:rFonts w:ascii="黑体" w:hAnsi="黑体" w:eastAsia="黑体"/>
          <w:b w:val="0"/>
          <w:sz w:val="30"/>
          <w:szCs w:val="30"/>
          <w:u w:val="none"/>
        </w:rPr>
        <w:t>一</w:t>
      </w:r>
      <w:r>
        <w:rPr>
          <w:rFonts w:hint="eastAsia" w:ascii="黑体" w:hAnsi="黑体" w:eastAsia="黑体"/>
          <w:b w:val="0"/>
          <w:sz w:val="30"/>
          <w:szCs w:val="30"/>
          <w:u w:val="none"/>
        </w:rPr>
        <w:t>、</w:t>
      </w:r>
      <w:r>
        <w:rPr>
          <w:rFonts w:ascii="黑体" w:hAnsi="黑体" w:eastAsia="黑体"/>
          <w:b w:val="0"/>
          <w:sz w:val="30"/>
          <w:szCs w:val="30"/>
          <w:u w:val="none"/>
        </w:rPr>
        <w:t>《</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决算总</w:t>
      </w:r>
      <w:r>
        <w:rPr>
          <w:rFonts w:ascii="黑体" w:hAnsi="黑体" w:eastAsia="黑体"/>
          <w:b w:val="0"/>
          <w:sz w:val="30"/>
          <w:szCs w:val="30"/>
          <w:u w:val="none"/>
        </w:rPr>
        <w:t>表》</w:t>
      </w:r>
      <w:bookmarkEnd w:id="4"/>
    </w:p>
    <w:p>
      <w:pPr>
        <w:pStyle w:val="3"/>
        <w:spacing w:before="0" w:after="0" w:line="800" w:lineRule="exact"/>
        <w:ind w:firstLine="600" w:firstLineChars="200"/>
        <w:rPr>
          <w:rFonts w:ascii="黑体" w:hAnsi="黑体" w:eastAsia="黑体"/>
          <w:b w:val="0"/>
          <w:sz w:val="30"/>
          <w:szCs w:val="30"/>
          <w:u w:val="none"/>
        </w:rPr>
      </w:pPr>
      <w:bookmarkStart w:id="5" w:name="_Toc1616"/>
      <w:r>
        <w:rPr>
          <w:rFonts w:ascii="黑体" w:hAnsi="黑体" w:eastAsia="黑体"/>
          <w:b w:val="0"/>
          <w:sz w:val="30"/>
          <w:szCs w:val="30"/>
          <w:u w:val="none"/>
        </w:rPr>
        <w:t>二、《收入</w:t>
      </w:r>
      <w:r>
        <w:rPr>
          <w:rFonts w:hint="eastAsia" w:ascii="黑体" w:hAnsi="黑体" w:eastAsia="黑体"/>
          <w:b w:val="0"/>
          <w:sz w:val="30"/>
          <w:szCs w:val="30"/>
          <w:u w:val="none"/>
        </w:rPr>
        <w:t>决算</w:t>
      </w:r>
      <w:r>
        <w:rPr>
          <w:rFonts w:ascii="黑体" w:hAnsi="黑体" w:eastAsia="黑体"/>
          <w:b w:val="0"/>
          <w:sz w:val="30"/>
          <w:szCs w:val="30"/>
          <w:u w:val="none"/>
        </w:rPr>
        <w:t>表</w:t>
      </w:r>
      <w:r>
        <w:rPr>
          <w:rFonts w:hint="eastAsia" w:ascii="黑体" w:hAnsi="黑体" w:eastAsia="黑体"/>
          <w:b w:val="0"/>
          <w:sz w:val="30"/>
          <w:szCs w:val="30"/>
          <w:u w:val="none"/>
        </w:rPr>
        <w:t>（按功能分类列示）</w:t>
      </w:r>
      <w:r>
        <w:rPr>
          <w:rFonts w:ascii="黑体" w:hAnsi="黑体" w:eastAsia="黑体"/>
          <w:b w:val="0"/>
          <w:sz w:val="30"/>
          <w:szCs w:val="30"/>
          <w:u w:val="none"/>
        </w:rPr>
        <w:t>》</w:t>
      </w:r>
      <w:bookmarkEnd w:id="5"/>
    </w:p>
    <w:p>
      <w:pPr>
        <w:pStyle w:val="3"/>
        <w:spacing w:before="0" w:after="0" w:line="800" w:lineRule="exact"/>
        <w:ind w:firstLine="600" w:firstLineChars="200"/>
        <w:rPr>
          <w:rFonts w:ascii="黑体" w:hAnsi="黑体" w:eastAsia="黑体"/>
          <w:b w:val="0"/>
          <w:sz w:val="30"/>
          <w:szCs w:val="30"/>
          <w:u w:val="none"/>
        </w:rPr>
      </w:pPr>
      <w:bookmarkStart w:id="6" w:name="_Toc12050"/>
      <w:r>
        <w:rPr>
          <w:rFonts w:hint="eastAsia" w:ascii="黑体" w:hAnsi="黑体" w:eastAsia="黑体"/>
          <w:b w:val="0"/>
          <w:sz w:val="30"/>
          <w:szCs w:val="30"/>
          <w:u w:val="none"/>
        </w:rPr>
        <w:t>三</w:t>
      </w:r>
      <w:r>
        <w:rPr>
          <w:rFonts w:ascii="黑体" w:hAnsi="黑体" w:eastAsia="黑体"/>
          <w:b w:val="0"/>
          <w:sz w:val="30"/>
          <w:szCs w:val="30"/>
          <w:u w:val="none"/>
        </w:rPr>
        <w:t>、《收入</w:t>
      </w:r>
      <w:r>
        <w:rPr>
          <w:rFonts w:hint="eastAsia" w:ascii="黑体" w:hAnsi="黑体" w:eastAsia="黑体"/>
          <w:b w:val="0"/>
          <w:sz w:val="30"/>
          <w:szCs w:val="30"/>
          <w:u w:val="none"/>
        </w:rPr>
        <w:t>决算</w:t>
      </w:r>
      <w:r>
        <w:rPr>
          <w:rFonts w:ascii="黑体" w:hAnsi="黑体" w:eastAsia="黑体"/>
          <w:b w:val="0"/>
          <w:sz w:val="30"/>
          <w:szCs w:val="30"/>
          <w:u w:val="none"/>
        </w:rPr>
        <w:t>表</w:t>
      </w:r>
      <w:r>
        <w:rPr>
          <w:rFonts w:hint="eastAsia" w:ascii="黑体" w:hAnsi="黑体" w:eastAsia="黑体"/>
          <w:b w:val="0"/>
          <w:sz w:val="30"/>
          <w:szCs w:val="30"/>
          <w:u w:val="none"/>
        </w:rPr>
        <w:t>（按单位列示）</w:t>
      </w:r>
      <w:r>
        <w:rPr>
          <w:rFonts w:ascii="黑体" w:hAnsi="黑体" w:eastAsia="黑体"/>
          <w:b w:val="0"/>
          <w:sz w:val="30"/>
          <w:szCs w:val="30"/>
          <w:u w:val="none"/>
        </w:rPr>
        <w:t>》</w:t>
      </w:r>
      <w:bookmarkEnd w:id="6"/>
    </w:p>
    <w:p>
      <w:pPr>
        <w:pStyle w:val="3"/>
        <w:spacing w:before="0" w:after="0" w:line="800" w:lineRule="exact"/>
        <w:ind w:firstLine="600" w:firstLineChars="200"/>
        <w:rPr>
          <w:rFonts w:ascii="黑体" w:hAnsi="黑体" w:eastAsia="黑体"/>
          <w:b w:val="0"/>
          <w:sz w:val="30"/>
          <w:szCs w:val="30"/>
          <w:u w:val="none"/>
        </w:rPr>
      </w:pPr>
      <w:bookmarkStart w:id="7" w:name="_Toc1989"/>
      <w:r>
        <w:rPr>
          <w:rFonts w:hint="eastAsia" w:ascii="黑体" w:hAnsi="黑体" w:eastAsia="黑体"/>
          <w:b w:val="0"/>
          <w:sz w:val="30"/>
          <w:szCs w:val="30"/>
          <w:u w:val="none"/>
        </w:rPr>
        <w:t>四、</w:t>
      </w:r>
      <w:r>
        <w:rPr>
          <w:rFonts w:ascii="黑体" w:hAnsi="黑体" w:eastAsia="黑体"/>
          <w:b w:val="0"/>
          <w:sz w:val="30"/>
          <w:szCs w:val="30"/>
          <w:u w:val="none"/>
        </w:rPr>
        <w:t>《支出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7"/>
    </w:p>
    <w:p>
      <w:pPr>
        <w:pStyle w:val="3"/>
        <w:spacing w:before="0" w:after="0" w:line="800" w:lineRule="exact"/>
        <w:ind w:firstLine="600" w:firstLineChars="200"/>
        <w:rPr>
          <w:rFonts w:ascii="黑体" w:hAnsi="黑体" w:eastAsia="黑体"/>
          <w:b w:val="0"/>
          <w:sz w:val="30"/>
          <w:szCs w:val="30"/>
          <w:u w:val="none"/>
        </w:rPr>
      </w:pPr>
      <w:bookmarkStart w:id="8" w:name="_Toc32498"/>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《财政拨款</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决算总</w:t>
      </w:r>
      <w:r>
        <w:rPr>
          <w:rFonts w:ascii="黑体" w:hAnsi="黑体" w:eastAsia="黑体"/>
          <w:b w:val="0"/>
          <w:sz w:val="30"/>
          <w:szCs w:val="30"/>
          <w:u w:val="none"/>
        </w:rPr>
        <w:t>表》</w:t>
      </w:r>
      <w:bookmarkEnd w:id="8"/>
    </w:p>
    <w:p>
      <w:pPr>
        <w:pStyle w:val="3"/>
        <w:spacing w:before="0" w:after="0" w:line="800" w:lineRule="exact"/>
        <w:ind w:firstLine="600" w:firstLineChars="200"/>
        <w:rPr>
          <w:rFonts w:ascii="黑体" w:hAnsi="黑体" w:eastAsia="黑体"/>
          <w:b w:val="0"/>
          <w:sz w:val="30"/>
          <w:szCs w:val="30"/>
          <w:u w:val="none"/>
        </w:rPr>
      </w:pPr>
      <w:bookmarkStart w:id="9" w:name="_Toc26379"/>
      <w:r>
        <w:rPr>
          <w:rFonts w:ascii="黑体" w:hAnsi="黑体" w:eastAsia="黑体"/>
          <w:b w:val="0"/>
          <w:sz w:val="30"/>
          <w:szCs w:val="30"/>
          <w:u w:val="none"/>
        </w:rPr>
        <w:t>六</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9"/>
    </w:p>
    <w:p>
      <w:pPr>
        <w:pStyle w:val="3"/>
        <w:spacing w:before="0" w:after="0" w:line="800" w:lineRule="exact"/>
        <w:ind w:firstLine="600" w:firstLineChars="200"/>
        <w:rPr>
          <w:rFonts w:ascii="黑体" w:hAnsi="黑体" w:eastAsia="黑体"/>
          <w:b w:val="0"/>
          <w:sz w:val="30"/>
          <w:szCs w:val="30"/>
          <w:u w:val="none"/>
        </w:rPr>
      </w:pPr>
      <w:bookmarkStart w:id="10" w:name="_Toc4498"/>
      <w:r>
        <w:rPr>
          <w:rFonts w:ascii="黑体" w:hAnsi="黑体" w:eastAsia="黑体"/>
          <w:b w:val="0"/>
          <w:sz w:val="30"/>
          <w:szCs w:val="30"/>
          <w:u w:val="none"/>
        </w:rPr>
        <w:t>七</w:t>
      </w:r>
      <w:r>
        <w:rPr>
          <w:rFonts w:hint="eastAsia" w:ascii="黑体" w:hAnsi="黑体" w:eastAsia="黑体"/>
          <w:b w:val="0"/>
          <w:sz w:val="30"/>
          <w:szCs w:val="30"/>
          <w:u w:val="none"/>
        </w:rPr>
        <w:t>、</w:t>
      </w:r>
      <w:r>
        <w:rPr>
          <w:rFonts w:ascii="黑体" w:hAnsi="黑体" w:eastAsia="黑体"/>
          <w:b w:val="0"/>
          <w:sz w:val="30"/>
          <w:szCs w:val="30"/>
          <w:u w:val="none"/>
        </w:rPr>
        <w:t>《一般公共预算财政拨款基本支出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0"/>
    </w:p>
    <w:p>
      <w:pPr>
        <w:pStyle w:val="3"/>
        <w:spacing w:before="0" w:after="0" w:line="800" w:lineRule="exact"/>
        <w:ind w:firstLine="600" w:firstLineChars="200"/>
        <w:rPr>
          <w:rFonts w:ascii="黑体" w:hAnsi="黑体" w:eastAsia="黑体"/>
          <w:b w:val="0"/>
          <w:sz w:val="30"/>
          <w:szCs w:val="30"/>
          <w:u w:val="none"/>
        </w:rPr>
      </w:pPr>
      <w:bookmarkStart w:id="11" w:name="_Toc18038"/>
      <w:r>
        <w:rPr>
          <w:rFonts w:hint="eastAsia" w:ascii="黑体" w:hAnsi="黑体" w:eastAsia="黑体"/>
          <w:b w:val="0"/>
          <w:sz w:val="30"/>
          <w:szCs w:val="30"/>
          <w:u w:val="none"/>
        </w:rPr>
        <w:t>八、</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1"/>
    </w:p>
    <w:p>
      <w:pPr>
        <w:pStyle w:val="3"/>
        <w:spacing w:before="0" w:after="0" w:line="800" w:lineRule="exact"/>
        <w:ind w:firstLine="600" w:firstLineChars="200"/>
        <w:rPr>
          <w:rFonts w:ascii="黑体" w:hAnsi="黑体" w:eastAsia="黑体"/>
          <w:b w:val="0"/>
          <w:sz w:val="30"/>
          <w:szCs w:val="30"/>
          <w:u w:val="none"/>
        </w:rPr>
      </w:pPr>
      <w:bookmarkStart w:id="12" w:name="_Toc13200"/>
      <w:r>
        <w:rPr>
          <w:rFonts w:hint="eastAsia" w:ascii="黑体" w:hAnsi="黑体" w:eastAsia="黑体"/>
          <w:b w:val="0"/>
          <w:sz w:val="30"/>
          <w:szCs w:val="30"/>
          <w:u w:val="none"/>
        </w:rPr>
        <w:t>九、</w:t>
      </w:r>
      <w:r>
        <w:rPr>
          <w:rFonts w:ascii="黑体" w:hAnsi="黑体" w:eastAsia="黑体"/>
          <w:b w:val="0"/>
          <w:sz w:val="30"/>
          <w:szCs w:val="30"/>
          <w:u w:val="none"/>
        </w:rPr>
        <w:t>《国有资本经营预算财政拨款</w:t>
      </w:r>
      <w:r>
        <w:rPr>
          <w:rFonts w:hint="eastAsia" w:ascii="黑体" w:hAnsi="黑体" w:eastAsia="黑体"/>
          <w:b w:val="0"/>
          <w:sz w:val="30"/>
          <w:szCs w:val="30"/>
          <w:u w:val="none"/>
        </w:rPr>
        <w:t>收入支出决算</w:t>
      </w:r>
      <w:r>
        <w:rPr>
          <w:rFonts w:ascii="黑体" w:hAnsi="黑体" w:eastAsia="黑体"/>
          <w:b w:val="0"/>
          <w:sz w:val="30"/>
          <w:szCs w:val="30"/>
          <w:u w:val="none"/>
        </w:rPr>
        <w:t>表》</w:t>
      </w:r>
      <w:bookmarkEnd w:id="12"/>
    </w:p>
    <w:p>
      <w:pPr>
        <w:pStyle w:val="3"/>
        <w:spacing w:before="0" w:after="0" w:line="800" w:lineRule="exact"/>
        <w:ind w:firstLine="600" w:firstLineChars="200"/>
        <w:rPr>
          <w:rFonts w:ascii="黑体" w:hAnsi="黑体" w:eastAsia="黑体"/>
          <w:b w:val="0"/>
          <w:sz w:val="30"/>
          <w:szCs w:val="30"/>
          <w:u w:val="none"/>
        </w:rPr>
      </w:pPr>
      <w:bookmarkStart w:id="13" w:name="_Toc3423"/>
      <w:r>
        <w:rPr>
          <w:rFonts w:hint="eastAsia" w:ascii="黑体" w:hAnsi="黑体" w:eastAsia="黑体"/>
          <w:b w:val="0"/>
          <w:sz w:val="30"/>
          <w:szCs w:val="30"/>
          <w:u w:val="none"/>
        </w:rPr>
        <w:t>十、</w:t>
      </w:r>
      <w:r>
        <w:rPr>
          <w:rFonts w:ascii="黑体" w:hAnsi="黑体" w:eastAsia="黑体"/>
          <w:b w:val="0"/>
          <w:sz w:val="30"/>
          <w:szCs w:val="30"/>
          <w:u w:val="none"/>
        </w:rPr>
        <w:t>《一般公共预算财政拨款“三公”经费支出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3"/>
    </w:p>
    <w:p>
      <w:pPr>
        <w:pStyle w:val="3"/>
        <w:spacing w:before="0" w:after="0" w:line="800" w:lineRule="exact"/>
        <w:ind w:firstLine="600" w:firstLineChars="200"/>
        <w:rPr>
          <w:rFonts w:ascii="黑体" w:hAnsi="黑体" w:eastAsia="黑体"/>
          <w:b w:val="0"/>
          <w:sz w:val="30"/>
          <w:szCs w:val="30"/>
          <w:u w:val="none"/>
        </w:rPr>
      </w:pPr>
      <w:bookmarkStart w:id="14" w:name="_Toc3915"/>
      <w:r>
        <w:rPr>
          <w:rFonts w:ascii="黑体" w:hAnsi="黑体" w:eastAsia="黑体"/>
          <w:b w:val="0"/>
          <w:sz w:val="30"/>
          <w:szCs w:val="30"/>
          <w:u w:val="none"/>
        </w:rPr>
        <w:t>十</w:t>
      </w:r>
      <w:r>
        <w:rPr>
          <w:rFonts w:hint="eastAsia" w:ascii="黑体" w:hAnsi="黑体" w:eastAsia="黑体"/>
          <w:b w:val="0"/>
          <w:sz w:val="30"/>
          <w:szCs w:val="30"/>
          <w:u w:val="none"/>
        </w:rPr>
        <w:t>一、</w:t>
      </w:r>
      <w:r>
        <w:rPr>
          <w:rFonts w:ascii="黑体" w:hAnsi="黑体" w:eastAsia="黑体"/>
          <w:b w:val="0"/>
          <w:sz w:val="30"/>
          <w:szCs w:val="30"/>
          <w:u w:val="none"/>
        </w:rPr>
        <w:t>《项目支出决算表》</w:t>
      </w:r>
      <w:bookmarkEnd w:id="14"/>
    </w:p>
    <w:p>
      <w:pPr>
        <w:spacing w:line="800" w:lineRule="exact"/>
        <w:rPr>
          <w:u w:val="none"/>
        </w:rPr>
      </w:pPr>
      <w:r>
        <w:rPr>
          <w:rFonts w:hint="eastAsia" w:eastAsia="楷体"/>
          <w:sz w:val="30"/>
          <w:szCs w:val="30"/>
          <w:u w:val="none"/>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u w:val="none"/>
        </w:rPr>
      </w:pPr>
      <w:bookmarkStart w:id="15" w:name="_Toc17260"/>
      <w:r>
        <w:rPr>
          <w:rFonts w:hint="eastAsia" w:ascii="黑体" w:hAnsi="黑体" w:eastAsia="黑体"/>
          <w:b w:val="0"/>
          <w:bCs w:val="0"/>
          <w:sz w:val="30"/>
          <w:szCs w:val="30"/>
          <w:u w:val="none"/>
        </w:rPr>
        <w:t>关于空表的说明</w:t>
      </w:r>
      <w:bookmarkEnd w:id="15"/>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天津市津南区住房和建设委员会（本级）2022年度国有资本经营预算财政拨款收入支出决算表为空表。</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天津市津南区住房和建设委员会（本级）2022年度一般公共预算财政拨款“三公”经费支出决算表为空表。</w:t>
      </w:r>
    </w:p>
    <w:p>
      <w:pPr>
        <w:spacing w:line="600" w:lineRule="exact"/>
        <w:rPr>
          <w:rFonts w:ascii="仿宋_GB2312" w:eastAsia="仿宋_GB2312" w:cs="仿宋_GB2312"/>
          <w:sz w:val="30"/>
          <w:szCs w:val="30"/>
          <w:u w:val="none"/>
        </w:rPr>
      </w:pPr>
    </w:p>
    <w:p>
      <w:pPr>
        <w:pStyle w:val="2"/>
        <w:spacing w:before="0" w:after="0" w:line="600" w:lineRule="exact"/>
        <w:jc w:val="center"/>
        <w:rPr>
          <w:rFonts w:ascii="方正小标宋简体" w:hAnsi="方正小标宋简体" w:eastAsia="方正小标宋简体" w:cs="方正小标宋简体"/>
          <w:b w:val="0"/>
          <w:u w:val="none"/>
        </w:rPr>
      </w:pPr>
      <w:bookmarkStart w:id="16" w:name="_Toc396"/>
      <w:r>
        <w:rPr>
          <w:rFonts w:ascii="方正小标宋简体" w:hAnsi="方正小标宋简体" w:eastAsia="方正小标宋简体" w:cs="方正小标宋简体"/>
          <w:b w:val="0"/>
          <w:u w:val="none"/>
        </w:rPr>
        <w:t>第</w:t>
      </w:r>
      <w:r>
        <w:rPr>
          <w:rFonts w:hint="eastAsia" w:ascii="方正小标宋简体" w:hAnsi="方正小标宋简体" w:eastAsia="方正小标宋简体" w:cs="方正小标宋简体"/>
          <w:b w:val="0"/>
          <w:u w:val="none"/>
        </w:rPr>
        <w:t>三</w:t>
      </w:r>
      <w:r>
        <w:rPr>
          <w:rFonts w:ascii="方正小标宋简体" w:hAnsi="方正小标宋简体" w:eastAsia="方正小标宋简体" w:cs="方正小标宋简体"/>
          <w:b w:val="0"/>
          <w:u w:val="none"/>
        </w:rPr>
        <w:t>部分</w:t>
      </w:r>
      <w:r>
        <w:rPr>
          <w:rFonts w:hint="eastAsia" w:ascii="方正小标宋简体" w:hAnsi="方正小标宋简体" w:eastAsia="方正小标宋简体" w:cs="方正小标宋简体"/>
          <w:b w:val="0"/>
          <w:u w:val="none"/>
        </w:rPr>
        <w:t>2022</w:t>
      </w:r>
      <w:r>
        <w:rPr>
          <w:rFonts w:ascii="方正小标宋简体" w:hAnsi="方正小标宋简体" w:eastAsia="方正小标宋简体" w:cs="方正小标宋简体"/>
          <w:b w:val="0"/>
          <w:u w:val="none"/>
        </w:rPr>
        <w:t>年度部门决算</w:t>
      </w:r>
      <w:r>
        <w:rPr>
          <w:rFonts w:hint="eastAsia" w:ascii="方正小标宋简体" w:hAnsi="方正小标宋简体" w:eastAsia="方正小标宋简体" w:cs="方正小标宋简体"/>
          <w:b w:val="0"/>
          <w:u w:val="none"/>
        </w:rPr>
        <w:t>情况</w:t>
      </w:r>
      <w:r>
        <w:rPr>
          <w:rFonts w:ascii="方正小标宋简体" w:hAnsi="方正小标宋简体" w:eastAsia="方正小标宋简体" w:cs="方正小标宋简体"/>
          <w:b w:val="0"/>
          <w:u w:val="none"/>
        </w:rPr>
        <w:t>说明</w:t>
      </w:r>
      <w:bookmarkEnd w:id="16"/>
    </w:p>
    <w:p>
      <w:pPr>
        <w:spacing w:line="600" w:lineRule="exact"/>
        <w:ind w:firstLine="600" w:firstLineChars="200"/>
        <w:rPr>
          <w:rFonts w:ascii="黑体" w:eastAsia="黑体"/>
          <w:sz w:val="30"/>
          <w:szCs w:val="30"/>
          <w:u w:val="none"/>
        </w:rPr>
      </w:pPr>
    </w:p>
    <w:p>
      <w:pPr>
        <w:pStyle w:val="3"/>
        <w:spacing w:before="0" w:after="0" w:line="600" w:lineRule="exact"/>
        <w:ind w:firstLine="600" w:firstLineChars="200"/>
        <w:rPr>
          <w:rFonts w:ascii="黑体" w:hAnsi="黑体" w:eastAsia="黑体"/>
          <w:b w:val="0"/>
          <w:sz w:val="30"/>
          <w:szCs w:val="30"/>
          <w:u w:val="none"/>
        </w:rPr>
      </w:pPr>
      <w:bookmarkStart w:id="17" w:name="_Toc24340"/>
      <w:r>
        <w:rPr>
          <w:rFonts w:hint="eastAsia" w:ascii="黑体" w:hAnsi="黑体" w:eastAsia="黑体"/>
          <w:b w:val="0"/>
          <w:sz w:val="30"/>
          <w:szCs w:val="30"/>
          <w:u w:val="none"/>
        </w:rPr>
        <w:t>一、收入支出决算总体情况说明</w:t>
      </w:r>
      <w:bookmarkEnd w:id="17"/>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楷体_GB2312"/>
          <w:b/>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年度收入、支出决算总计2572818249.27元。与2021年度相比，收、支总计各增加809511815.52元，增长45.91%，主要原因是</w:t>
      </w:r>
      <w:r>
        <w:rPr>
          <w:rFonts w:hint="eastAsia" w:eastAsia="仿宋_GB2312"/>
          <w:sz w:val="30"/>
          <w:szCs w:val="30"/>
          <w:u w:val="none"/>
          <w:lang w:eastAsia="zh-CN"/>
        </w:rPr>
        <w:t>新增国家会展中心二期项目等专项债券项目支出</w:t>
      </w:r>
      <w:r>
        <w:rPr>
          <w:rFonts w:hint="eastAsia" w:eastAsia="仿宋_GB2312"/>
          <w:sz w:val="30"/>
          <w:szCs w:val="30"/>
          <w:u w:val="none"/>
        </w:rPr>
        <w:t>。</w:t>
      </w:r>
    </w:p>
    <w:p>
      <w:pPr>
        <w:pStyle w:val="3"/>
        <w:spacing w:before="0" w:after="0" w:line="600" w:lineRule="exact"/>
        <w:ind w:firstLine="600" w:firstLineChars="200"/>
        <w:rPr>
          <w:rFonts w:ascii="黑体" w:hAnsi="黑体" w:eastAsia="黑体" w:cs="仿宋_GB2312"/>
          <w:b w:val="0"/>
          <w:sz w:val="30"/>
          <w:szCs w:val="30"/>
          <w:u w:val="none"/>
        </w:rPr>
      </w:pPr>
      <w:bookmarkStart w:id="18" w:name="_Toc18552"/>
      <w:r>
        <w:rPr>
          <w:rFonts w:hint="eastAsia" w:ascii="黑体" w:hAnsi="黑体" w:eastAsia="黑体" w:cs="仿宋_GB2312"/>
          <w:b w:val="0"/>
          <w:sz w:val="30"/>
          <w:szCs w:val="30"/>
          <w:u w:val="none"/>
        </w:rPr>
        <w:t>二、收入决算情况说明</w:t>
      </w:r>
      <w:bookmarkEnd w:id="18"/>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年度本年收入合计2212051837.23元，与2021年度相比增加1162684367.98元，主要原因是</w:t>
      </w:r>
      <w:r>
        <w:rPr>
          <w:rFonts w:hint="eastAsia" w:eastAsia="仿宋_GB2312"/>
          <w:sz w:val="30"/>
          <w:szCs w:val="30"/>
          <w:u w:val="none"/>
          <w:lang w:eastAsia="zh-CN"/>
        </w:rPr>
        <w:t>新增国家会展中心二期项目等专项债券项目支出</w:t>
      </w:r>
      <w:r>
        <w:rPr>
          <w:rFonts w:hint="eastAsia" w:eastAsia="仿宋_GB2312"/>
          <w:sz w:val="30"/>
          <w:szCs w:val="30"/>
          <w:u w:val="none"/>
        </w:rPr>
        <w:t>。</w:t>
      </w:r>
      <w:r>
        <w:rPr>
          <w:rFonts w:hint="eastAsia" w:ascii="仿宋_GB2312" w:eastAsia="仿宋_GB2312" w:cs="仿宋_GB2312"/>
          <w:sz w:val="30"/>
          <w:szCs w:val="30"/>
          <w:u w:val="none"/>
        </w:rPr>
        <w:t>其中：一般公共预算财政拨款收入26038589.14元，占1.18%；政府性基金预算财政拨款收入2179630194.00元，占98.53%；其他收入6383054.09元，占0.29%。</w:t>
      </w:r>
    </w:p>
    <w:p>
      <w:pPr>
        <w:pStyle w:val="3"/>
        <w:spacing w:before="0" w:after="0" w:line="600" w:lineRule="exact"/>
        <w:ind w:firstLine="600" w:firstLineChars="200"/>
        <w:rPr>
          <w:rFonts w:ascii="黑体" w:hAnsi="黑体" w:eastAsia="黑体" w:cs="仿宋_GB2312"/>
          <w:b w:val="0"/>
          <w:sz w:val="30"/>
          <w:szCs w:val="30"/>
          <w:u w:val="none"/>
        </w:rPr>
      </w:pPr>
      <w:bookmarkStart w:id="19" w:name="_Toc26952"/>
      <w:r>
        <w:rPr>
          <w:rFonts w:hint="eastAsia" w:ascii="黑体" w:hAnsi="黑体" w:eastAsia="黑体" w:cs="仿宋_GB2312"/>
          <w:b w:val="0"/>
          <w:sz w:val="30"/>
          <w:szCs w:val="30"/>
          <w:u w:val="none"/>
        </w:rPr>
        <w:t>三、</w:t>
      </w:r>
      <w:r>
        <w:rPr>
          <w:rFonts w:ascii="黑体" w:hAnsi="黑体" w:eastAsia="黑体" w:cs="仿宋_GB2312"/>
          <w:b w:val="0"/>
          <w:sz w:val="30"/>
          <w:szCs w:val="30"/>
          <w:u w:val="none"/>
        </w:rPr>
        <w:t>支出</w:t>
      </w:r>
      <w:r>
        <w:rPr>
          <w:rFonts w:hint="eastAsia" w:ascii="黑体" w:hAnsi="黑体" w:eastAsia="黑体" w:cs="仿宋_GB2312"/>
          <w:b w:val="0"/>
          <w:sz w:val="30"/>
          <w:szCs w:val="30"/>
          <w:u w:val="none"/>
        </w:rPr>
        <w:t>决算</w:t>
      </w:r>
      <w:r>
        <w:rPr>
          <w:rFonts w:ascii="黑体" w:hAnsi="黑体" w:eastAsia="黑体" w:cs="仿宋_GB2312"/>
          <w:b w:val="0"/>
          <w:sz w:val="30"/>
          <w:szCs w:val="30"/>
          <w:u w:val="none"/>
        </w:rPr>
        <w:t>情况</w:t>
      </w:r>
      <w:r>
        <w:rPr>
          <w:rFonts w:hint="eastAsia" w:ascii="黑体" w:hAnsi="黑体" w:eastAsia="黑体" w:cs="仿宋_GB2312"/>
          <w:b w:val="0"/>
          <w:sz w:val="30"/>
          <w:szCs w:val="30"/>
          <w:u w:val="none"/>
        </w:rPr>
        <w:t>说明</w:t>
      </w:r>
      <w:bookmarkEnd w:id="19"/>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年度本年支出合计2569464575.41元，与2021年度相比增加1191633390.64元，主要原因是</w:t>
      </w:r>
      <w:r>
        <w:rPr>
          <w:rFonts w:hint="eastAsia" w:eastAsia="仿宋_GB2312"/>
          <w:sz w:val="30"/>
          <w:szCs w:val="30"/>
          <w:u w:val="none"/>
          <w:lang w:eastAsia="zh-CN"/>
        </w:rPr>
        <w:t>新增国家会展中心二期项目等专项债券项目支出</w:t>
      </w:r>
      <w:r>
        <w:rPr>
          <w:rFonts w:hint="eastAsia" w:eastAsia="仿宋_GB2312"/>
          <w:sz w:val="30"/>
          <w:szCs w:val="30"/>
          <w:u w:val="none"/>
        </w:rPr>
        <w:t>。</w:t>
      </w:r>
      <w:r>
        <w:rPr>
          <w:rFonts w:hint="eastAsia" w:ascii="仿宋_GB2312" w:eastAsia="仿宋_GB2312" w:cs="仿宋_GB2312"/>
          <w:sz w:val="30"/>
          <w:szCs w:val="30"/>
          <w:u w:val="none"/>
        </w:rPr>
        <w:t>其中：基本支出17421014.01元，占0.68%；项目支出2552043561.40元，占99.32%。</w:t>
      </w:r>
    </w:p>
    <w:p>
      <w:pPr>
        <w:pStyle w:val="3"/>
        <w:spacing w:before="0" w:after="0" w:line="600" w:lineRule="exact"/>
        <w:ind w:firstLine="600" w:firstLineChars="200"/>
        <w:rPr>
          <w:rFonts w:ascii="黑体" w:hAnsi="黑体" w:eastAsia="黑体"/>
          <w:b w:val="0"/>
          <w:sz w:val="30"/>
          <w:szCs w:val="30"/>
          <w:u w:val="none"/>
        </w:rPr>
      </w:pPr>
      <w:bookmarkStart w:id="20" w:name="_Toc1812"/>
      <w:r>
        <w:rPr>
          <w:rFonts w:hint="eastAsia" w:ascii="黑体" w:hAnsi="黑体" w:eastAsia="黑体"/>
          <w:b w:val="0"/>
          <w:sz w:val="30"/>
          <w:szCs w:val="30"/>
          <w:u w:val="none"/>
        </w:rPr>
        <w:t>四、财政拨款收支决算总体情况说明</w:t>
      </w:r>
      <w:bookmarkEnd w:id="20"/>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楷体_GB2312"/>
          <w:b/>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年度财政拨款收入、支出决算总计2558867208.24元。与2021年度相比，财政拨款收、支总计各增加843697365.46元，增长49.19%，主要原因是</w:t>
      </w:r>
      <w:r>
        <w:rPr>
          <w:rFonts w:hint="eastAsia" w:eastAsia="仿宋_GB2312"/>
          <w:sz w:val="30"/>
          <w:szCs w:val="30"/>
          <w:u w:val="none"/>
          <w:lang w:eastAsia="zh-CN"/>
        </w:rPr>
        <w:t>新增国家会展中心二期项目等专项债券项目支出</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1" w:name="_Toc10091"/>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一般公共预算财政拨款支出决算情况</w:t>
      </w:r>
      <w:r>
        <w:rPr>
          <w:rFonts w:hint="eastAsia" w:ascii="黑体" w:hAnsi="黑体" w:eastAsia="黑体"/>
          <w:b w:val="0"/>
          <w:sz w:val="30"/>
          <w:szCs w:val="30"/>
          <w:u w:val="none"/>
        </w:rPr>
        <w:t>说明</w:t>
      </w:r>
      <w:bookmarkEnd w:id="21"/>
    </w:p>
    <w:p>
      <w:pPr>
        <w:spacing w:line="600" w:lineRule="exact"/>
        <w:ind w:left="480" w:leftChars="200"/>
        <w:rPr>
          <w:rFonts w:ascii="楷体" w:hAnsi="楷体" w:eastAsia="楷体" w:cs="仿宋_GB2312"/>
          <w:b/>
          <w:sz w:val="30"/>
          <w:szCs w:val="30"/>
          <w:u w:val="none"/>
        </w:rPr>
      </w:pPr>
      <w:r>
        <w:rPr>
          <w:rFonts w:hint="eastAsia" w:ascii="楷体" w:hAnsi="楷体" w:eastAsia="楷体" w:cs="仿宋_GB2312"/>
          <w:b/>
          <w:sz w:val="30"/>
          <w:szCs w:val="30"/>
          <w:u w:val="none"/>
        </w:rPr>
        <w:t>（一）总体情况</w:t>
      </w:r>
    </w:p>
    <w:p>
      <w:pPr>
        <w:spacing w:line="600" w:lineRule="exact"/>
        <w:ind w:firstLine="600" w:firstLineChars="200"/>
        <w:rPr>
          <w:rFonts w:hint="eastAsia" w:eastAsia="仿宋_GB2312"/>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年度一般公共预算财政拨款支出合计26038589.14元，占本年支出合计的1.01%。与2021年度相比，一般公共预算财政拨款支出减少430104831.47元，下降94.29%，主要原因是</w:t>
      </w:r>
      <w:r>
        <w:rPr>
          <w:rFonts w:hint="eastAsia" w:eastAsia="仿宋_GB2312"/>
          <w:sz w:val="30"/>
          <w:szCs w:val="30"/>
          <w:u w:val="none"/>
          <w:lang w:eastAsia="zh-CN"/>
        </w:rPr>
        <w:t>一般公共预算项目减少</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年度一般公共预算财政拨款支出26038589.14元，主要用于以下方面：</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一般公共服务支出（类）支出55000.00元，占0.21%；</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社会保障和就业支出（类）支出955808.64元，占3.67%；</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卫生健康支出（类）支出405493.26元，占1.56%；</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城乡社区支出（类）支出11184187.33元，占42.95%；</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住房保障支出（类）支出13418099.91元，占51.53%；</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灾害防治及应急管理支出（类）支出20000.00元，占0.08%。</w:t>
      </w:r>
    </w:p>
    <w:p>
      <w:pPr>
        <w:numPr>
          <w:ilvl w:val="0"/>
          <w:numId w:val="2"/>
        </w:numPr>
        <w:spacing w:line="600" w:lineRule="exact"/>
        <w:ind w:firstLine="602" w:firstLineChars="200"/>
        <w:rPr>
          <w:rFonts w:ascii="楷体" w:hAnsi="楷体" w:eastAsia="楷体" w:cs="仿宋_GB2312"/>
          <w:b/>
          <w:sz w:val="30"/>
          <w:szCs w:val="30"/>
          <w:u w:val="none"/>
        </w:rPr>
      </w:pPr>
      <w:r>
        <w:rPr>
          <w:rFonts w:ascii="楷体" w:hAnsi="楷体" w:eastAsia="楷体" w:cs="仿宋_GB2312"/>
          <w:b/>
          <w:sz w:val="30"/>
          <w:szCs w:val="30"/>
          <w:u w:val="none"/>
        </w:rPr>
        <w:t>具体情况</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年度一般公共预算财政拨款支出年初预算为1057</w:t>
      </w:r>
      <w:r>
        <w:rPr>
          <w:rFonts w:hint="eastAsia" w:ascii="仿宋_GB2312" w:eastAsia="仿宋_GB2312" w:cs="仿宋_GB2312"/>
          <w:sz w:val="30"/>
          <w:szCs w:val="30"/>
          <w:u w:val="none"/>
          <w:lang w:val="en-US" w:eastAsia="zh-CN"/>
        </w:rPr>
        <w:t>84774.9</w:t>
      </w:r>
      <w:r>
        <w:rPr>
          <w:rFonts w:hint="eastAsia" w:ascii="仿宋_GB2312" w:eastAsia="仿宋_GB2312" w:cs="仿宋_GB2312"/>
          <w:sz w:val="30"/>
          <w:szCs w:val="30"/>
          <w:u w:val="none"/>
        </w:rPr>
        <w:t>元，支出决算为26038589.14元，完成年初预算的24.6</w:t>
      </w:r>
      <w:r>
        <w:rPr>
          <w:rFonts w:hint="eastAsia" w:ascii="仿宋_GB2312" w:eastAsia="仿宋_GB2312" w:cs="仿宋_GB2312"/>
          <w:sz w:val="30"/>
          <w:szCs w:val="30"/>
          <w:u w:val="none"/>
          <w:lang w:val="en-US" w:eastAsia="zh-CN"/>
        </w:rPr>
        <w:t>1</w:t>
      </w:r>
      <w:r>
        <w:rPr>
          <w:rFonts w:hint="eastAsia" w:ascii="仿宋_GB2312" w:eastAsia="仿宋_GB2312" w:cs="仿宋_GB2312"/>
          <w:sz w:val="30"/>
          <w:szCs w:val="30"/>
          <w:u w:val="none"/>
        </w:rPr>
        <w:t>%。其中：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一般公共服务支出（类）政府办公厅（室）及相关机构事务（款）信访事务（项）年初预算为</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元，支出决算为55000.00元，决算数大于年初预算数的主要原因是</w:t>
      </w:r>
      <w:r>
        <w:rPr>
          <w:rFonts w:hint="eastAsia" w:ascii="仿宋_GB2312" w:eastAsia="仿宋_GB2312" w:cs="仿宋_GB2312"/>
          <w:sz w:val="30"/>
          <w:szCs w:val="30"/>
          <w:u w:val="none"/>
          <w:lang w:eastAsia="zh-CN"/>
        </w:rPr>
        <w:t>收解决疑难信访问题中央补助资金</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社会保障和就业支出（类）行政事业单位养老支出（款）机关事业单位基本养老保险缴费支出（项）年初预算为538563元，支出决算为637205.76元，完成年初预算数的</w:t>
      </w:r>
      <w:r>
        <w:rPr>
          <w:rFonts w:hint="eastAsia" w:ascii="仿宋_GB2312" w:eastAsia="仿宋_GB2312" w:cs="仿宋_GB2312"/>
          <w:sz w:val="30"/>
          <w:szCs w:val="30"/>
          <w:u w:val="none"/>
          <w:lang w:val="en-US" w:eastAsia="zh-CN"/>
        </w:rPr>
        <w:t>118.32</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社会保障和就业支出（类）行政事业单位养老支出（款）机关事业单位职业年金缴费支出（项）年初预算为269281</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08元，支出决算为318602.88元，完成年初预算数的</w:t>
      </w:r>
      <w:r>
        <w:rPr>
          <w:rFonts w:hint="eastAsia" w:ascii="仿宋_GB2312" w:eastAsia="仿宋_GB2312" w:cs="仿宋_GB2312"/>
          <w:sz w:val="30"/>
          <w:szCs w:val="30"/>
          <w:u w:val="none"/>
          <w:lang w:val="en-US" w:eastAsia="zh-CN"/>
        </w:rPr>
        <w:t>118.32</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卫生健康支出（类）行政事业单位医疗（款）行政单位医疗（项）年初预算为336602</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16元，支出决算为342655.60元，完成年初预算数的</w:t>
      </w:r>
      <w:r>
        <w:rPr>
          <w:rFonts w:hint="eastAsia" w:ascii="仿宋_GB2312" w:eastAsia="仿宋_GB2312" w:cs="仿宋_GB2312"/>
          <w:sz w:val="30"/>
          <w:szCs w:val="30"/>
          <w:u w:val="none"/>
          <w:lang w:val="en-US" w:eastAsia="zh-CN"/>
        </w:rPr>
        <w:t>101.8</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卫生健康支出（类）行政事业单位医疗（款）公务员医疗补助（项）年初预算为134640</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96元，支出决算为62837.66元，完成年初预算数的</w:t>
      </w:r>
      <w:r>
        <w:rPr>
          <w:rFonts w:hint="eastAsia" w:ascii="仿宋_GB2312" w:eastAsia="仿宋_GB2312" w:cs="仿宋_GB2312"/>
          <w:sz w:val="30"/>
          <w:szCs w:val="30"/>
          <w:u w:val="none"/>
          <w:lang w:val="en-US" w:eastAsia="zh-CN"/>
        </w:rPr>
        <w:t>46.67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城乡社区支出（类）城乡社区管理事务（款）行政运行（项）年初预算为9263806</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71元，支出决算为10173564.94元，完成年初预算数的</w:t>
      </w:r>
      <w:r>
        <w:rPr>
          <w:rFonts w:hint="eastAsia" w:ascii="仿宋_GB2312" w:eastAsia="仿宋_GB2312" w:cs="仿宋_GB2312"/>
          <w:sz w:val="30"/>
          <w:szCs w:val="30"/>
          <w:u w:val="none"/>
          <w:lang w:val="en-US" w:eastAsia="zh-CN"/>
        </w:rPr>
        <w:t>109.82</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城乡社区支出（类）城乡社区公共设施（款）小城镇基础设施建设（项）年初预算为</w:t>
      </w:r>
      <w:r>
        <w:rPr>
          <w:rFonts w:hint="eastAsia" w:ascii="仿宋_GB2312" w:eastAsia="仿宋_GB2312" w:cs="仿宋_GB2312"/>
          <w:sz w:val="30"/>
          <w:szCs w:val="30"/>
          <w:u w:val="none"/>
          <w:lang w:val="en-US" w:eastAsia="zh-CN"/>
        </w:rPr>
        <w:t>4891565</w:t>
      </w:r>
      <w:r>
        <w:rPr>
          <w:rFonts w:hint="eastAsia" w:ascii="仿宋_GB2312" w:eastAsia="仿宋_GB2312" w:cs="仿宋_GB2312"/>
          <w:sz w:val="30"/>
          <w:szCs w:val="30"/>
          <w:u w:val="none"/>
        </w:rPr>
        <w:t>元，支出决算为831331.39元，完成年初预算数的</w:t>
      </w:r>
      <w:r>
        <w:rPr>
          <w:rFonts w:hint="eastAsia" w:ascii="仿宋_GB2312" w:eastAsia="仿宋_GB2312" w:cs="仿宋_GB2312"/>
          <w:sz w:val="30"/>
          <w:szCs w:val="30"/>
          <w:u w:val="none"/>
          <w:lang w:val="en-US" w:eastAsia="zh-CN"/>
        </w:rPr>
        <w:t>17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城乡社区支出（类）其他城乡社区支出（款）其他城乡社区支出（项）年初预算为</w:t>
      </w:r>
      <w:r>
        <w:rPr>
          <w:rFonts w:hint="eastAsia" w:ascii="仿宋_GB2312" w:eastAsia="仿宋_GB2312" w:cs="仿宋_GB2312"/>
          <w:sz w:val="30"/>
          <w:szCs w:val="30"/>
          <w:u w:val="none"/>
          <w:lang w:val="en-US" w:eastAsia="zh-CN"/>
        </w:rPr>
        <w:t>5400000</w:t>
      </w:r>
      <w:r>
        <w:rPr>
          <w:rFonts w:hint="eastAsia" w:ascii="仿宋_GB2312" w:eastAsia="仿宋_GB2312" w:cs="仿宋_GB2312"/>
          <w:sz w:val="30"/>
          <w:szCs w:val="30"/>
          <w:u w:val="none"/>
        </w:rPr>
        <w:t>元，支出决算为179291.00元，完成年初预算数的</w:t>
      </w:r>
      <w:r>
        <w:rPr>
          <w:rFonts w:hint="eastAsia" w:ascii="仿宋_GB2312" w:eastAsia="仿宋_GB2312" w:cs="仿宋_GB2312"/>
          <w:sz w:val="30"/>
          <w:szCs w:val="30"/>
          <w:u w:val="none"/>
          <w:lang w:val="en-US" w:eastAsia="zh-CN"/>
        </w:rPr>
        <w:t>3.32</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住房保障支出（类）保障性安居工程支出（款）农村危房改造（项）年初预算为2024101</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54元，支出决算为1013784.32元，完成年初预算数的</w:t>
      </w:r>
      <w:r>
        <w:rPr>
          <w:rFonts w:hint="eastAsia" w:ascii="仿宋_GB2312" w:eastAsia="仿宋_GB2312" w:cs="仿宋_GB2312"/>
          <w:sz w:val="30"/>
          <w:szCs w:val="30"/>
          <w:u w:val="none"/>
          <w:lang w:val="en-US" w:eastAsia="zh-CN"/>
        </w:rPr>
        <w:t>50.09</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住房保障支出（类）保障性安居工程支出（款）公共租赁住房（项）年初预算为1243878</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元，支出决算为11778083.59元，完成年初预算数的</w:t>
      </w:r>
      <w:r>
        <w:rPr>
          <w:rFonts w:hint="eastAsia" w:ascii="仿宋_GB2312" w:eastAsia="仿宋_GB2312" w:cs="仿宋_GB2312"/>
          <w:sz w:val="30"/>
          <w:szCs w:val="30"/>
          <w:u w:val="none"/>
          <w:lang w:val="en-US" w:eastAsia="zh-CN"/>
        </w:rPr>
        <w:t>94.69</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住房保障支出（类）住房改革支出（款）住房公积金（项）年初预算为598896元，支出决算为626232.00元，完成年初预算数的</w:t>
      </w:r>
      <w:r>
        <w:rPr>
          <w:rFonts w:hint="eastAsia" w:ascii="仿宋_GB2312" w:eastAsia="仿宋_GB2312" w:cs="仿宋_GB2312"/>
          <w:sz w:val="30"/>
          <w:szCs w:val="30"/>
          <w:u w:val="none"/>
          <w:lang w:val="en-US" w:eastAsia="zh-CN"/>
        </w:rPr>
        <w:t>104.56</w:t>
      </w:r>
      <w:r>
        <w:rPr>
          <w:rFonts w:hint="eastAsia" w:ascii="仿宋_GB2312" w:eastAsia="仿宋_GB2312" w:cs="仿宋_GB2312"/>
          <w:sz w:val="30"/>
          <w:szCs w:val="30"/>
          <w:u w:val="none"/>
        </w:rPr>
        <w:t>%，决算数大</w:t>
      </w:r>
      <w:r>
        <w:rPr>
          <w:rFonts w:hint="eastAsia" w:ascii="仿宋_GB2312" w:eastAsia="仿宋_GB2312" w:cs="仿宋_GB2312"/>
          <w:sz w:val="30"/>
          <w:szCs w:val="30"/>
          <w:u w:val="none"/>
          <w:lang w:eastAsia="zh-CN"/>
        </w:rPr>
        <w:t>于</w:t>
      </w:r>
      <w:r>
        <w:rPr>
          <w:rFonts w:hint="eastAsia" w:ascii="仿宋_GB2312" w:eastAsia="仿宋_GB2312" w:cs="仿宋_GB2312"/>
          <w:sz w:val="30"/>
          <w:szCs w:val="30"/>
          <w:u w:val="none"/>
        </w:rPr>
        <w:t>年初预算数的主要原因是</w:t>
      </w:r>
      <w:r>
        <w:rPr>
          <w:rFonts w:hint="eastAsia" w:ascii="仿宋_GB2312" w:eastAsia="仿宋_GB2312" w:cs="仿宋_GB2312"/>
          <w:sz w:val="30"/>
          <w:szCs w:val="30"/>
          <w:u w:val="none"/>
          <w:lang w:eastAsia="zh-CN"/>
        </w:rPr>
        <w:t>人员调动及公积金基数调整</w:t>
      </w:r>
      <w:r>
        <w:rPr>
          <w:rFonts w:hint="eastAsia" w:ascii="仿宋_GB2312" w:eastAsia="仿宋_GB2312" w:cs="仿宋_GB2312"/>
          <w:sz w:val="30"/>
          <w:szCs w:val="30"/>
          <w:u w:val="none"/>
        </w:rPr>
        <w:t>。</w:t>
      </w:r>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灾害防治及应急管理支出（类）消防救援事务（款）一般行政管理事务（项）年初预算为</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元，支出决算为20000.00元，决算数大于年初预算数的主要原因是</w:t>
      </w:r>
      <w:r>
        <w:rPr>
          <w:rFonts w:hint="eastAsia" w:ascii="仿宋_GB2312" w:eastAsia="仿宋_GB2312" w:cs="仿宋_GB2312"/>
          <w:sz w:val="30"/>
          <w:szCs w:val="30"/>
          <w:u w:val="none"/>
          <w:lang w:eastAsia="zh-CN"/>
        </w:rPr>
        <w:t>调增南环路消防站项目</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2" w:name="_Toc10721"/>
      <w:r>
        <w:rPr>
          <w:rFonts w:ascii="黑体" w:hAnsi="黑体" w:eastAsia="黑体"/>
          <w:b w:val="0"/>
          <w:sz w:val="30"/>
          <w:szCs w:val="30"/>
          <w:u w:val="none"/>
        </w:rPr>
        <w:t>六、一般公共预算财政拨款基本支出决算情况</w:t>
      </w:r>
      <w:r>
        <w:rPr>
          <w:rFonts w:hint="eastAsia" w:ascii="黑体" w:hAnsi="黑体" w:eastAsia="黑体"/>
          <w:b w:val="0"/>
          <w:sz w:val="30"/>
          <w:szCs w:val="30"/>
          <w:u w:val="none"/>
        </w:rPr>
        <w:t>说明</w:t>
      </w:r>
      <w:bookmarkEnd w:id="22"/>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年度一般公共预算财政拨款基本支出合计12161098.84元，与2021年度相比增加835225.74元，主要原因是</w:t>
      </w:r>
      <w:r>
        <w:rPr>
          <w:rFonts w:hint="eastAsia" w:ascii="仿宋_GB2312" w:eastAsia="仿宋_GB2312" w:cs="仿宋_GB2312"/>
          <w:sz w:val="30"/>
          <w:szCs w:val="30"/>
          <w:u w:val="none"/>
          <w:lang w:eastAsia="zh-CN"/>
        </w:rPr>
        <w:t>人员调动及基数调整</w:t>
      </w:r>
      <w:r>
        <w:rPr>
          <w:rFonts w:hint="eastAsia" w:ascii="仿宋_GB2312" w:eastAsia="仿宋_GB2312" w:cs="仿宋_GB2312"/>
          <w:sz w:val="30"/>
          <w:szCs w:val="30"/>
          <w:u w:val="none"/>
        </w:rPr>
        <w:t>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人员经费10184716.16元，主要包括基本工资、津贴补贴、奖金、机关事业单位养老保险缴费、职业年金缴费、职工基本医疗保险缴费、公务员医疗补助缴费、其他社会保障缴费、住房公积金、其他工资福利支出、退休费、抚恤金、生活补助；</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公用经费1976382.68元，主要包括办公费、咨询费、手续费、水费、电费、邮电费、物业管理费、差旅费、维修（护）费、委托物业费、工会经费、福利费、其他交通费用、其他商品和服务支出、办公设备购置。</w:t>
      </w:r>
    </w:p>
    <w:p>
      <w:pPr>
        <w:pStyle w:val="3"/>
        <w:spacing w:before="0" w:after="0" w:line="600" w:lineRule="exact"/>
        <w:ind w:firstLine="600" w:firstLineChars="200"/>
        <w:rPr>
          <w:rFonts w:ascii="楷体" w:hAnsi="楷体" w:eastAsia="楷体" w:cs="仿宋_GB2312"/>
          <w:b w:val="0"/>
          <w:sz w:val="30"/>
          <w:szCs w:val="30"/>
          <w:u w:val="none"/>
        </w:rPr>
      </w:pPr>
      <w:bookmarkStart w:id="23" w:name="_Toc17918"/>
      <w:r>
        <w:rPr>
          <w:rFonts w:hint="eastAsia" w:ascii="黑体" w:hAnsi="黑体" w:eastAsia="黑体"/>
          <w:b w:val="0"/>
          <w:sz w:val="30"/>
          <w:szCs w:val="30"/>
          <w:u w:val="none"/>
        </w:rPr>
        <w:t>七</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收支决算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3"/>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本级）2022年度政府性基金预算财政拨款年初结转和结余353198425.10元，收入2179630194.00元，支出2532828619.10元，年末结转和结余0.00元。与2021年度相比，政府性基金预算财政拨款支出增加1627008229.73元，增长179.62%，主要原因是</w:t>
      </w:r>
      <w:bookmarkStart w:id="32" w:name="_GoBack"/>
      <w:bookmarkEnd w:id="32"/>
      <w:r>
        <w:rPr>
          <w:rFonts w:hint="eastAsia" w:eastAsia="仿宋_GB2312"/>
          <w:sz w:val="30"/>
          <w:szCs w:val="30"/>
          <w:u w:val="none"/>
          <w:lang w:eastAsia="zh-CN"/>
        </w:rPr>
        <w:t>新增国家会展中心二期项目等专项债券项目支出</w:t>
      </w:r>
      <w:r>
        <w:rPr>
          <w:rFonts w:hint="eastAsia" w:ascii="仿宋_GB2312" w:eastAsia="仿宋_GB2312" w:cs="仿宋_GB2312"/>
          <w:sz w:val="30"/>
          <w:szCs w:val="30"/>
          <w:u w:val="none"/>
        </w:rPr>
        <w:t>。</w:t>
      </w:r>
    </w:p>
    <w:p>
      <w:pPr>
        <w:pStyle w:val="3"/>
        <w:spacing w:before="0" w:after="0" w:line="600" w:lineRule="exact"/>
        <w:ind w:firstLine="600" w:firstLineChars="200"/>
        <w:rPr>
          <w:rFonts w:eastAsia="黑体"/>
          <w:b w:val="0"/>
          <w:sz w:val="30"/>
          <w:szCs w:val="30"/>
          <w:u w:val="none"/>
        </w:rPr>
      </w:pPr>
      <w:bookmarkStart w:id="24" w:name="_Toc23897"/>
      <w:r>
        <w:rPr>
          <w:rFonts w:hint="eastAsia" w:eastAsia="黑体"/>
          <w:b w:val="0"/>
          <w:sz w:val="30"/>
          <w:szCs w:val="30"/>
          <w:u w:val="none"/>
        </w:rPr>
        <w:t>八、国有资本经营预算财政拨款收支决算情况</w:t>
      </w:r>
      <w:r>
        <w:rPr>
          <w:rFonts w:hint="eastAsia" w:ascii="黑体" w:hAnsi="黑体" w:eastAsia="黑体"/>
          <w:b w:val="0"/>
          <w:bCs w:val="0"/>
          <w:sz w:val="30"/>
          <w:szCs w:val="30"/>
          <w:u w:val="none"/>
        </w:rPr>
        <w:t>说明</w:t>
      </w:r>
      <w:bookmarkEnd w:id="24"/>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天津市津南区住房和建设委员会（本级）2022年度无国有资本经营预算财政拨款收入、支出和结转结余。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u w:val="none"/>
        </w:rPr>
      </w:pPr>
      <w:bookmarkStart w:id="25" w:name="_Toc4518"/>
      <w:r>
        <w:rPr>
          <w:rFonts w:hint="eastAsia" w:ascii="黑体" w:hAnsi="黑体" w:eastAsia="黑体"/>
          <w:b w:val="0"/>
          <w:sz w:val="30"/>
          <w:szCs w:val="30"/>
          <w:u w:val="none"/>
        </w:rPr>
        <w:t>九、</w:t>
      </w:r>
      <w:r>
        <w:rPr>
          <w:rFonts w:ascii="黑体" w:hAnsi="黑体" w:eastAsia="黑体"/>
          <w:b w:val="0"/>
          <w:sz w:val="30"/>
          <w:szCs w:val="30"/>
          <w:u w:val="none"/>
        </w:rPr>
        <w:t>一般公共预算财政拨款“三公”经费</w:t>
      </w:r>
      <w:r>
        <w:rPr>
          <w:rFonts w:hint="eastAsia" w:ascii="黑体" w:hAnsi="黑体" w:eastAsia="黑体"/>
          <w:b w:val="0"/>
          <w:sz w:val="30"/>
          <w:szCs w:val="30"/>
          <w:u w:val="none"/>
        </w:rPr>
        <w:t>支出决算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5"/>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（一）总体情况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年一般公共预算财政拨款“三公”经费预算0.00元，支出决算0.00元（去年同期0.00元），支出决算与</w:t>
      </w:r>
      <w:r>
        <w:rPr>
          <w:rFonts w:hint="eastAsia" w:eastAsia="楷体"/>
          <w:sz w:val="30"/>
          <w:szCs w:val="30"/>
          <w:u w:val="none"/>
        </w:rPr>
        <w:t>2022</w:t>
      </w:r>
      <w:r>
        <w:rPr>
          <w:rFonts w:hint="eastAsia" w:ascii="仿宋_GB2312" w:eastAsia="仿宋_GB2312" w:cs="仿宋_GB2312"/>
          <w:sz w:val="30"/>
          <w:szCs w:val="30"/>
          <w:u w:val="none"/>
        </w:rPr>
        <w:t>年预算相比持平；支出决算较上年持平。因本年及去年同期均未使用一般公共预算财政拨款列支“三公”经费，故本年支出决算与本年预算、上年支出决算均持平为0。</w:t>
      </w:r>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（二）具体情况</w:t>
      </w:r>
    </w:p>
    <w:p>
      <w:pPr>
        <w:spacing w:line="600" w:lineRule="exact"/>
        <w:ind w:firstLine="600" w:firstLineChars="200"/>
        <w:jc w:val="both"/>
        <w:rPr>
          <w:rFonts w:eastAsia="仿宋_GB2312"/>
          <w:sz w:val="30"/>
          <w:szCs w:val="30"/>
          <w:u w:val="none"/>
        </w:rPr>
      </w:pPr>
      <w:r>
        <w:rPr>
          <w:rFonts w:hint="eastAsia" w:eastAsia="仿宋_GB2312"/>
          <w:sz w:val="30"/>
          <w:szCs w:val="30"/>
          <w:u w:val="none"/>
        </w:rPr>
        <w:t>1.</w:t>
      </w:r>
      <w:r>
        <w:rPr>
          <w:rFonts w:hint="eastAsia" w:ascii="仿宋_GB2312" w:eastAsia="仿宋_GB2312" w:cs="仿宋_GB2312"/>
          <w:sz w:val="30"/>
          <w:szCs w:val="30"/>
          <w:u w:val="none"/>
        </w:rPr>
        <w:t>因公出国（境）费预算0.00元，支出决算0.00元（去年同期0.00元），支出决算与预算相比持平；支出决算较上年持平。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u w:val="none"/>
        </w:rPr>
        <w:t>年本单位组织的出国团组0个，出国0人次。</w:t>
      </w:r>
    </w:p>
    <w:p>
      <w:pPr>
        <w:spacing w:line="600" w:lineRule="exact"/>
        <w:ind w:firstLine="600" w:firstLineChars="200"/>
        <w:jc w:val="both"/>
        <w:rPr>
          <w:rFonts w:eastAsia="仿宋_GB2312"/>
          <w:sz w:val="30"/>
          <w:szCs w:val="30"/>
          <w:u w:val="none"/>
        </w:rPr>
      </w:pPr>
      <w:r>
        <w:rPr>
          <w:rFonts w:hint="eastAsia" w:eastAsia="仿宋_GB2312"/>
          <w:sz w:val="30"/>
          <w:szCs w:val="30"/>
          <w:u w:val="none"/>
        </w:rPr>
        <w:t>2.</w:t>
      </w:r>
      <w:r>
        <w:rPr>
          <w:rFonts w:hint="eastAsia" w:ascii="仿宋_GB2312" w:eastAsia="仿宋_GB2312" w:cs="仿宋_GB2312"/>
          <w:sz w:val="30"/>
          <w:szCs w:val="30"/>
          <w:u w:val="none"/>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运行维护费预算0.00元，支出决算0.00元（去年同期0.00元），支出决算与预算相比持平；支出决算较上年持平。因本年及去年同期均未使用一般公共预算财政拨款列支“公务用车运行维护费”经费，故本年支出决算与本年预算、上年支出决算均持平为0。截至2022年12月31日，使用</w:t>
      </w:r>
      <w:r>
        <w:rPr>
          <w:rFonts w:hint="eastAsia" w:eastAsia="仿宋_GB2312"/>
          <w:sz w:val="30"/>
          <w:szCs w:val="30"/>
          <w:u w:val="none"/>
        </w:rPr>
        <w:t>一般公共预算</w:t>
      </w:r>
      <w:r>
        <w:rPr>
          <w:rFonts w:hint="eastAsia" w:ascii="仿宋_GB2312" w:eastAsia="仿宋_GB2312" w:cs="仿宋_GB2312"/>
          <w:sz w:val="30"/>
          <w:szCs w:val="30"/>
          <w:u w:val="none"/>
        </w:rPr>
        <w:t>财政拨款开支运行维护费的公务用车保有量为0辆。</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公务用车购置费预算0.00元，支出决算0.00元（去年同期</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u w:val="none"/>
        </w:rPr>
      </w:pPr>
      <w:r>
        <w:rPr>
          <w:rFonts w:hint="eastAsia" w:eastAsia="仿宋_GB2312"/>
          <w:sz w:val="30"/>
          <w:szCs w:val="30"/>
          <w:u w:val="none"/>
        </w:rPr>
        <w:t>3.</w:t>
      </w:r>
      <w:r>
        <w:rPr>
          <w:rFonts w:hint="eastAsia" w:ascii="仿宋_GB2312" w:eastAsia="仿宋_GB2312" w:cs="仿宋_GB2312"/>
          <w:sz w:val="30"/>
          <w:szCs w:val="30"/>
          <w:u w:val="none"/>
        </w:rPr>
        <w:t>公务接待费预算0.00元，支出决算0.00元（去年同期0.00元），支出决算与预算相比持平；支出决算较上年持平。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u w:val="none"/>
        </w:rPr>
        <w:t>年本单位国内公务接待0批</w:t>
      </w:r>
      <w:r>
        <w:rPr>
          <w:rFonts w:hint="eastAsia" w:eastAsia="仿宋_GB2312" w:cs="仿宋_GB2312"/>
          <w:sz w:val="30"/>
          <w:szCs w:val="30"/>
          <w:u w:val="none"/>
        </w:rPr>
        <w:t>次，</w:t>
      </w:r>
      <w:r>
        <w:rPr>
          <w:rFonts w:hint="eastAsia" w:ascii="仿宋_GB2312" w:eastAsia="仿宋_GB2312" w:cs="仿宋_GB2312"/>
          <w:sz w:val="30"/>
          <w:szCs w:val="30"/>
          <w:u w:val="none"/>
        </w:rPr>
        <w:t>0</w:t>
      </w:r>
      <w:r>
        <w:rPr>
          <w:rFonts w:hint="eastAsia" w:eastAsia="仿宋_GB2312" w:cs="仿宋_GB2312"/>
          <w:sz w:val="30"/>
          <w:szCs w:val="30"/>
          <w:u w:val="none"/>
        </w:rPr>
        <w:t>人次；其中，外事接待</w:t>
      </w:r>
      <w:r>
        <w:rPr>
          <w:rFonts w:hint="eastAsia" w:ascii="仿宋_GB2312" w:eastAsia="仿宋_GB2312" w:cs="仿宋_GB2312"/>
          <w:sz w:val="30"/>
          <w:szCs w:val="30"/>
          <w:u w:val="none"/>
        </w:rPr>
        <w:t>0</w:t>
      </w:r>
      <w:r>
        <w:rPr>
          <w:rFonts w:hint="eastAsia" w:eastAsia="仿宋_GB2312" w:cs="仿宋_GB2312"/>
          <w:sz w:val="30"/>
          <w:szCs w:val="30"/>
          <w:u w:val="none"/>
        </w:rPr>
        <w:t>批次，</w:t>
      </w:r>
      <w:r>
        <w:rPr>
          <w:rFonts w:hint="eastAsia" w:ascii="仿宋_GB2312" w:eastAsia="仿宋_GB2312" w:cs="仿宋_GB2312"/>
          <w:sz w:val="30"/>
          <w:szCs w:val="30"/>
          <w:u w:val="none"/>
        </w:rPr>
        <w:t>0</w:t>
      </w:r>
      <w:r>
        <w:rPr>
          <w:rFonts w:hint="eastAsia" w:eastAsia="仿宋_GB2312" w:cs="仿宋_GB2312"/>
          <w:sz w:val="30"/>
          <w:szCs w:val="30"/>
          <w:u w:val="none"/>
        </w:rPr>
        <w:t>人次。</w:t>
      </w:r>
    </w:p>
    <w:p>
      <w:pPr>
        <w:pStyle w:val="3"/>
        <w:spacing w:before="0" w:after="0" w:line="600" w:lineRule="exact"/>
        <w:ind w:firstLine="600" w:firstLineChars="200"/>
        <w:rPr>
          <w:rFonts w:ascii="黑体" w:hAnsi="黑体" w:eastAsia="黑体"/>
          <w:b w:val="0"/>
          <w:sz w:val="30"/>
          <w:szCs w:val="30"/>
          <w:u w:val="none"/>
        </w:rPr>
      </w:pPr>
      <w:bookmarkStart w:id="26" w:name="_Toc3411"/>
      <w:r>
        <w:rPr>
          <w:rFonts w:hint="eastAsia" w:ascii="黑体" w:hAnsi="黑体" w:eastAsia="黑体"/>
          <w:b w:val="0"/>
          <w:sz w:val="30"/>
          <w:szCs w:val="30"/>
          <w:u w:val="none"/>
        </w:rPr>
        <w:t>十、</w:t>
      </w:r>
      <w:r>
        <w:rPr>
          <w:rFonts w:ascii="黑体" w:hAnsi="黑体" w:eastAsia="黑体"/>
          <w:b w:val="0"/>
          <w:sz w:val="30"/>
          <w:szCs w:val="30"/>
          <w:u w:val="none"/>
        </w:rPr>
        <w:t>机关运行经费</w:t>
      </w:r>
      <w:r>
        <w:rPr>
          <w:rFonts w:hint="eastAsia" w:ascii="黑体" w:hAnsi="黑体" w:eastAsia="黑体"/>
          <w:b w:val="0"/>
          <w:sz w:val="30"/>
          <w:szCs w:val="30"/>
          <w:u w:val="none"/>
        </w:rPr>
        <w:t>支出情况</w:t>
      </w:r>
      <w:r>
        <w:rPr>
          <w:rFonts w:hint="eastAsia" w:ascii="黑体" w:hAnsi="黑体" w:eastAsia="黑体"/>
          <w:b w:val="0"/>
          <w:bCs w:val="0"/>
          <w:sz w:val="30"/>
          <w:szCs w:val="30"/>
          <w:u w:val="none"/>
        </w:rPr>
        <w:t>说明</w:t>
      </w:r>
      <w:bookmarkEnd w:id="26"/>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机关运行经费是指行政单位和参照公务员法管理的事业单位使用一般公共预算财政拨款安排的基本支出中的日常公用经费支出，天津市津南区住房和建设委员会（本级）2022年度机关运行经费决算数1976382.68元，比2021年减少77482.33元，下降3.77%，主要原因是</w:t>
      </w:r>
      <w:r>
        <w:rPr>
          <w:rFonts w:hint="eastAsia" w:ascii="仿宋_GB2312" w:eastAsia="仿宋_GB2312" w:cs="仿宋_GB2312"/>
          <w:sz w:val="30"/>
          <w:szCs w:val="30"/>
          <w:u w:val="none"/>
          <w:lang w:eastAsia="zh-CN"/>
        </w:rPr>
        <w:t>压减机关运行经费支出</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7" w:name="_Toc31102"/>
      <w:r>
        <w:rPr>
          <w:rFonts w:hint="eastAsia" w:ascii="黑体" w:hAnsi="黑体" w:eastAsia="黑体"/>
          <w:b w:val="0"/>
          <w:sz w:val="30"/>
          <w:szCs w:val="30"/>
          <w:u w:val="none"/>
        </w:rPr>
        <w:t>十一、</w:t>
      </w:r>
      <w:r>
        <w:rPr>
          <w:rFonts w:ascii="黑体" w:hAnsi="黑体" w:eastAsia="黑体"/>
          <w:b w:val="0"/>
          <w:sz w:val="30"/>
          <w:szCs w:val="30"/>
          <w:u w:val="none"/>
        </w:rPr>
        <w:t>政府采购</w:t>
      </w:r>
      <w:r>
        <w:rPr>
          <w:rFonts w:hint="eastAsia" w:ascii="黑体" w:hAnsi="黑体" w:eastAsia="黑体"/>
          <w:b w:val="0"/>
          <w:sz w:val="30"/>
          <w:szCs w:val="30"/>
          <w:u w:val="none"/>
        </w:rPr>
        <w:t>支出</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7"/>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本级）2022年政府采购支出总额2663100.00元，其中：政府采购货物支出176100.00元、政府采购工程支出0.00元、政府采购服务支出2487000.00元。授予中小企业合同金额2663100.00元，占政府采购支出总额的100.00%，其中：授予小微企业合同金额2663100.00元，占政府采购支出总额的100.00%；货物采购授予中小企业合同金额占货物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%，工程采购授予中小企业合同金额占工程支出金额的</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%，服务采购授予中小企业合同金额占服务支出金额的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8" w:name="_Toc23709"/>
      <w:r>
        <w:rPr>
          <w:rFonts w:hint="eastAsia" w:ascii="黑体" w:hAnsi="黑体" w:eastAsia="黑体"/>
          <w:b w:val="0"/>
          <w:sz w:val="30"/>
          <w:szCs w:val="30"/>
          <w:u w:val="none"/>
        </w:rPr>
        <w:t>十二、国有资产占有使用情况</w:t>
      </w:r>
      <w:r>
        <w:rPr>
          <w:rFonts w:hint="eastAsia" w:ascii="黑体" w:hAnsi="黑体" w:eastAsia="黑体"/>
          <w:b w:val="0"/>
          <w:bCs w:val="0"/>
          <w:sz w:val="30"/>
          <w:szCs w:val="30"/>
          <w:u w:val="none"/>
        </w:rPr>
        <w:t>说明</w:t>
      </w:r>
      <w:bookmarkEnd w:id="28"/>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截至2022年12月31日，天津市津南区住房和建设委员会（本级）共有车辆25辆，其中：副部（省）级及以上领导用车0辆、主要领导干部用车0辆、机要通信车0辆、应急保障用车0辆、执法执勤用车0辆、特种专业技术用车0辆、离退休干部用车0辆、其他用车25辆。单价100万元以上的专用设备0台（套）。</w:t>
      </w:r>
    </w:p>
    <w:p>
      <w:pPr>
        <w:pStyle w:val="3"/>
        <w:spacing w:before="0" w:after="0" w:line="540" w:lineRule="exact"/>
        <w:ind w:firstLine="600" w:firstLineChars="200"/>
        <w:rPr>
          <w:rFonts w:ascii="黑体" w:hAnsi="黑体" w:eastAsia="黑体"/>
          <w:b w:val="0"/>
          <w:bCs w:val="0"/>
          <w:sz w:val="30"/>
          <w:szCs w:val="30"/>
          <w:u w:val="none"/>
        </w:rPr>
      </w:pPr>
      <w:bookmarkStart w:id="29" w:name="_Toc11467"/>
      <w:r>
        <w:rPr>
          <w:rFonts w:hint="eastAsia" w:ascii="黑体" w:hAnsi="黑体" w:eastAsia="黑体"/>
          <w:b w:val="0"/>
          <w:bCs w:val="0"/>
          <w:sz w:val="30"/>
          <w:szCs w:val="30"/>
          <w:u w:val="none"/>
        </w:rPr>
        <w:t>十三、预算绩效情况说明</w:t>
      </w:r>
      <w:bookmarkEnd w:id="29"/>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u w:val="none"/>
        </w:rPr>
      </w:pPr>
      <w:r>
        <w:rPr>
          <w:rFonts w:eastAsia="仿宋_GB2312"/>
          <w:sz w:val="30"/>
          <w:szCs w:val="30"/>
          <w:u w:val="none"/>
        </w:rPr>
        <w:t>根据预算绩效管理要求，</w:t>
      </w:r>
      <w:r>
        <w:rPr>
          <w:rFonts w:hint="eastAsia" w:ascii="仿宋_GB2312" w:eastAsia="仿宋_GB2312" w:cs="仿宋_GB2312"/>
          <w:sz w:val="30"/>
          <w:szCs w:val="30"/>
          <w:u w:val="none"/>
        </w:rPr>
        <w:t>天津市津南区住房和建设委员会（本级）</w:t>
      </w:r>
      <w:r>
        <w:rPr>
          <w:rFonts w:hint="eastAsia" w:eastAsia="楷体"/>
          <w:sz w:val="30"/>
          <w:szCs w:val="30"/>
          <w:u w:val="none"/>
        </w:rPr>
        <w:t>2022</w:t>
      </w:r>
      <w:r>
        <w:rPr>
          <w:rFonts w:hint="eastAsia" w:ascii="仿宋_GB2312" w:eastAsia="仿宋_GB2312" w:cs="仿宋_GB2312"/>
          <w:sz w:val="30"/>
          <w:szCs w:val="30"/>
          <w:u w:val="none"/>
        </w:rPr>
        <w:t>年度已</w:t>
      </w:r>
      <w:r>
        <w:rPr>
          <w:rFonts w:hint="eastAsia" w:eastAsia="仿宋_GB2312"/>
          <w:sz w:val="30"/>
          <w:szCs w:val="30"/>
          <w:u w:val="none"/>
        </w:rPr>
        <w:t>对</w:t>
      </w:r>
      <w:r>
        <w:rPr>
          <w:rFonts w:hint="eastAsia" w:eastAsia="仿宋_GB2312"/>
          <w:sz w:val="30"/>
          <w:szCs w:val="30"/>
          <w:u w:val="none"/>
          <w:lang w:val="en-US" w:eastAsia="zh-CN"/>
        </w:rPr>
        <w:t>20</w:t>
      </w:r>
      <w:r>
        <w:rPr>
          <w:rFonts w:eastAsia="仿宋_GB2312"/>
          <w:sz w:val="30"/>
          <w:szCs w:val="30"/>
          <w:u w:val="none"/>
        </w:rPr>
        <w:t>个</w:t>
      </w:r>
      <w:r>
        <w:rPr>
          <w:rFonts w:hint="eastAsia" w:eastAsia="仿宋_GB2312"/>
          <w:sz w:val="30"/>
          <w:szCs w:val="30"/>
          <w:u w:val="none"/>
        </w:rPr>
        <w:t>区级</w:t>
      </w:r>
      <w:r>
        <w:rPr>
          <w:rFonts w:eastAsia="仿宋_GB2312"/>
          <w:sz w:val="30"/>
          <w:szCs w:val="30"/>
          <w:u w:val="none"/>
        </w:rPr>
        <w:t>项目开展绩效自评，涉及金额</w:t>
      </w:r>
      <w:r>
        <w:rPr>
          <w:rFonts w:hint="eastAsia" w:eastAsia="仿宋_GB2312"/>
          <w:sz w:val="30"/>
          <w:szCs w:val="30"/>
          <w:u w:val="none"/>
          <w:lang w:val="en-US" w:eastAsia="zh-CN"/>
        </w:rPr>
        <w:t>2552043000</w:t>
      </w:r>
      <w:r>
        <w:rPr>
          <w:rFonts w:eastAsia="仿宋_GB2312"/>
          <w:sz w:val="30"/>
          <w:szCs w:val="30"/>
          <w:u w:val="none"/>
        </w:rPr>
        <w:t>元</w:t>
      </w:r>
      <w:r>
        <w:rPr>
          <w:rFonts w:hint="eastAsia" w:eastAsia="仿宋_GB2312"/>
          <w:sz w:val="30"/>
          <w:szCs w:val="30"/>
          <w:u w:val="none"/>
        </w:rPr>
        <w:t>，自评结果已随部门决算一并公开。</w:t>
      </w:r>
    </w:p>
    <w:p>
      <w:pPr>
        <w:pStyle w:val="3"/>
        <w:spacing w:before="0" w:after="0" w:line="600" w:lineRule="exact"/>
        <w:ind w:firstLine="600" w:firstLineChars="200"/>
        <w:rPr>
          <w:rFonts w:ascii="Times New Roman" w:hAnsi="Times New Roman" w:eastAsia="黑体"/>
          <w:b w:val="0"/>
          <w:sz w:val="30"/>
          <w:szCs w:val="30"/>
          <w:u w:val="none"/>
        </w:rPr>
      </w:pPr>
      <w:bookmarkStart w:id="30" w:name="_Toc15949"/>
      <w:r>
        <w:rPr>
          <w:rFonts w:hint="eastAsia" w:ascii="Times New Roman" w:hAnsi="Times New Roman" w:eastAsia="黑体"/>
          <w:b w:val="0"/>
          <w:sz w:val="30"/>
          <w:szCs w:val="30"/>
          <w:u w:val="none"/>
        </w:rPr>
        <w:t>十四、</w:t>
      </w:r>
      <w:r>
        <w:rPr>
          <w:rFonts w:ascii="Times New Roman" w:hAnsi="Times New Roman" w:eastAsia="黑体"/>
          <w:b w:val="0"/>
          <w:sz w:val="30"/>
          <w:szCs w:val="30"/>
          <w:u w:val="none"/>
        </w:rPr>
        <w:t>教育、医疗卫生、社会保障和就业、住房保障、涉农补贴等民生支出情况</w:t>
      </w:r>
      <w:r>
        <w:rPr>
          <w:rFonts w:hint="eastAsia" w:ascii="黑体" w:hAnsi="黑体" w:eastAsia="黑体"/>
          <w:b w:val="0"/>
          <w:bCs w:val="0"/>
          <w:sz w:val="30"/>
          <w:szCs w:val="30"/>
          <w:u w:val="none"/>
        </w:rPr>
        <w:t>说明</w:t>
      </w:r>
      <w:bookmarkEnd w:id="30"/>
    </w:p>
    <w:p>
      <w:pPr>
        <w:spacing w:line="600" w:lineRule="exact"/>
        <w:ind w:firstLine="645"/>
        <w:jc w:val="both"/>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天津市津南区住房和建设委员会（本级）不属于乡、镇、街级单位，不涉及公开2022年度教育、医疗卫生、社会保障和就业、住房保障、涉农补贴等民生支出情况。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u w:val="none"/>
        </w:rPr>
      </w:pPr>
      <w:bookmarkStart w:id="31" w:name="_Toc30612"/>
      <w:r>
        <w:rPr>
          <w:rFonts w:hint="eastAsia" w:ascii="方正小标宋简体" w:hAnsi="方正小标宋简体" w:eastAsia="方正小标宋简体" w:cs="方正小标宋简体"/>
          <w:b w:val="0"/>
          <w:u w:val="none"/>
        </w:rPr>
        <w:t>第四部分名词解释</w:t>
      </w:r>
      <w:bookmarkEnd w:id="31"/>
    </w:p>
    <w:p>
      <w:pPr>
        <w:spacing w:line="600" w:lineRule="exact"/>
        <w:ind w:firstLine="600" w:firstLineChars="200"/>
        <w:rPr>
          <w:rFonts w:ascii="仿宋_GB2312" w:eastAsia="仿宋_GB2312"/>
          <w:sz w:val="30"/>
          <w:szCs w:val="30"/>
          <w:u w:val="none"/>
        </w:rPr>
      </w:pPr>
    </w:p>
    <w:p>
      <w:pPr>
        <w:numPr>
          <w:ilvl w:val="0"/>
          <w:numId w:val="3"/>
        </w:numPr>
        <w:spacing w:line="600" w:lineRule="exact"/>
        <w:ind w:firstLine="600" w:firstLineChars="200"/>
        <w:rPr>
          <w:rFonts w:eastAsia="仿宋_GB2312"/>
          <w:sz w:val="30"/>
          <w:szCs w:val="30"/>
          <w:u w:val="none"/>
        </w:rPr>
      </w:pPr>
      <w:r>
        <w:rPr>
          <w:rFonts w:hint="eastAsia" w:eastAsia="仿宋_GB2312"/>
          <w:sz w:val="30"/>
          <w:szCs w:val="30"/>
          <w:u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u w:val="none"/>
        </w:rPr>
      </w:pPr>
      <w:r>
        <w:rPr>
          <w:rFonts w:hint="eastAsia" w:eastAsia="仿宋_GB2312"/>
          <w:sz w:val="30"/>
          <w:szCs w:val="30"/>
          <w:u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u w:val="none"/>
        </w:rPr>
      </w:pPr>
      <w:r>
        <w:rPr>
          <w:rFonts w:hint="eastAsia" w:eastAsia="仿宋_GB2312"/>
          <w:sz w:val="30"/>
          <w:szCs w:val="30"/>
          <w:u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u w:val="none"/>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8153C"/>
    <w:rsid w:val="004918AD"/>
    <w:rsid w:val="004A1361"/>
    <w:rsid w:val="0050332F"/>
    <w:rsid w:val="00532C4C"/>
    <w:rsid w:val="00570354"/>
    <w:rsid w:val="005B60DB"/>
    <w:rsid w:val="005C22AF"/>
    <w:rsid w:val="005D0A70"/>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8744A9"/>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CC2DAB"/>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055854"/>
    <w:rsid w:val="181D0AF6"/>
    <w:rsid w:val="18E12A26"/>
    <w:rsid w:val="1903082C"/>
    <w:rsid w:val="1A2F34CF"/>
    <w:rsid w:val="1B0B6786"/>
    <w:rsid w:val="1BCC4E67"/>
    <w:rsid w:val="1BE24A05"/>
    <w:rsid w:val="1C0C6539"/>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3FF13A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DB2EAD"/>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3725B1B"/>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DD42CBC"/>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776447"/>
    <w:rsid w:val="61E56E86"/>
    <w:rsid w:val="621870FC"/>
    <w:rsid w:val="62DA2A3D"/>
    <w:rsid w:val="637B3A8F"/>
    <w:rsid w:val="639503AE"/>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74D51"/>
    <w:rsid w:val="6E2E2D6D"/>
    <w:rsid w:val="6E3F51B6"/>
    <w:rsid w:val="6E460B96"/>
    <w:rsid w:val="6EA82131"/>
    <w:rsid w:val="6F046708"/>
    <w:rsid w:val="6F68529E"/>
    <w:rsid w:val="6FB410D2"/>
    <w:rsid w:val="6FC54BEF"/>
    <w:rsid w:val="6FD36980"/>
    <w:rsid w:val="706921FA"/>
    <w:rsid w:val="70B22C23"/>
    <w:rsid w:val="71411B5D"/>
    <w:rsid w:val="719931E1"/>
    <w:rsid w:val="719A3B42"/>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CF3BE58D"/>
    <w:rsid w:val="D74FDF30"/>
    <w:rsid w:val="DEAEE68D"/>
    <w:rsid w:val="E3FB15B7"/>
    <w:rsid w:val="F7F97754"/>
    <w:rsid w:val="FB7FC3E7"/>
    <w:rsid w:val="FBDF6D54"/>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1239</Words>
  <Characters>7064</Characters>
  <Lines>58</Lines>
  <Paragraphs>16</Paragraphs>
  <TotalTime>170</TotalTime>
  <ScaleCrop>false</ScaleCrop>
  <LinksUpToDate>false</LinksUpToDate>
  <CharactersWithSpaces>8287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2019-07-28T10:37:00Z</dcterms:created>
  <dc:creator>Administrator</dc:creator>
  <cp:lastModifiedBy>侯亚琪</cp:lastModifiedBy>
  <cp:lastPrinted>2012-09-19T22:00:00Z</cp:lastPrinted>
  <dcterms:modified xsi:type="dcterms:W3CDTF">2023-10-11T06:00:26Z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90D74AD8847844C8B6B3F08FF3278CF3_13</vt:lpwstr>
  </property>
</Properties>
</file>