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ascii="仿宋_GB2312" w:hAnsi="华文中宋"/>
          <w:bCs/>
          <w:sz w:val="36"/>
          <w:szCs w:val="44"/>
        </w:rPr>
      </w:pPr>
    </w:p>
    <w:p>
      <w:pPr>
        <w:pStyle w:val="2"/>
      </w:pP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2022年中央财政支持住房租赁市场发展试点资金</w:t>
      </w:r>
      <w:r>
        <w:rPr>
          <w:rFonts w:hint="eastAsia" w:ascii="方正小标宋简体" w:hAnsi="方正小标宋简体" w:eastAsia="方正小标宋简体" w:cs="方正小标宋简体"/>
          <w:b w:val="0"/>
          <w:bCs/>
          <w:sz w:val="44"/>
          <w:szCs w:val="44"/>
        </w:rPr>
        <w:t>20</w:t>
      </w:r>
      <w:r>
        <w:rPr>
          <w:rFonts w:hint="eastAsia" w:ascii="方正小标宋简体" w:hAnsi="方正小标宋简体" w:eastAsia="方正小标宋简体" w:cs="方正小标宋简体"/>
          <w:b w:val="0"/>
          <w:bCs/>
          <w:sz w:val="44"/>
          <w:szCs w:val="44"/>
          <w:lang w:val="en-US" w:eastAsia="zh-CN"/>
        </w:rPr>
        <w:t>23</w:t>
      </w:r>
      <w:r>
        <w:rPr>
          <w:rFonts w:hint="eastAsia" w:ascii="方正小标宋简体" w:hAnsi="方正小标宋简体" w:eastAsia="方正小标宋简体" w:cs="方正小标宋简体"/>
          <w:b w:val="0"/>
          <w:bCs/>
          <w:sz w:val="44"/>
          <w:szCs w:val="44"/>
        </w:rPr>
        <w:t>年度绩效</w:t>
      </w: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自评报告</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黑体" w:hAnsi="黑体" w:eastAsia="黑体" w:cs="黑体"/>
          <w:bCs/>
          <w:szCs w:val="32"/>
        </w:rPr>
      </w:pP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sz w:val="32"/>
          <w:szCs w:val="32"/>
        </w:rPr>
      </w:pPr>
      <w:r>
        <w:rPr>
          <w:rFonts w:hint="eastAsia" w:ascii="黑体" w:hAnsi="黑体" w:eastAsia="黑体" w:cs="黑体"/>
          <w:bCs/>
          <w:sz w:val="32"/>
          <w:szCs w:val="32"/>
        </w:rPr>
        <w:t>一、绩效目标分解下达情况</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outlineLvl w:val="0"/>
        <w:rPr>
          <w:rFonts w:hint="default" w:ascii="仿宋_GB2312" w:eastAsia="仿宋_GB2312"/>
          <w:sz w:val="32"/>
          <w:szCs w:val="32"/>
          <w:lang w:val="en-US" w:eastAsia="zh-CN"/>
        </w:rPr>
      </w:pPr>
      <w:r>
        <w:rPr>
          <w:rFonts w:hint="eastAsia" w:ascii="Times New Roman" w:hAnsi="Times New Roman" w:eastAsia="仿宋_GB2312" w:cs="Times New Roman"/>
          <w:sz w:val="32"/>
          <w:szCs w:val="32"/>
          <w:lang w:val="en-US" w:eastAsia="zh-CN"/>
        </w:rPr>
        <w:t>2023年度中央下达本市</w:t>
      </w:r>
      <w:r>
        <w:rPr>
          <w:rFonts w:hint="eastAsia" w:cs="Times New Roman"/>
          <w:sz w:val="32"/>
          <w:szCs w:val="32"/>
          <w:lang w:val="en-US" w:eastAsia="zh-CN"/>
        </w:rPr>
        <w:t>的</w:t>
      </w:r>
      <w:r>
        <w:rPr>
          <w:rFonts w:hint="eastAsia" w:ascii="Times New Roman" w:hAnsi="Times New Roman" w:eastAsia="仿宋_GB2312" w:cs="Times New Roman"/>
          <w:sz w:val="32"/>
          <w:szCs w:val="32"/>
          <w:lang w:val="en-US" w:eastAsia="zh-CN"/>
        </w:rPr>
        <w:t>2022年中央财政支持住房租赁市场发展试点资金</w:t>
      </w:r>
      <w:r>
        <w:rPr>
          <w:rFonts w:hint="eastAsia" w:cs="Times New Roman"/>
          <w:sz w:val="32"/>
          <w:szCs w:val="32"/>
          <w:lang w:val="en-US" w:eastAsia="zh-CN"/>
        </w:rPr>
        <w:t>年初预算</w:t>
      </w:r>
      <w:r>
        <w:rPr>
          <w:rFonts w:hint="eastAsia" w:ascii="Times New Roman" w:hAnsi="Times New Roman" w:eastAsia="仿宋_GB2312" w:cs="Times New Roman"/>
          <w:sz w:val="32"/>
          <w:szCs w:val="32"/>
          <w:lang w:val="en-US" w:eastAsia="zh-CN"/>
        </w:rPr>
        <w:t>9172万元</w:t>
      </w:r>
      <w:r>
        <w:rPr>
          <w:rFonts w:hint="eastAsia"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ascii="黑体" w:hAnsi="黑体" w:eastAsia="黑体" w:cs="黑体"/>
          <w:bCs/>
          <w:sz w:val="32"/>
          <w:szCs w:val="32"/>
          <w:highlight w:val="none"/>
        </w:rPr>
      </w:pPr>
      <w:r>
        <w:rPr>
          <w:rFonts w:hint="eastAsia" w:ascii="黑体" w:hAnsi="黑体" w:eastAsia="黑体" w:cs="黑体"/>
          <w:bCs/>
          <w:sz w:val="32"/>
          <w:szCs w:val="32"/>
          <w:highlight w:val="none"/>
        </w:rPr>
        <w:t>二、</w:t>
      </w:r>
      <w:r>
        <w:rPr>
          <w:rFonts w:hint="eastAsia" w:ascii="黑体" w:hAnsi="黑体" w:eastAsia="黑体" w:cs="黑体"/>
          <w:bCs/>
          <w:sz w:val="32"/>
          <w:szCs w:val="32"/>
          <w:highlight w:val="none"/>
          <w:lang w:eastAsia="zh-CN"/>
        </w:rPr>
        <w:t>绩效</w:t>
      </w:r>
      <w:r>
        <w:rPr>
          <w:rFonts w:hint="eastAsia" w:ascii="黑体" w:hAnsi="黑体" w:eastAsia="黑体" w:cs="黑体"/>
          <w:bCs/>
          <w:sz w:val="32"/>
          <w:szCs w:val="32"/>
          <w:highlight w:val="none"/>
        </w:rPr>
        <w:t>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42" w:firstLineChars="200"/>
        <w:textAlignment w:val="auto"/>
        <w:outlineLvl w:val="0"/>
        <w:rPr>
          <w:rFonts w:hint="eastAsia" w:ascii="仿宋_GB2312" w:hAnsi="仿宋_GB2312" w:eastAsia="仿宋_GB2312" w:cs="仿宋_GB2312"/>
          <w:b w:val="0"/>
          <w:bCs w:val="0"/>
          <w:sz w:val="32"/>
          <w:szCs w:val="32"/>
          <w:highlight w:val="none"/>
          <w:lang w:eastAsia="zh-CN"/>
        </w:rPr>
      </w:pPr>
      <w:r>
        <w:rPr>
          <w:rFonts w:hint="eastAsia" w:ascii="楷体_GB2312" w:hAnsi="楷体_GB2312" w:eastAsia="楷体_GB2312" w:cs="楷体_GB2312"/>
          <w:b/>
          <w:bCs/>
          <w:sz w:val="32"/>
          <w:szCs w:val="32"/>
          <w:highlight w:val="none"/>
        </w:rPr>
        <w:t>（一）资金投入情况分析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00"/>
        <w:textAlignment w:val="auto"/>
        <w:outlineLvl w:val="0"/>
        <w:rPr>
          <w:rFonts w:hint="eastAsia" w:ascii="仿宋_GB2312" w:hAnsi="仿宋_GB2312" w:cs="仿宋_GB2312"/>
          <w:b w:val="0"/>
          <w:bCs w:val="0"/>
          <w:sz w:val="32"/>
          <w:szCs w:val="32"/>
          <w:highlight w:val="none"/>
          <w:lang w:val="en-US" w:eastAsia="zh-CN"/>
        </w:rPr>
      </w:pPr>
      <w:r>
        <w:rPr>
          <w:rFonts w:hint="eastAsia" w:ascii="仿宋_GB2312" w:hAnsi="仿宋_GB2312" w:cs="仿宋_GB2312"/>
          <w:b w:val="0"/>
          <w:bCs w:val="0"/>
          <w:sz w:val="32"/>
          <w:szCs w:val="32"/>
          <w:highlight w:val="none"/>
          <w:lang w:val="en-US" w:eastAsia="zh-CN"/>
        </w:rPr>
        <w:t>2022年中央财政支持住房租赁市场发展试点资金</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该笔资金为中央财政预算资金，全年预算数为</w:t>
      </w:r>
      <w:r>
        <w:rPr>
          <w:rFonts w:hint="eastAsia" w:cs="Times New Roman"/>
          <w:sz w:val="32"/>
          <w:szCs w:val="32"/>
          <w:lang w:val="en-US" w:eastAsia="zh-CN"/>
        </w:rPr>
        <w:t>5104</w:t>
      </w:r>
      <w:r>
        <w:rPr>
          <w:rFonts w:hint="eastAsia" w:ascii="Times New Roman" w:hAnsi="Times New Roman" w:eastAsia="仿宋_GB2312" w:cs="Times New Roman"/>
          <w:sz w:val="32"/>
          <w:szCs w:val="32"/>
          <w:lang w:val="en-US" w:eastAsia="zh-CN"/>
        </w:rPr>
        <w:t>万元，全年执行数为5104万元，预算执行率为</w:t>
      </w:r>
      <w:r>
        <w:rPr>
          <w:rFonts w:hint="eastAsia" w:cs="Times New Roman"/>
          <w:sz w:val="32"/>
          <w:szCs w:val="32"/>
          <w:lang w:val="en-US" w:eastAsia="zh-CN"/>
        </w:rPr>
        <w:t>100</w:t>
      </w:r>
      <w:r>
        <w:rPr>
          <w:rFonts w:hint="eastAsia" w:ascii="Times New Roman" w:hAnsi="Times New Roman" w:eastAsia="仿宋_GB2312" w:cs="Times New Roman"/>
          <w:sz w:val="32"/>
          <w:szCs w:val="32"/>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val="0"/>
        <w:spacing w:line="580" w:lineRule="exact"/>
        <w:ind w:firstLine="642" w:firstLineChars="200"/>
        <w:textAlignment w:val="auto"/>
        <w:outlineLvl w:val="0"/>
        <w:rPr>
          <w:rFonts w:hint="eastAsia" w:ascii="仿宋_GB2312" w:hAnsi="仿宋_GB2312" w:cs="仿宋_GB2312"/>
          <w:b w:val="0"/>
          <w:bCs w:val="0"/>
          <w:sz w:val="32"/>
          <w:szCs w:val="32"/>
          <w:highlight w:val="none"/>
          <w:lang w:val="en-US" w:eastAsia="zh-CN"/>
        </w:rPr>
      </w:pPr>
      <w:r>
        <w:rPr>
          <w:rFonts w:hint="eastAsia" w:ascii="楷体_GB2312" w:hAnsi="楷体_GB2312" w:eastAsia="楷体_GB2312" w:cs="楷体_GB2312"/>
          <w:b/>
          <w:bCs/>
          <w:sz w:val="32"/>
          <w:szCs w:val="32"/>
          <w:highlight w:val="none"/>
          <w:lang w:eastAsia="zh-CN"/>
        </w:rPr>
        <w:t>资金管理情况分析</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仿宋_GB2312" w:hAnsi="仿宋_GB2312" w:cs="仿宋_GB2312"/>
          <w:b w:val="0"/>
          <w:bCs w:val="0"/>
          <w:sz w:val="32"/>
          <w:szCs w:val="32"/>
          <w:highlight w:val="none"/>
          <w:lang w:val="en-US" w:eastAsia="zh-CN"/>
        </w:rPr>
      </w:pPr>
      <w:r>
        <w:rPr>
          <w:rFonts w:hint="eastAsia" w:ascii="Times New Roman" w:hAnsi="Times New Roman" w:eastAsia="仿宋_GB2312" w:cs="Times New Roman"/>
          <w:sz w:val="32"/>
          <w:szCs w:val="32"/>
          <w:lang w:val="en-US" w:eastAsia="zh-CN"/>
        </w:rPr>
        <w:t>上述</w:t>
      </w:r>
      <w:bookmarkStart w:id="0" w:name="_GoBack"/>
      <w:bookmarkEnd w:id="0"/>
      <w:r>
        <w:rPr>
          <w:rFonts w:hint="eastAsia" w:ascii="Times New Roman" w:hAnsi="Times New Roman" w:eastAsia="仿宋_GB2312" w:cs="Times New Roman"/>
          <w:sz w:val="32"/>
          <w:szCs w:val="32"/>
          <w:lang w:val="en-US" w:eastAsia="zh-CN"/>
        </w:rPr>
        <w:t>中央财政预算资金均进行了合理分配、下达及时，</w:t>
      </w:r>
      <w:r>
        <w:rPr>
          <w:rFonts w:hint="eastAsia" w:ascii="Times New Roman" w:hAnsi="Times New Roman" w:eastAsia="仿宋_GB2312" w:cs="Times New Roman"/>
          <w:sz w:val="32"/>
          <w:szCs w:val="32"/>
        </w:rPr>
        <w:t>严格按照专项资金使用范围规定，做到专户管理，专款专用，按进度支付资金，分别进行了责任划分，分级负责，层层把关,资金的支付通过账户转账，无现金支付，没有挤占、挪用、串用、截留或造成资金损失等违纪违规问题。</w:t>
      </w:r>
    </w:p>
    <w:p>
      <w:pPr>
        <w:keepNext w:val="0"/>
        <w:keepLines w:val="0"/>
        <w:pageBreakBefore w:val="0"/>
        <w:widowControl w:val="0"/>
        <w:kinsoku/>
        <w:wordWrap/>
        <w:overflowPunct/>
        <w:topLinePunct w:val="0"/>
        <w:autoSpaceDE/>
        <w:autoSpaceDN/>
        <w:bidi w:val="0"/>
        <w:adjustRightInd/>
        <w:snapToGrid w:val="0"/>
        <w:spacing w:line="580" w:lineRule="exact"/>
        <w:ind w:firstLine="642" w:firstLineChars="200"/>
        <w:textAlignment w:val="auto"/>
        <w:outlineLvl w:val="0"/>
        <w:rPr>
          <w:rFonts w:hint="eastAsia" w:ascii="仿宋_GB2312" w:hAnsi="仿宋_GB2312" w:eastAsia="仿宋_GB2312" w:cs="仿宋_GB2312"/>
          <w:b w:val="0"/>
          <w:bCs w:val="0"/>
          <w:sz w:val="32"/>
          <w:szCs w:val="32"/>
          <w:lang w:eastAsia="zh-CN"/>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三</w:t>
      </w:r>
      <w:r>
        <w:rPr>
          <w:rFonts w:hint="eastAsia" w:ascii="楷体_GB2312" w:hAnsi="楷体_GB2312" w:eastAsia="楷体_GB2312" w:cs="楷体_GB2312"/>
          <w:b/>
          <w:bCs/>
          <w:sz w:val="32"/>
          <w:szCs w:val="32"/>
        </w:rPr>
        <w:t>）总体绩效目标完成情况分析</w:t>
      </w:r>
    </w:p>
    <w:p>
      <w:pPr>
        <w:spacing w:line="600" w:lineRule="exact"/>
        <w:ind w:firstLine="640" w:firstLineChars="200"/>
        <w:rPr>
          <w:rFonts w:hint="eastAsia" w:eastAsia="仿宋_GB2312"/>
          <w:color w:val="auto"/>
          <w:sz w:val="32"/>
          <w:szCs w:val="32"/>
          <w:highlight w:val="none"/>
        </w:rPr>
      </w:pPr>
      <w:r>
        <w:rPr>
          <w:rFonts w:hint="eastAsia" w:eastAsia="仿宋_GB2312"/>
          <w:color w:val="auto"/>
          <w:sz w:val="32"/>
          <w:szCs w:val="32"/>
          <w:highlight w:val="none"/>
        </w:rPr>
        <w:t>完成年度筹集</w:t>
      </w:r>
      <w:r>
        <w:rPr>
          <w:rFonts w:hint="eastAsia" w:eastAsia="仿宋_GB2312"/>
          <w:sz w:val="32"/>
          <w:szCs w:val="32"/>
          <w:lang w:val="en-US" w:eastAsia="zh-CN"/>
        </w:rPr>
        <w:t>400套</w:t>
      </w:r>
      <w:r>
        <w:rPr>
          <w:rFonts w:hint="eastAsia" w:eastAsia="仿宋_GB2312"/>
          <w:color w:val="auto"/>
          <w:sz w:val="32"/>
          <w:szCs w:val="32"/>
          <w:highlight w:val="none"/>
        </w:rPr>
        <w:t>、建设中央财政支持保障性安居工程补助资金用于租赁住房保障任务。</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leftChars="200"/>
        <w:textAlignment w:val="auto"/>
        <w:outlineLvl w:val="0"/>
        <w:rPr>
          <w:rFonts w:hint="default" w:eastAsia="仿宋_GB2312"/>
          <w:sz w:val="32"/>
          <w:szCs w:val="32"/>
          <w:lang w:val="en-US" w:eastAsia="zh-CN"/>
        </w:rPr>
      </w:pPr>
      <w:r>
        <w:rPr>
          <w:rFonts w:hint="eastAsia" w:ascii="楷体_GB2312" w:hAnsi="楷体_GB2312" w:eastAsia="楷体_GB2312" w:cs="楷体_GB2312"/>
          <w:b/>
          <w:bCs/>
          <w:sz w:val="32"/>
          <w:szCs w:val="32"/>
          <w:lang w:eastAsia="zh-CN"/>
        </w:rPr>
        <w:t>（四）</w:t>
      </w:r>
      <w:r>
        <w:rPr>
          <w:rFonts w:hint="eastAsia" w:ascii="楷体_GB2312" w:hAnsi="楷体_GB2312" w:eastAsia="楷体_GB2312" w:cs="楷体_GB2312"/>
          <w:b/>
          <w:bCs/>
          <w:sz w:val="32"/>
          <w:szCs w:val="32"/>
        </w:rPr>
        <w:t>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outlineLvl w:val="0"/>
        <w:rPr>
          <w:rFonts w:hint="default" w:eastAsia="仿宋_GB2312"/>
          <w:sz w:val="32"/>
          <w:szCs w:val="32"/>
          <w:lang w:val="en-US" w:eastAsia="zh-CN"/>
        </w:rPr>
      </w:pPr>
      <w:r>
        <w:rPr>
          <w:rFonts w:hint="eastAsia"/>
          <w:sz w:val="32"/>
          <w:szCs w:val="32"/>
          <w:lang w:val="en-US" w:eastAsia="zh-CN"/>
        </w:rPr>
        <w:t>1.</w:t>
      </w:r>
      <w:r>
        <w:rPr>
          <w:rFonts w:eastAsia="仿宋_GB2312"/>
          <w:sz w:val="32"/>
          <w:szCs w:val="32"/>
        </w:rPr>
        <w:t>产出指标完成情况分析</w:t>
      </w:r>
    </w:p>
    <w:p>
      <w:pPr>
        <w:spacing w:line="560" w:lineRule="exact"/>
        <w:ind w:firstLine="640" w:firstLineChars="200"/>
        <w:rPr>
          <w:rFonts w:hint="eastAsia" w:eastAsia="仿宋_GB2312"/>
          <w:sz w:val="32"/>
          <w:szCs w:val="32"/>
        </w:rPr>
      </w:pPr>
      <w:r>
        <w:rPr>
          <w:rFonts w:hint="eastAsia" w:eastAsia="仿宋_GB2312"/>
          <w:sz w:val="32"/>
          <w:szCs w:val="32"/>
        </w:rPr>
        <w:t>（1）数量指标：202</w:t>
      </w:r>
      <w:r>
        <w:rPr>
          <w:rFonts w:hint="eastAsia"/>
          <w:sz w:val="32"/>
          <w:szCs w:val="32"/>
          <w:lang w:val="en-US" w:eastAsia="zh-CN"/>
        </w:rPr>
        <w:t>3</w:t>
      </w:r>
      <w:r>
        <w:rPr>
          <w:rFonts w:hint="eastAsia" w:eastAsia="仿宋_GB2312"/>
          <w:sz w:val="32"/>
          <w:szCs w:val="32"/>
        </w:rPr>
        <w:t>年实际完成筹集保障性租赁住房</w:t>
      </w:r>
      <w:r>
        <w:rPr>
          <w:rFonts w:hint="eastAsia" w:cs="Times New Roman"/>
          <w:sz w:val="32"/>
          <w:szCs w:val="32"/>
          <w:lang w:val="en-US" w:eastAsia="zh-CN"/>
        </w:rPr>
        <w:t>843</w:t>
      </w:r>
      <w:r>
        <w:rPr>
          <w:rFonts w:hint="eastAsia" w:ascii="Times New Roman" w:hAnsi="Times New Roman" w:eastAsia="仿宋_GB2312" w:cs="Times New Roman"/>
          <w:sz w:val="32"/>
          <w:szCs w:val="32"/>
          <w:lang w:val="en-US" w:eastAsia="zh-CN"/>
        </w:rPr>
        <w:t>套</w:t>
      </w:r>
      <w:r>
        <w:rPr>
          <w:rFonts w:hint="eastAsia" w:ascii="Times New Roman" w:hAnsi="Times New Roman" w:eastAsia="仿宋_GB2312" w:cs="Times New Roman"/>
          <w:sz w:val="32"/>
          <w:szCs w:val="32"/>
        </w:rPr>
        <w:t>，</w:t>
      </w:r>
      <w:r>
        <w:rPr>
          <w:rFonts w:hint="eastAsia" w:eastAsia="仿宋_GB2312"/>
          <w:sz w:val="32"/>
          <w:szCs w:val="32"/>
        </w:rPr>
        <w:t>满足年度指标</w:t>
      </w:r>
      <w:r>
        <w:rPr>
          <w:rFonts w:hint="eastAsia" w:eastAsia="仿宋_GB2312"/>
          <w:sz w:val="32"/>
          <w:szCs w:val="32"/>
          <w:lang w:val="en-US" w:eastAsia="zh-CN"/>
        </w:rPr>
        <w:t>400套的</w:t>
      </w:r>
      <w:r>
        <w:rPr>
          <w:rFonts w:hint="eastAsia" w:eastAsia="仿宋_GB2312"/>
          <w:sz w:val="32"/>
          <w:szCs w:val="32"/>
        </w:rPr>
        <w:t>要求。</w:t>
      </w:r>
    </w:p>
    <w:p>
      <w:pPr>
        <w:spacing w:line="560" w:lineRule="exact"/>
        <w:ind w:firstLine="640" w:firstLineChars="200"/>
        <w:rPr>
          <w:rFonts w:hint="eastAsia" w:eastAsia="仿宋_GB2312"/>
          <w:sz w:val="32"/>
          <w:szCs w:val="32"/>
        </w:rPr>
      </w:pPr>
      <w:r>
        <w:rPr>
          <w:rFonts w:hint="eastAsia" w:eastAsia="仿宋_GB2312"/>
          <w:sz w:val="32"/>
          <w:szCs w:val="32"/>
        </w:rPr>
        <w:t>（2）质量指标：202</w:t>
      </w:r>
      <w:r>
        <w:rPr>
          <w:rFonts w:hint="eastAsia"/>
          <w:sz w:val="32"/>
          <w:szCs w:val="32"/>
          <w:lang w:val="en-US" w:eastAsia="zh-CN"/>
        </w:rPr>
        <w:t>3</w:t>
      </w:r>
      <w:r>
        <w:rPr>
          <w:rFonts w:hint="eastAsia" w:eastAsia="仿宋_GB2312"/>
          <w:sz w:val="32"/>
          <w:szCs w:val="32"/>
        </w:rPr>
        <w:t>年</w:t>
      </w:r>
      <w:r>
        <w:rPr>
          <w:rFonts w:hint="eastAsia" w:eastAsia="仿宋_GB2312"/>
          <w:sz w:val="32"/>
          <w:szCs w:val="32"/>
          <w:lang w:eastAsia="zh-CN"/>
        </w:rPr>
        <w:t>项目</w:t>
      </w:r>
      <w:r>
        <w:rPr>
          <w:rFonts w:hint="eastAsia" w:eastAsia="仿宋_GB2312"/>
          <w:sz w:val="32"/>
          <w:szCs w:val="32"/>
        </w:rPr>
        <w:t>验收合格率达到100%，满足年度指标要求。</w:t>
      </w:r>
    </w:p>
    <w:p>
      <w:pPr>
        <w:spacing w:line="560" w:lineRule="exact"/>
        <w:ind w:firstLine="640" w:firstLineChars="200"/>
        <w:rPr>
          <w:rFonts w:hint="eastAsia" w:eastAsia="仿宋_GB2312"/>
          <w:sz w:val="32"/>
          <w:szCs w:val="32"/>
          <w:highlight w:val="yellow"/>
        </w:rPr>
      </w:pPr>
      <w:r>
        <w:rPr>
          <w:rFonts w:hint="eastAsia" w:eastAsia="仿宋_GB2312"/>
          <w:sz w:val="32"/>
          <w:szCs w:val="32"/>
        </w:rPr>
        <w:t>（3）时效指标：202</w:t>
      </w:r>
      <w:r>
        <w:rPr>
          <w:rFonts w:hint="eastAsia"/>
          <w:sz w:val="32"/>
          <w:szCs w:val="32"/>
          <w:lang w:val="en-US" w:eastAsia="zh-CN"/>
        </w:rPr>
        <w:t>3</w:t>
      </w:r>
      <w:r>
        <w:rPr>
          <w:rFonts w:hint="eastAsia" w:eastAsia="仿宋_GB2312"/>
          <w:sz w:val="32"/>
          <w:szCs w:val="32"/>
        </w:rPr>
        <w:t>年开工目标完成率100%</w:t>
      </w:r>
      <w:r>
        <w:rPr>
          <w:rFonts w:hint="eastAsia" w:eastAsia="仿宋_GB2312"/>
          <w:sz w:val="32"/>
          <w:szCs w:val="32"/>
          <w:lang w:eastAsia="zh-CN"/>
        </w:rPr>
        <w:t>， 基本建成目标完成率100%，</w:t>
      </w:r>
      <w:r>
        <w:rPr>
          <w:rFonts w:hint="eastAsia" w:eastAsia="仿宋_GB2312"/>
          <w:sz w:val="32"/>
          <w:szCs w:val="32"/>
        </w:rPr>
        <w:t>满足年度指标要求。</w:t>
      </w:r>
    </w:p>
    <w:p>
      <w:pPr>
        <w:spacing w:line="560" w:lineRule="exact"/>
        <w:ind w:firstLine="640" w:firstLineChars="200"/>
        <w:rPr>
          <w:rFonts w:hint="eastAsia" w:eastAsia="仿宋_GB2312"/>
          <w:sz w:val="32"/>
          <w:szCs w:val="32"/>
          <w:highlight w:val="yellow"/>
        </w:rPr>
      </w:pPr>
      <w:r>
        <w:rPr>
          <w:rFonts w:hint="eastAsia" w:eastAsia="仿宋_GB2312"/>
          <w:sz w:val="32"/>
          <w:szCs w:val="32"/>
        </w:rPr>
        <w:t>（4）成本指标</w:t>
      </w:r>
      <w:r>
        <w:rPr>
          <w:rFonts w:hint="eastAsia" w:eastAsia="仿宋_GB2312"/>
          <w:sz w:val="32"/>
          <w:szCs w:val="32"/>
          <w:lang w:eastAsia="zh-CN"/>
        </w:rPr>
        <w:t>：</w:t>
      </w:r>
      <w:r>
        <w:rPr>
          <w:rFonts w:hint="eastAsia" w:eastAsia="仿宋_GB2312"/>
          <w:sz w:val="32"/>
          <w:szCs w:val="32"/>
        </w:rPr>
        <w:t>202</w:t>
      </w:r>
      <w:r>
        <w:rPr>
          <w:rFonts w:hint="eastAsia"/>
          <w:sz w:val="32"/>
          <w:szCs w:val="32"/>
          <w:lang w:val="en-US" w:eastAsia="zh-CN"/>
        </w:rPr>
        <w:t>3</w:t>
      </w:r>
      <w:r>
        <w:rPr>
          <w:rFonts w:hint="eastAsia" w:eastAsia="仿宋_GB2312"/>
          <w:sz w:val="32"/>
          <w:szCs w:val="32"/>
        </w:rPr>
        <w:t>年项目支出不超过预算金额</w:t>
      </w:r>
      <w:r>
        <w:rPr>
          <w:rFonts w:hint="eastAsia" w:ascii="Times New Roman" w:hAnsi="Times New Roman" w:eastAsia="仿宋_GB2312" w:cs="Times New Roman"/>
          <w:sz w:val="32"/>
          <w:szCs w:val="32"/>
          <w:lang w:val="en-US" w:eastAsia="zh-CN"/>
        </w:rPr>
        <w:t>15124</w:t>
      </w:r>
      <w:r>
        <w:rPr>
          <w:rFonts w:hint="eastAsia" w:eastAsia="仿宋_GB2312"/>
          <w:sz w:val="32"/>
          <w:szCs w:val="32"/>
          <w:lang w:val="en-US" w:eastAsia="zh-CN"/>
        </w:rPr>
        <w:t>万元</w:t>
      </w:r>
      <w:r>
        <w:rPr>
          <w:rFonts w:hint="eastAsia" w:eastAsia="仿宋_GB2312"/>
          <w:sz w:val="32"/>
          <w:szCs w:val="32"/>
          <w:lang w:eastAsia="zh-CN"/>
        </w:rPr>
        <w:t>，</w:t>
      </w:r>
      <w:r>
        <w:rPr>
          <w:rFonts w:hint="eastAsia" w:eastAsia="仿宋_GB2312"/>
          <w:sz w:val="32"/>
          <w:szCs w:val="32"/>
        </w:rPr>
        <w:t>满足年度指标要求。</w:t>
      </w:r>
    </w:p>
    <w:p>
      <w:pPr>
        <w:spacing w:line="560" w:lineRule="exact"/>
        <w:ind w:firstLine="640" w:firstLineChars="200"/>
        <w:rPr>
          <w:rFonts w:eastAsia="仿宋_GB2312"/>
          <w:sz w:val="32"/>
          <w:szCs w:val="32"/>
        </w:rPr>
      </w:pPr>
      <w:r>
        <w:rPr>
          <w:rFonts w:eastAsia="仿宋_GB2312"/>
          <w:sz w:val="32"/>
          <w:szCs w:val="32"/>
        </w:rPr>
        <w:t>2.效益指标完成情况分析</w:t>
      </w:r>
    </w:p>
    <w:p>
      <w:pPr>
        <w:spacing w:line="560" w:lineRule="exact"/>
        <w:ind w:firstLine="640" w:firstLineChars="200"/>
        <w:rPr>
          <w:rFonts w:hint="eastAsia" w:eastAsia="仿宋_GB2312"/>
          <w:sz w:val="32"/>
          <w:szCs w:val="32"/>
          <w:lang w:eastAsia="zh-CN"/>
        </w:rPr>
      </w:pPr>
      <w:r>
        <w:rPr>
          <w:rFonts w:hint="eastAsia" w:eastAsia="仿宋_GB2312"/>
          <w:sz w:val="32"/>
          <w:szCs w:val="32"/>
        </w:rPr>
        <w:t>（1）经济效益：202</w:t>
      </w:r>
      <w:r>
        <w:rPr>
          <w:rFonts w:hint="eastAsia"/>
          <w:sz w:val="32"/>
          <w:szCs w:val="32"/>
          <w:lang w:val="en-US" w:eastAsia="zh-CN"/>
        </w:rPr>
        <w:t>3</w:t>
      </w:r>
      <w:r>
        <w:rPr>
          <w:rFonts w:hint="eastAsia" w:eastAsia="仿宋_GB2312"/>
          <w:sz w:val="32"/>
          <w:szCs w:val="32"/>
        </w:rPr>
        <w:t>年房租价格保持稳定</w:t>
      </w:r>
      <w:r>
        <w:rPr>
          <w:rFonts w:hint="eastAsia" w:eastAsia="仿宋_GB2312"/>
          <w:sz w:val="32"/>
          <w:szCs w:val="32"/>
          <w:lang w:eastAsia="zh-CN"/>
        </w:rPr>
        <w:t>。项目实现入住后，保障房租价格持续稳定，</w:t>
      </w:r>
      <w:r>
        <w:rPr>
          <w:rFonts w:hint="eastAsia" w:eastAsia="仿宋_GB2312"/>
          <w:sz w:val="32"/>
          <w:szCs w:val="32"/>
        </w:rPr>
        <w:t>满足年度指标要求。</w:t>
      </w:r>
    </w:p>
    <w:p>
      <w:pPr>
        <w:spacing w:line="560" w:lineRule="exact"/>
        <w:ind w:firstLine="640" w:firstLineChars="200"/>
        <w:rPr>
          <w:rFonts w:hint="eastAsia" w:eastAsia="仿宋_GB2312"/>
          <w:sz w:val="32"/>
          <w:szCs w:val="32"/>
        </w:rPr>
      </w:pPr>
      <w:r>
        <w:rPr>
          <w:rFonts w:hint="eastAsia" w:eastAsia="仿宋_GB2312"/>
          <w:sz w:val="32"/>
          <w:szCs w:val="32"/>
        </w:rPr>
        <w:t>（2）社会效益：202</w:t>
      </w:r>
      <w:r>
        <w:rPr>
          <w:rFonts w:hint="eastAsia"/>
          <w:sz w:val="32"/>
          <w:szCs w:val="32"/>
          <w:lang w:val="en-US" w:eastAsia="zh-CN"/>
        </w:rPr>
        <w:t>3</w:t>
      </w:r>
      <w:r>
        <w:rPr>
          <w:rFonts w:hint="eastAsia" w:eastAsia="仿宋_GB2312"/>
          <w:sz w:val="32"/>
          <w:szCs w:val="32"/>
        </w:rPr>
        <w:t>年分配入住率达到</w:t>
      </w:r>
      <w:r>
        <w:rPr>
          <w:rFonts w:hint="eastAsia"/>
          <w:sz w:val="32"/>
          <w:szCs w:val="32"/>
          <w:lang w:val="en-US" w:eastAsia="zh-CN"/>
        </w:rPr>
        <w:t>60</w:t>
      </w:r>
      <w:r>
        <w:rPr>
          <w:rFonts w:hint="eastAsia" w:eastAsia="仿宋_GB2312"/>
          <w:sz w:val="32"/>
          <w:szCs w:val="32"/>
        </w:rPr>
        <w:t>%，满足年度指标要求。</w:t>
      </w:r>
    </w:p>
    <w:p>
      <w:pPr>
        <w:spacing w:line="600" w:lineRule="exact"/>
        <w:ind w:firstLine="640" w:firstLineChars="200"/>
        <w:rPr>
          <w:rFonts w:eastAsia="仿宋_GB2312"/>
          <w:sz w:val="32"/>
          <w:szCs w:val="32"/>
        </w:rPr>
      </w:pPr>
      <w:r>
        <w:rPr>
          <w:rFonts w:eastAsia="仿宋_GB2312"/>
          <w:sz w:val="32"/>
          <w:szCs w:val="32"/>
        </w:rPr>
        <w:t>3.满意度指标完成情况分析</w:t>
      </w:r>
    </w:p>
    <w:p>
      <w:pPr>
        <w:spacing w:line="600" w:lineRule="exact"/>
        <w:ind w:firstLine="640" w:firstLineChars="200"/>
        <w:rPr>
          <w:rFonts w:eastAsia="仿宋_GB2312"/>
          <w:sz w:val="32"/>
          <w:szCs w:val="32"/>
        </w:rPr>
      </w:pPr>
      <w:r>
        <w:rPr>
          <w:rFonts w:hint="eastAsia" w:eastAsia="仿宋_GB2312"/>
          <w:sz w:val="32"/>
          <w:szCs w:val="32"/>
        </w:rPr>
        <w:t>服务对象满意度：</w:t>
      </w:r>
      <w:r>
        <w:rPr>
          <w:rFonts w:hint="eastAsia" w:eastAsia="仿宋_GB2312"/>
          <w:sz w:val="32"/>
          <w:szCs w:val="32"/>
          <w:lang w:eastAsia="zh-CN"/>
        </w:rPr>
        <w:t>新市民、青年人</w:t>
      </w:r>
      <w:r>
        <w:rPr>
          <w:rFonts w:hint="eastAsia" w:eastAsia="仿宋_GB2312"/>
          <w:sz w:val="32"/>
          <w:szCs w:val="32"/>
        </w:rPr>
        <w:t>满意度达到</w:t>
      </w:r>
      <w:r>
        <w:rPr>
          <w:rFonts w:hint="eastAsia"/>
          <w:sz w:val="32"/>
          <w:szCs w:val="32"/>
          <w:lang w:val="en-US" w:eastAsia="zh-CN"/>
        </w:rPr>
        <w:t>85</w:t>
      </w:r>
      <w:r>
        <w:rPr>
          <w:rFonts w:hint="eastAsia" w:eastAsia="仿宋_GB2312"/>
          <w:sz w:val="32"/>
          <w:szCs w:val="32"/>
        </w:rPr>
        <w:t>%，项目承租人满意度（不含新市民、青年人）满意度达到</w:t>
      </w:r>
      <w:r>
        <w:rPr>
          <w:rFonts w:hint="eastAsia"/>
          <w:sz w:val="32"/>
          <w:szCs w:val="32"/>
          <w:lang w:val="en-US" w:eastAsia="zh-CN"/>
        </w:rPr>
        <w:t>95</w:t>
      </w:r>
      <w:r>
        <w:rPr>
          <w:rFonts w:hint="eastAsia" w:eastAsia="仿宋_GB2312"/>
          <w:sz w:val="32"/>
          <w:szCs w:val="32"/>
        </w:rPr>
        <w:t>%，满足年度指标要求。</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ascii="仿宋_GB2312"/>
          <w:sz w:val="32"/>
          <w:szCs w:val="32"/>
        </w:rPr>
      </w:pPr>
      <w:r>
        <w:rPr>
          <w:rFonts w:hint="eastAsia" w:ascii="黑体" w:hAnsi="黑体" w:eastAsia="黑体" w:cs="黑体"/>
          <w:bCs/>
          <w:sz w:val="32"/>
          <w:szCs w:val="32"/>
        </w:rPr>
        <w:t>三、偏离绩效目标的原因和下一步改进措施</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ascii="仿宋_GB2312"/>
          <w:sz w:val="32"/>
          <w:szCs w:val="32"/>
        </w:rPr>
      </w:pPr>
      <w:r>
        <w:rPr>
          <w:rFonts w:hint="eastAsia" w:ascii="仿宋_GB2312"/>
          <w:sz w:val="32"/>
          <w:szCs w:val="32"/>
          <w:lang w:eastAsia="zh-CN"/>
        </w:rPr>
        <w:t>无</w:t>
      </w:r>
    </w:p>
    <w:p>
      <w:pPr>
        <w:keepNext w:val="0"/>
        <w:keepLines w:val="0"/>
        <w:pageBreakBefore w:val="0"/>
        <w:widowControl w:val="0"/>
        <w:numPr>
          <w:ilvl w:val="0"/>
          <w:numId w:val="2"/>
        </w:numPr>
        <w:kinsoku/>
        <w:wordWrap/>
        <w:overflowPunct/>
        <w:topLinePunct w:val="0"/>
        <w:autoSpaceDE/>
        <w:autoSpaceDN/>
        <w:bidi w:val="0"/>
        <w:adjustRightInd/>
        <w:snapToGrid w:val="0"/>
        <w:spacing w:line="58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绩效自评结果拟应用和公开情况</w:t>
      </w:r>
    </w:p>
    <w:p>
      <w:pPr>
        <w:pStyle w:val="2"/>
        <w:numPr>
          <w:ilvl w:val="0"/>
          <w:numId w:val="0"/>
        </w:numPr>
        <w:ind w:firstLine="600"/>
        <w:rPr>
          <w:rFonts w:hint="eastAsia"/>
          <w:sz w:val="32"/>
          <w:szCs w:val="32"/>
          <w:lang w:val="en-US" w:eastAsia="zh-CN"/>
        </w:rPr>
      </w:pPr>
      <w:r>
        <w:rPr>
          <w:rFonts w:hint="eastAsia"/>
          <w:sz w:val="32"/>
          <w:szCs w:val="32"/>
          <w:lang w:val="en-US" w:eastAsia="zh-CN"/>
        </w:rPr>
        <w:t>无</w:t>
      </w:r>
    </w:p>
    <w:p>
      <w:pPr>
        <w:pStyle w:val="2"/>
        <w:numPr>
          <w:ilvl w:val="0"/>
          <w:numId w:val="0"/>
        </w:numPr>
        <w:ind w:firstLine="600"/>
        <w:rPr>
          <w:rFonts w:ascii="黑体" w:hAnsi="黑体" w:eastAsia="黑体" w:cs="黑体"/>
          <w:bCs/>
          <w:sz w:val="32"/>
          <w:szCs w:val="32"/>
        </w:rPr>
      </w:pPr>
      <w:r>
        <w:rPr>
          <w:rFonts w:hint="eastAsia" w:ascii="黑体" w:hAnsi="黑体" w:eastAsia="黑体" w:cs="黑体"/>
          <w:bCs/>
          <w:sz w:val="32"/>
          <w:szCs w:val="32"/>
        </w:rPr>
        <w:t>五、其他需要说明的问题</w:t>
      </w:r>
    </w:p>
    <w:p>
      <w:pPr>
        <w:numPr>
          <w:ilvl w:val="0"/>
          <w:numId w:val="0"/>
        </w:numPr>
        <w:ind w:firstLine="640" w:firstLineChars="200"/>
        <w:rPr>
          <w:sz w:val="32"/>
          <w:szCs w:val="32"/>
        </w:rPr>
      </w:pPr>
      <w:r>
        <w:rPr>
          <w:rFonts w:hint="eastAsia" w:ascii="仿宋_GB2312" w:hAnsi="仿宋_GB2312" w:eastAsia="仿宋_GB2312" w:cs="仿宋_GB2312"/>
          <w:sz w:val="32"/>
          <w:szCs w:val="32"/>
          <w:lang w:val="en-US" w:eastAsia="zh-CN"/>
        </w:rPr>
        <w:t>津南区精密组合轴承智能制造生产研发基地项目存在试点期内未办理施工许可证的情况，该项目于2022年7月28日被认定为保障性租赁住房项目，于2024年1月22日办理施工许可证，完成整改。目前项目施工已接近尾声，预计4月底完工。</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黑体" w:hAnsi="黑体" w:eastAsia="黑体" w:cs="黑体"/>
          <w:sz w:val="32"/>
          <w:szCs w:val="32"/>
          <w:lang w:val="en"/>
        </w:rPr>
      </w:pPr>
      <w:r>
        <w:rPr>
          <w:rFonts w:hint="eastAsia" w:ascii="黑体" w:hAnsi="黑体" w:eastAsia="黑体" w:cs="黑体"/>
          <w:sz w:val="32"/>
          <w:szCs w:val="32"/>
          <w:lang w:val="en"/>
        </w:rPr>
        <w:t>六、附件</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黑体" w:hAnsi="黑体" w:eastAsia="黑体" w:cs="黑体"/>
          <w:sz w:val="32"/>
          <w:szCs w:val="32"/>
          <w:lang w:val="en"/>
        </w:rPr>
      </w:pPr>
      <w:r>
        <w:rPr>
          <w:rFonts w:hint="eastAsia"/>
          <w:sz w:val="32"/>
          <w:szCs w:val="32"/>
          <w:lang w:eastAsia="zh-CN"/>
        </w:rPr>
        <w:t>中央</w:t>
      </w:r>
      <w:r>
        <w:rPr>
          <w:rFonts w:hint="eastAsia"/>
          <w:sz w:val="32"/>
          <w:szCs w:val="32"/>
        </w:rPr>
        <w:t>转移支付区域（项目）绩效自评表</w:t>
      </w: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66B9BD"/>
    <w:multiLevelType w:val="singleLevel"/>
    <w:tmpl w:val="4166B9BD"/>
    <w:lvl w:ilvl="0" w:tentative="0">
      <w:start w:val="2"/>
      <w:numFmt w:val="chineseCounting"/>
      <w:suff w:val="nothing"/>
      <w:lvlText w:val="（%1）"/>
      <w:lvlJc w:val="left"/>
      <w:rPr>
        <w:rFonts w:hint="eastAsia"/>
      </w:rPr>
    </w:lvl>
  </w:abstractNum>
  <w:abstractNum w:abstractNumId="1">
    <w:nsid w:val="7C278D26"/>
    <w:multiLevelType w:val="singleLevel"/>
    <w:tmpl w:val="7C278D26"/>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iN2FhNDljNzI1ZDE0M2Y1ODljZDcwNTMwZTM3NWEifQ=="/>
    <w:docVar w:name="KSO_WPS_MARK_KEY" w:val="2fd592e7-98fd-40ff-89d0-f54c58660121"/>
  </w:docVars>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1EAE"/>
    <w:rsid w:val="00FA086C"/>
    <w:rsid w:val="00FA2093"/>
    <w:rsid w:val="00FA357A"/>
    <w:rsid w:val="037D0BC8"/>
    <w:rsid w:val="0845082D"/>
    <w:rsid w:val="09E965F2"/>
    <w:rsid w:val="0FF7AA4F"/>
    <w:rsid w:val="139840D3"/>
    <w:rsid w:val="143E091F"/>
    <w:rsid w:val="14865FC8"/>
    <w:rsid w:val="150C2DB0"/>
    <w:rsid w:val="1A7D29EA"/>
    <w:rsid w:val="1D994BCF"/>
    <w:rsid w:val="1E761F05"/>
    <w:rsid w:val="1F7BE1E6"/>
    <w:rsid w:val="1FC7205C"/>
    <w:rsid w:val="228B3D05"/>
    <w:rsid w:val="284E74F8"/>
    <w:rsid w:val="2ADB48E8"/>
    <w:rsid w:val="2B9D7A7E"/>
    <w:rsid w:val="36687282"/>
    <w:rsid w:val="367793B2"/>
    <w:rsid w:val="3794FC37"/>
    <w:rsid w:val="38EF7AD8"/>
    <w:rsid w:val="3C00670C"/>
    <w:rsid w:val="3E1672E6"/>
    <w:rsid w:val="3EB9C2BB"/>
    <w:rsid w:val="3FEF6A07"/>
    <w:rsid w:val="3FFCD4B4"/>
    <w:rsid w:val="415F08D8"/>
    <w:rsid w:val="44E2230F"/>
    <w:rsid w:val="48B51347"/>
    <w:rsid w:val="491B45FA"/>
    <w:rsid w:val="4A55216A"/>
    <w:rsid w:val="4FE0696A"/>
    <w:rsid w:val="546F8569"/>
    <w:rsid w:val="54B76719"/>
    <w:rsid w:val="55673508"/>
    <w:rsid w:val="59595A6F"/>
    <w:rsid w:val="597350B8"/>
    <w:rsid w:val="599330CA"/>
    <w:rsid w:val="5A7FCB1F"/>
    <w:rsid w:val="5CBB2623"/>
    <w:rsid w:val="5FEAF7C9"/>
    <w:rsid w:val="60D5009F"/>
    <w:rsid w:val="64AC2E11"/>
    <w:rsid w:val="660721C9"/>
    <w:rsid w:val="661E6C75"/>
    <w:rsid w:val="67F75FF5"/>
    <w:rsid w:val="681D4831"/>
    <w:rsid w:val="692E4B19"/>
    <w:rsid w:val="69513EF7"/>
    <w:rsid w:val="6BF3256F"/>
    <w:rsid w:val="6CE7018A"/>
    <w:rsid w:val="6E3E3F2D"/>
    <w:rsid w:val="715B2F02"/>
    <w:rsid w:val="76A548F2"/>
    <w:rsid w:val="76FA3855"/>
    <w:rsid w:val="7765772E"/>
    <w:rsid w:val="776F5E62"/>
    <w:rsid w:val="77867685"/>
    <w:rsid w:val="77EE7FE7"/>
    <w:rsid w:val="781F36B6"/>
    <w:rsid w:val="790627AD"/>
    <w:rsid w:val="79DFF8C4"/>
    <w:rsid w:val="7ADC59FA"/>
    <w:rsid w:val="7AFF2FC3"/>
    <w:rsid w:val="7BF6B4C5"/>
    <w:rsid w:val="7DDD794F"/>
    <w:rsid w:val="7DFA6624"/>
    <w:rsid w:val="7DFD8AD7"/>
    <w:rsid w:val="7DFEFB95"/>
    <w:rsid w:val="7ECD6B9A"/>
    <w:rsid w:val="7FBA576D"/>
    <w:rsid w:val="7FDE47D5"/>
    <w:rsid w:val="7FFC7CB2"/>
    <w:rsid w:val="7FFD003D"/>
    <w:rsid w:val="94BFC172"/>
    <w:rsid w:val="9BFA614C"/>
    <w:rsid w:val="AAFDD6AA"/>
    <w:rsid w:val="AFDD3423"/>
    <w:rsid w:val="BAFE1E17"/>
    <w:rsid w:val="BBDF5B5A"/>
    <w:rsid w:val="BBE428C2"/>
    <w:rsid w:val="BFBF52D7"/>
    <w:rsid w:val="DF6E82F1"/>
    <w:rsid w:val="DFCEE0CE"/>
    <w:rsid w:val="DFFF7077"/>
    <w:rsid w:val="EEBF76D9"/>
    <w:rsid w:val="F36EF6AC"/>
    <w:rsid w:val="F6FDCC0E"/>
    <w:rsid w:val="F767D450"/>
    <w:rsid w:val="F76FB1DB"/>
    <w:rsid w:val="F7FBEBBF"/>
    <w:rsid w:val="F9F3FBF0"/>
    <w:rsid w:val="FB9F8FA2"/>
    <w:rsid w:val="FDB5389F"/>
    <w:rsid w:val="FDFF12BB"/>
    <w:rsid w:val="FFAFB80B"/>
    <w:rsid w:val="FFDF4FA5"/>
    <w:rsid w:val="FFF9F8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4"/>
    <w:qFormat/>
    <w:uiPriority w:val="0"/>
    <w:pPr>
      <w:spacing w:after="120"/>
      <w:ind w:left="420" w:leftChars="200"/>
    </w:pPr>
    <w:rPr>
      <w:rFonts w:ascii="Times New Roman" w:hAnsi="Times New Roman"/>
    </w:rPr>
  </w:style>
  <w:style w:type="paragraph" w:styleId="4">
    <w:name w:val="header"/>
    <w:basedOn w:val="1"/>
    <w:next w:val="5"/>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footer"/>
    <w:basedOn w:val="1"/>
    <w:next w:val="1"/>
    <w:link w:val="9"/>
    <w:qFormat/>
    <w:uiPriority w:val="99"/>
    <w:pPr>
      <w:tabs>
        <w:tab w:val="center" w:pos="4153"/>
        <w:tab w:val="right" w:pos="8306"/>
      </w:tabs>
      <w:snapToGrid w:val="0"/>
      <w:jc w:val="left"/>
    </w:pPr>
    <w:rPr>
      <w:sz w:val="18"/>
      <w:szCs w:val="18"/>
    </w:rPr>
  </w:style>
  <w:style w:type="paragraph" w:styleId="6">
    <w:name w:val="Balloon Text"/>
    <w:basedOn w:val="1"/>
    <w:link w:val="11"/>
    <w:qFormat/>
    <w:uiPriority w:val="0"/>
    <w:rPr>
      <w:sz w:val="18"/>
      <w:szCs w:val="18"/>
    </w:rPr>
  </w:style>
  <w:style w:type="character" w:customStyle="1" w:styleId="9">
    <w:name w:val="页脚 Char"/>
    <w:basedOn w:val="8"/>
    <w:link w:val="5"/>
    <w:qFormat/>
    <w:uiPriority w:val="99"/>
    <w:rPr>
      <w:rFonts w:eastAsia="仿宋_GB2312"/>
      <w:kern w:val="2"/>
      <w:sz w:val="18"/>
      <w:szCs w:val="18"/>
    </w:rPr>
  </w:style>
  <w:style w:type="character" w:customStyle="1" w:styleId="10">
    <w:name w:val="页眉 Char"/>
    <w:basedOn w:val="8"/>
    <w:link w:val="4"/>
    <w:qFormat/>
    <w:uiPriority w:val="0"/>
    <w:rPr>
      <w:rFonts w:eastAsia="仿宋_GB2312"/>
      <w:kern w:val="2"/>
      <w:sz w:val="18"/>
      <w:szCs w:val="18"/>
    </w:rPr>
  </w:style>
  <w:style w:type="character" w:customStyle="1" w:styleId="11">
    <w:name w:val="批注框文本 Char"/>
    <w:basedOn w:val="8"/>
    <w:link w:val="6"/>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1082</Words>
  <Characters>1215</Characters>
  <Lines>3</Lines>
  <Paragraphs>1</Paragraphs>
  <TotalTime>58</TotalTime>
  <ScaleCrop>false</ScaleCrop>
  <LinksUpToDate>false</LinksUpToDate>
  <CharactersWithSpaces>1216</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2019-02-18T14:26:00Z</dcterms:created>
  <dc:creator>lhn</dc:creator>
  <cp:lastModifiedBy>greatwall</cp:lastModifiedBy>
  <cp:lastPrinted>2023-02-26T01:51:00Z</cp:lastPrinted>
  <dcterms:modified xsi:type="dcterms:W3CDTF">2024-05-10T14:22:46Z</dcterms:modified>
  <dc:title>财政支出绩效评价报告</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10C4B4DE04F5468AA0F5336762752315_13</vt:lpwstr>
  </property>
</Properties>
</file>