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方正小标宋简体" w:hAnsi="Times New Roman" w:eastAsia="方正小标宋简体" w:cs="Times New Roman"/>
          <w:spacing w:val="-15"/>
          <w:w w:val="105"/>
          <w:sz w:val="40"/>
          <w:szCs w:val="32"/>
          <w:lang w:eastAsia="zh-CN"/>
        </w:rPr>
        <w:t>国家会展中心（天津）周边配套基础设施项目专项债券利息绩效自评报告</w:t>
      </w: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家会展中心周边配套基础设施建设（一期）项目共包括22个基础子项目，涵盖市政道路、周边绿化、会展轮候区、雨污泵站、调蓄池、会展中心专用变电站、燃气调压站、垃圾站、消防站等。促进区域经济社会发展，可以发挥较大的社会经济效益，债券资金使用过程中所产生利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（二）项目绩效目标。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222222"/>
          <w:kern w:val="0"/>
          <w:sz w:val="32"/>
          <w:szCs w:val="32"/>
          <w:lang w:val="en"/>
        </w:rPr>
      </w:pPr>
      <w:bookmarkStart w:id="0" w:name="（1）津南区排水厂站及管网提升改造工程"/>
      <w:bookmarkEnd w:id="0"/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</w:rPr>
        <w:t>该项目绩效目标是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val="en-US" w:eastAsia="zh-CN"/>
        </w:rPr>
        <w:t>完成国家会展中心（天津）周边配套基础设施项目专项债券利息，提高了社会信誉度</w:t>
      </w:r>
      <w:r>
        <w:rPr>
          <w:rFonts w:hint="default" w:ascii="Times New Roman" w:hAnsi="Times New Roman" w:eastAsia="仿宋" w:cs="Times New Roman"/>
          <w:color w:val="222222"/>
          <w:kern w:val="0"/>
          <w:sz w:val="32"/>
          <w:szCs w:val="32"/>
          <w:lang w:val="en" w:eastAsia="zh-CN"/>
        </w:rPr>
        <w:t>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</w:t>
      </w:r>
      <w:r>
        <w:rPr>
          <w:rFonts w:ascii="仿宋" w:hAnsi="仿宋" w:eastAsia="仿宋" w:cs="Times New Roman"/>
          <w:sz w:val="32"/>
          <w:szCs w:val="32"/>
          <w:lang w:eastAsia="zh-CN"/>
        </w:rPr>
        <w:t>绩效评价</w:t>
      </w:r>
      <w:r>
        <w:rPr>
          <w:rFonts w:ascii="仿宋" w:hAnsi="仿宋" w:eastAsia="仿宋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开展202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年绩效自评的目的是为了加强资金预算支出管理，强化支出责任，规范绩效评价行为，提高资金使用效益。评价对象是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val="en-US" w:eastAsia="zh-CN"/>
        </w:rPr>
        <w:t>国家会展中心（天津）周边配套基础设施项目专项债券利息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" w:hAnsi="仿宋" w:eastAsia="仿宋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" w:hAnsi="仿宋" w:eastAsia="仿宋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" w:hAnsi="仿宋" w:eastAsia="仿宋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、评价方法、评价标准等。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本次绩效评价是根据债券实施方案，结合项目到位资金，按照评价指标，进行自评。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（三）</w:t>
      </w:r>
      <w:r>
        <w:rPr>
          <w:rFonts w:ascii="仿宋" w:hAnsi="仿宋" w:eastAsia="仿宋" w:cs="Times New Roman"/>
          <w:sz w:val="32"/>
          <w:szCs w:val="32"/>
          <w:lang w:eastAsia="zh-CN"/>
        </w:rPr>
        <w:t xml:space="preserve">绩效评价工作过程。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本次绩效评价采取自评自查的方式，按照项目报送绩效自评表和绩效自评报告。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  <w:t>综合评价情况及评价结论（附相关评分表）</w:t>
      </w:r>
    </w:p>
    <w:p>
      <w:pPr>
        <w:widowControl/>
        <w:numPr>
          <w:ilvl w:val="0"/>
          <w:numId w:val="0"/>
        </w:numPr>
        <w:spacing w:line="480" w:lineRule="auto"/>
        <w:jc w:val="left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67960" cy="4741545"/>
            <wp:effectExtent l="0" t="0" r="8890" b="1905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74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widowControl/>
        <w:numPr>
          <w:ilvl w:val="0"/>
          <w:numId w:val="0"/>
        </w:numPr>
        <w:spacing w:line="480" w:lineRule="auto"/>
        <w:ind w:leftChars="0" w:firstLine="642" w:firstLineChars="200"/>
        <w:jc w:val="left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  <w:t>四、绩效评价指标分析</w:t>
      </w:r>
    </w:p>
    <w:p>
      <w:pPr>
        <w:widowControl/>
        <w:numPr>
          <w:ilvl w:val="0"/>
          <w:numId w:val="0"/>
        </w:numPr>
        <w:spacing w:line="480" w:lineRule="auto"/>
        <w:ind w:leftChars="0" w:firstLine="640" w:firstLineChars="200"/>
        <w:jc w:val="left"/>
        <w:rPr>
          <w:rFonts w:hint="eastAsia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  <w:t>（一）项目决策情况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该项目年初预算数为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14186.8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万元，全年预算数为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14186.8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万元，全年执行数为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14186.8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项目过程情况</w:t>
      </w:r>
      <w:r>
        <w:rPr>
          <w:rFonts w:ascii="仿宋" w:hAnsi="仿宋" w:eastAsia="仿宋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。</w:t>
      </w:r>
    </w:p>
    <w:p>
      <w:pPr>
        <w:widowControl/>
        <w:wordWrap w:val="0"/>
        <w:spacing w:line="480" w:lineRule="auto"/>
        <w:ind w:firstLine="640" w:firstLineChars="200"/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该项目实施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val="en-US" w:eastAsia="zh-CN"/>
        </w:rPr>
        <w:t>过程中认真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落实完成国家会展中心（天津）周边配套基础设施项目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eastAsia="zh-CN"/>
        </w:rPr>
        <w:t>建设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，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val="en-US" w:eastAsia="zh-CN"/>
        </w:rPr>
        <w:t>努力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改造人居环境，提供人民生活水平，改善生态环境及投资环境，促进区域经济社会发展，可以发挥较大的社会经济效益。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（三）</w:t>
      </w:r>
      <w:r>
        <w:rPr>
          <w:rFonts w:ascii="仿宋" w:hAnsi="仿宋" w:eastAsia="仿宋" w:cs="Times New Roman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项目产出情况</w:t>
      </w:r>
      <w:r>
        <w:rPr>
          <w:rFonts w:ascii="仿宋" w:hAnsi="仿宋" w:eastAsia="仿宋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完成了该项目数量指标、质量指标、实效指标、成本指标的年度指标值。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（四）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项目效益情况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完成了该项目经济效益指标。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56" w:firstLineChars="200"/>
        <w:jc w:val="both"/>
        <w:rPr>
          <w:rFonts w:ascii="仿宋" w:hAnsi="仿宋" w:eastAsia="仿宋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ascii="仿宋" w:hAnsi="仿宋" w:eastAsia="仿宋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56" w:firstLineChars="200"/>
        <w:jc w:val="both"/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480" w:lineRule="auto"/>
        <w:ind w:leftChars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59FDF"/>
    <w:multiLevelType w:val="singleLevel"/>
    <w:tmpl w:val="C7859FD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RmOThhMjE1MzM5ODE4NTU4NjJmOTQzOTBkNDgifQ=="/>
  </w:docVars>
  <w:rsids>
    <w:rsidRoot w:val="3E2800FF"/>
    <w:rsid w:val="0D410699"/>
    <w:rsid w:val="200022E7"/>
    <w:rsid w:val="3AB9791C"/>
    <w:rsid w:val="3BBAE472"/>
    <w:rsid w:val="3E2800FF"/>
    <w:rsid w:val="3F7B2702"/>
    <w:rsid w:val="3FF11828"/>
    <w:rsid w:val="43FF5CE9"/>
    <w:rsid w:val="4BEC0B76"/>
    <w:rsid w:val="4CFA6A2E"/>
    <w:rsid w:val="4FBAAAB6"/>
    <w:rsid w:val="579B6305"/>
    <w:rsid w:val="70136C5B"/>
    <w:rsid w:val="76B4AE03"/>
    <w:rsid w:val="76E5D1AA"/>
    <w:rsid w:val="76FD5C7F"/>
    <w:rsid w:val="77EF6EB3"/>
    <w:rsid w:val="7D7F1BF7"/>
    <w:rsid w:val="7DDBF021"/>
    <w:rsid w:val="7FEF9372"/>
    <w:rsid w:val="7FFBD6FB"/>
    <w:rsid w:val="7FFD7A3D"/>
    <w:rsid w:val="7FFF1785"/>
    <w:rsid w:val="BAF21AA8"/>
    <w:rsid w:val="E7FAAD14"/>
    <w:rsid w:val="F9CF32E6"/>
    <w:rsid w:val="FDF1FB64"/>
    <w:rsid w:val="FFE98B53"/>
    <w:rsid w:val="FFEF018A"/>
    <w:rsid w:val="FFF6C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pPr>
      <w:jc w:val="center"/>
    </w:pPr>
    <w:rPr>
      <w:b/>
      <w:sz w:val="48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1404</Characters>
  <Lines>0</Lines>
  <Paragraphs>0</Paragraphs>
  <TotalTime>6</TotalTime>
  <ScaleCrop>false</ScaleCrop>
  <LinksUpToDate>false</LinksUpToDate>
  <CharactersWithSpaces>1411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2023-04-08T08:09:00Z</dcterms:created>
  <dc:creator>DELL</dc:creator>
  <cp:lastModifiedBy>greatwall</cp:lastModifiedBy>
  <dcterms:modified xsi:type="dcterms:W3CDTF">2025-02-11T09:56:06Z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DD3A479A9892404BA4BC884639BB32E1</vt:lpwstr>
  </property>
</Properties>
</file>