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both"/>
        <w:textAlignment w:val="auto"/>
        <w:rPr>
          <w:rFonts w:ascii="仿宋_GB2312" w:hAnsi="华文中宋"/>
          <w:bCs/>
          <w:sz w:val="36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center"/>
        <w:textAlignment w:val="auto"/>
        <w:rPr>
          <w:rFonts w:ascii="仿宋_GB2312" w:hAnsi="华文中宋"/>
          <w:bCs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天津市</w:t>
      </w:r>
      <w:r>
        <w:rPr>
          <w:rFonts w:hint="eastAsia" w:eastAsia="宋体" w:cs="Times New Roman"/>
          <w:b/>
          <w:sz w:val="36"/>
          <w:szCs w:val="44"/>
          <w:lang w:eastAsia="zh-CN"/>
        </w:rPr>
        <w:t>专项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转移支付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年度绩效自评报告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center"/>
        <w:textAlignment w:val="auto"/>
        <w:rPr>
          <w:rFonts w:ascii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rPr>
          <w:rFonts w:ascii="黑体" w:hAnsi="黑体" w:eastAsia="黑体" w:cs="黑体"/>
          <w:bCs/>
          <w:sz w:val="30"/>
          <w:szCs w:val="30"/>
        </w:rPr>
      </w:pPr>
      <w:r>
        <w:rPr>
          <w:rFonts w:hint="eastAsia" w:ascii="黑体" w:hAnsi="黑体" w:eastAsia="黑体" w:cs="黑体"/>
          <w:bCs/>
          <w:sz w:val="30"/>
          <w:szCs w:val="30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>（一）</w:t>
      </w:r>
      <w:r>
        <w:rPr>
          <w:rFonts w:hint="eastAsia" w:ascii="Times New Roman" w:hAnsi="Times New Roman" w:eastAsia="仿宋_GB2312" w:cs="Times New Roman"/>
          <w:sz w:val="30"/>
          <w:szCs w:val="30"/>
          <w:lang w:eastAsia="zh-CN"/>
        </w:rPr>
        <w:t>项目概况</w:t>
      </w:r>
    </w:p>
    <w:p>
      <w:pPr>
        <w:spacing w:line="600" w:lineRule="exact"/>
        <w:ind w:firstLine="600" w:firstLineChars="200"/>
        <w:jc w:val="both"/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2020年12月1日起由市住房城乡建设委移交津南区公租房项目共6个。分别坐落在双新街、双林街。重新核定建筑总面积464930.22平方米，共计8178套住宅。</w:t>
      </w:r>
    </w:p>
    <w:p>
      <w:pPr>
        <w:spacing w:line="600" w:lineRule="exact"/>
        <w:ind w:firstLine="600" w:firstLineChars="200"/>
        <w:jc w:val="both"/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其中：</w:t>
      </w:r>
    </w:p>
    <w:p>
      <w:pPr>
        <w:spacing w:line="600" w:lineRule="exact"/>
        <w:ind w:firstLine="600" w:firstLineChars="200"/>
        <w:jc w:val="both"/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1.坐落在双新街三个项目（金秋新苑、民盛园、民兴园），住宅建筑总面积182318.57平方米，共计2523套住宅。</w:t>
      </w:r>
    </w:p>
    <w:p>
      <w:pPr>
        <w:spacing w:line="600" w:lineRule="exact"/>
        <w:ind w:firstLine="600" w:firstLineChars="200"/>
        <w:jc w:val="both"/>
        <w:rPr>
          <w:rFonts w:hint="eastAsia" w:ascii="仿宋_GB2312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坐落在双林街三个项目（泓安园、泓沪园、泓青园），住宅总面积282611.65平方米，共计5655套住宅。作为公租房管理工作的主管部门，负责本行政区域内公租房管理工作的具体实施和监督管理；代区人民政府履行公租房资产管理职责</w:t>
      </w:r>
      <w:r>
        <w:rPr>
          <w:rFonts w:hint="eastAsia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>（二）整体</w:t>
      </w:r>
      <w:r>
        <w:rPr>
          <w:rFonts w:hint="eastAsia" w:ascii="仿宋_GB2312"/>
          <w:sz w:val="30"/>
          <w:szCs w:val="30"/>
          <w:lang w:val="en-US" w:eastAsia="zh-CN"/>
        </w:rPr>
        <w:t>和区域</w:t>
      </w:r>
      <w:r>
        <w:rPr>
          <w:rFonts w:hint="eastAsia" w:ascii="仿宋_GB2312"/>
          <w:sz w:val="30"/>
          <w:szCs w:val="30"/>
        </w:rPr>
        <w:t>绩效目标情况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仿宋_GB2312" w:eastAsia="仿宋_GB2312"/>
          <w:sz w:val="30"/>
          <w:szCs w:val="30"/>
          <w:lang w:eastAsia="zh-CN"/>
        </w:rPr>
      </w:pPr>
      <w:r>
        <w:rPr>
          <w:rFonts w:hint="eastAsia" w:ascii="仿宋_GB2312"/>
          <w:sz w:val="30"/>
          <w:szCs w:val="30"/>
        </w:rPr>
        <w:t>保障我区住房保障工作顺利进行和开展住房保障小区安全运行工作</w:t>
      </w:r>
      <w:r>
        <w:rPr>
          <w:rFonts w:hint="eastAsia" w:ascii="仿宋_GB2312"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黑体" w:hAnsi="黑体" w:eastAsia="黑体" w:cs="黑体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0"/>
          <w:szCs w:val="30"/>
          <w:lang w:eastAsia="zh-CN"/>
        </w:rPr>
        <w:t>二、综合评价结论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default" w:ascii="仿宋_GB2312" w:hAnsi="仿宋_GB2312" w:eastAsia="仿宋_GB2312" w:cs="仿宋_GB2312"/>
          <w:b w:val="0"/>
          <w:bCs w:val="0"/>
          <w:szCs w:val="32"/>
          <w:highlight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Cs w:val="32"/>
          <w:highlight w:val="none"/>
          <w:lang w:eastAsia="zh-CN"/>
        </w:rPr>
        <w:t>转移支付绩效情况良好，专项转移支付绩效自评分数达到</w:t>
      </w:r>
      <w:r>
        <w:rPr>
          <w:rFonts w:hint="default" w:ascii="Times New Roman" w:hAnsi="Times New Roman" w:cs="Times New Roman"/>
          <w:b w:val="0"/>
          <w:bCs w:val="0"/>
          <w:szCs w:val="32"/>
          <w:highlight w:val="none"/>
          <w:lang w:val="en-US" w:eastAsia="zh-CN"/>
        </w:rPr>
        <w:t>100</w:t>
      </w:r>
      <w:r>
        <w:rPr>
          <w:rFonts w:hint="eastAsia" w:ascii="仿宋_GB2312" w:hAnsi="仿宋_GB2312" w:cs="仿宋_GB2312"/>
          <w:b w:val="0"/>
          <w:bCs w:val="0"/>
          <w:szCs w:val="32"/>
          <w:highlight w:val="none"/>
          <w:lang w:val="en-US" w:eastAsia="zh-CN"/>
        </w:rPr>
        <w:t>分，等级为好。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黑体" w:hAnsi="黑体" w:eastAsia="黑体" w:cs="黑体"/>
          <w:sz w:val="30"/>
          <w:szCs w:val="30"/>
          <w:highlight w:val="none"/>
          <w:lang w:eastAsia="zh-CN"/>
        </w:rPr>
      </w:pPr>
      <w:r>
        <w:rPr>
          <w:rFonts w:hint="eastAsia" w:ascii="黑体" w:hAnsi="黑体" w:eastAsia="黑体" w:cs="黑体"/>
          <w:sz w:val="30"/>
          <w:szCs w:val="30"/>
          <w:highlight w:val="none"/>
          <w:lang w:eastAsia="zh-CN"/>
        </w:rPr>
        <w:t>三、绩效情况分析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2" w:firstLineChars="200"/>
        <w:textAlignment w:val="auto"/>
        <w:outlineLvl w:val="0"/>
        <w:rPr>
          <w:rFonts w:hint="eastAsia" w:ascii="仿宋_GB2312"/>
          <w:sz w:val="30"/>
          <w:szCs w:val="30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  <w:highlight w:val="none"/>
          <w:lang w:eastAsia="zh-CN"/>
        </w:rPr>
        <w:t>（一）资金情况分析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仿宋_GB2312"/>
          <w:sz w:val="30"/>
          <w:szCs w:val="30"/>
          <w:highlight w:val="none"/>
          <w:lang w:eastAsia="zh-CN"/>
        </w:rPr>
      </w:pPr>
      <w:r>
        <w:rPr>
          <w:rFonts w:hint="eastAsia" w:ascii="Times New Roman" w:hAnsi="Times New Roman" w:cs="Times New Roman"/>
          <w:b w:val="0"/>
          <w:bCs w:val="0"/>
          <w:szCs w:val="32"/>
          <w:highlight w:val="none"/>
          <w:lang w:val="en-US" w:eastAsia="zh-CN"/>
        </w:rPr>
        <w:t>全年预算数为</w:t>
      </w:r>
      <w:r>
        <w:rPr>
          <w:rFonts w:hint="eastAsia" w:cs="Times New Roman"/>
          <w:b w:val="0"/>
          <w:bCs w:val="0"/>
          <w:szCs w:val="32"/>
          <w:highlight w:val="none"/>
          <w:lang w:val="en-US" w:eastAsia="zh-CN"/>
        </w:rPr>
        <w:t>449</w:t>
      </w:r>
      <w:r>
        <w:rPr>
          <w:rFonts w:hint="eastAsia" w:ascii="Times New Roman" w:hAnsi="Times New Roman" w:cs="Times New Roman"/>
          <w:b w:val="0"/>
          <w:bCs w:val="0"/>
          <w:szCs w:val="32"/>
          <w:highlight w:val="none"/>
          <w:lang w:val="en-US" w:eastAsia="zh-CN"/>
        </w:rPr>
        <w:t>万元，全年执行数为</w:t>
      </w:r>
      <w:r>
        <w:rPr>
          <w:rFonts w:hint="eastAsia" w:cs="Times New Roman"/>
          <w:b w:val="0"/>
          <w:bCs w:val="0"/>
          <w:szCs w:val="32"/>
          <w:highlight w:val="none"/>
          <w:lang w:val="en-US" w:eastAsia="zh-CN"/>
        </w:rPr>
        <w:t>449</w:t>
      </w:r>
      <w:r>
        <w:rPr>
          <w:rFonts w:hint="eastAsia" w:ascii="Times New Roman" w:hAnsi="Times New Roman" w:cs="Times New Roman"/>
          <w:b w:val="0"/>
          <w:bCs w:val="0"/>
          <w:szCs w:val="32"/>
          <w:highlight w:val="none"/>
          <w:lang w:val="en-US" w:eastAsia="zh-CN"/>
        </w:rPr>
        <w:t>万元，执行率（B/A×100%)</w:t>
      </w:r>
      <w:r>
        <w:rPr>
          <w:rFonts w:hint="eastAsia" w:cs="Times New Roman"/>
          <w:b w:val="0"/>
          <w:bCs w:val="0"/>
          <w:szCs w:val="32"/>
          <w:highlight w:val="none"/>
          <w:lang w:val="en-US" w:eastAsia="zh-CN"/>
        </w:rPr>
        <w:t>达到100</w:t>
      </w:r>
      <w:r>
        <w:rPr>
          <w:rFonts w:hint="eastAsia" w:ascii="Times New Roman" w:hAnsi="Times New Roman" w:cs="Times New Roman"/>
          <w:b w:val="0"/>
          <w:bCs w:val="0"/>
          <w:szCs w:val="32"/>
          <w:highlight w:val="none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2" w:firstLineChars="200"/>
        <w:textAlignment w:val="auto"/>
        <w:outlineLvl w:val="0"/>
        <w:rPr>
          <w:rFonts w:hint="eastAsia" w:ascii="楷体_GB2312" w:hAnsi="楷体_GB2312" w:eastAsia="楷体_GB2312" w:cs="楷体_GB2312"/>
          <w:b/>
          <w:bCs/>
          <w:sz w:val="30"/>
          <w:szCs w:val="30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  <w:highlight w:val="none"/>
          <w:lang w:eastAsia="zh-CN"/>
        </w:rPr>
        <w:t>资金管理情况分析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仿宋_GB2312" w:hAnsi="仿宋_GB2312" w:eastAsia="仿宋_GB2312" w:cs="仿宋_GB2312"/>
          <w:b w:val="0"/>
          <w:bCs w:val="0"/>
          <w:szCs w:val="32"/>
          <w:highlight w:val="none"/>
          <w:lang w:eastAsia="zh-CN"/>
        </w:rPr>
      </w:pPr>
      <w:r>
        <w:rPr>
          <w:rFonts w:hint="eastAsia" w:ascii="仿宋_GB2312" w:hAnsi="仿宋_GB2312" w:cs="仿宋_GB2312"/>
          <w:b w:val="0"/>
          <w:bCs w:val="0"/>
          <w:szCs w:val="32"/>
          <w:highlight w:val="none"/>
          <w:lang w:eastAsia="zh-CN"/>
        </w:rPr>
        <w:t>资金管理要力求达到分配科学、下达及时、拨付合规、使用规范、执行准确的标准，提高预算绩效管理，努力实现政策目标。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left="0" w:leftChars="0" w:firstLine="602" w:firstLineChars="200"/>
        <w:textAlignment w:val="auto"/>
        <w:outlineLvl w:val="0"/>
        <w:rPr>
          <w:rFonts w:hint="eastAsia" w:ascii="仿宋_GB2312"/>
          <w:sz w:val="30"/>
          <w:szCs w:val="30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eastAsia="zh-CN"/>
        </w:rPr>
        <w:t>总体目标完成情况分析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Times New Roman" w:hAnsi="Times New Roman" w:cs="Times New Roman"/>
          <w:sz w:val="30"/>
          <w:szCs w:val="30"/>
          <w:lang w:eastAsia="zh-CN"/>
        </w:rPr>
      </w:pPr>
      <w:r>
        <w:rPr>
          <w:rFonts w:hint="eastAsia" w:ascii="Times New Roman" w:hAnsi="Times New Roman" w:cs="Times New Roman"/>
          <w:sz w:val="30"/>
          <w:szCs w:val="30"/>
          <w:lang w:eastAsia="zh-CN"/>
        </w:rPr>
        <w:t>通过聘请专业的公租房运营管理公司，保障了我区住房保障工作顺利进行，开展了住房保障小区安全运行工作。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2" w:firstLineChars="200"/>
        <w:textAlignment w:val="auto"/>
        <w:outlineLvl w:val="0"/>
        <w:rPr>
          <w:rFonts w:hint="eastAsia" w:ascii="仿宋_GB2312"/>
          <w:sz w:val="30"/>
          <w:szCs w:val="30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eastAsia="zh-CN"/>
        </w:rPr>
        <w:t>（四）绩效指标完成情况分析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Times New Roman" w:hAnsi="Times New Roman" w:cs="Times New Roman"/>
          <w:sz w:val="30"/>
          <w:szCs w:val="30"/>
          <w:lang w:eastAsia="zh-CN"/>
        </w:rPr>
      </w:pPr>
      <w:r>
        <w:rPr>
          <w:rFonts w:hint="eastAsia" w:cs="Times New Roman"/>
          <w:sz w:val="30"/>
          <w:szCs w:val="30"/>
          <w:lang w:val="en-US" w:eastAsia="zh-CN"/>
        </w:rPr>
        <w:t>1.</w:t>
      </w:r>
      <w:r>
        <w:rPr>
          <w:rFonts w:hint="eastAsia" w:ascii="Times New Roman" w:hAnsi="Times New Roman" w:cs="Times New Roman"/>
          <w:sz w:val="30"/>
          <w:szCs w:val="30"/>
          <w:lang w:eastAsia="zh-CN"/>
        </w:rPr>
        <w:t>数量指标：检查运营管理保障房数量为</w:t>
      </w:r>
      <w:r>
        <w:rPr>
          <w:rFonts w:hint="default" w:ascii="Times New Roman" w:hAnsi="Times New Roman" w:cs="Times New Roman"/>
          <w:sz w:val="30"/>
          <w:szCs w:val="30"/>
          <w:lang w:val="en-US" w:eastAsia="zh-CN"/>
        </w:rPr>
        <w:t>8178</w:t>
      </w: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>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Times New Roman" w:hAnsi="Times New Roman" w:cs="Times New Roman"/>
          <w:sz w:val="30"/>
          <w:szCs w:val="30"/>
          <w:lang w:eastAsia="zh-CN"/>
        </w:rPr>
      </w:pPr>
      <w:r>
        <w:rPr>
          <w:rFonts w:hint="eastAsia" w:cs="Times New Roman"/>
          <w:sz w:val="30"/>
          <w:szCs w:val="30"/>
          <w:lang w:val="en-US" w:eastAsia="zh-CN"/>
        </w:rPr>
        <w:t>2.</w:t>
      </w:r>
      <w:r>
        <w:rPr>
          <w:rFonts w:hint="eastAsia" w:ascii="Times New Roman" w:hAnsi="Times New Roman" w:cs="Times New Roman"/>
          <w:sz w:val="30"/>
          <w:szCs w:val="30"/>
          <w:lang w:eastAsia="zh-CN"/>
        </w:rPr>
        <w:t>质量指标：住房保障各项工作验收合格率达到</w:t>
      </w:r>
      <w:r>
        <w:rPr>
          <w:rFonts w:hint="default" w:ascii="Times New Roman" w:hAnsi="Times New Roman" w:cs="Times New Roman"/>
          <w:sz w:val="30"/>
          <w:szCs w:val="30"/>
          <w:lang w:val="en-US" w:eastAsia="zh-CN"/>
        </w:rPr>
        <w:t>100%</w:t>
      </w: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Times New Roman" w:hAnsi="Times New Roman" w:cs="Times New Roman"/>
          <w:sz w:val="30"/>
          <w:szCs w:val="30"/>
          <w:lang w:eastAsia="zh-CN"/>
        </w:rPr>
      </w:pPr>
      <w:r>
        <w:rPr>
          <w:rFonts w:hint="eastAsia" w:cs="Times New Roman"/>
          <w:sz w:val="30"/>
          <w:szCs w:val="30"/>
          <w:lang w:val="en-US" w:eastAsia="zh-CN"/>
        </w:rPr>
        <w:t>3.</w:t>
      </w:r>
      <w:r>
        <w:rPr>
          <w:rFonts w:hint="eastAsia" w:ascii="Times New Roman" w:hAnsi="Times New Roman" w:cs="Times New Roman"/>
          <w:sz w:val="30"/>
          <w:szCs w:val="30"/>
          <w:lang w:eastAsia="zh-CN"/>
        </w:rPr>
        <w:t>时效指标：住房保障运营管理、维修和相关业务及时率达到</w:t>
      </w:r>
      <w:r>
        <w:rPr>
          <w:rFonts w:hint="default" w:ascii="Times New Roman" w:hAnsi="Times New Roman" w:cs="Times New Roman"/>
          <w:sz w:val="30"/>
          <w:szCs w:val="30"/>
          <w:lang w:val="en-US" w:eastAsia="zh-CN"/>
        </w:rPr>
        <w:t>100%</w:t>
      </w: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cs="Times New Roman"/>
          <w:sz w:val="30"/>
          <w:szCs w:val="30"/>
          <w:lang w:val="en-US" w:eastAsia="zh-CN"/>
        </w:rPr>
      </w:pPr>
      <w:r>
        <w:rPr>
          <w:rFonts w:hint="eastAsia" w:cs="Times New Roman"/>
          <w:sz w:val="30"/>
          <w:szCs w:val="30"/>
          <w:lang w:val="en-US" w:eastAsia="zh-CN"/>
        </w:rPr>
        <w:t>4.成本指标：公租房运营管理资金449万元。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cs="Times New Roman"/>
          <w:sz w:val="30"/>
          <w:szCs w:val="30"/>
          <w:lang w:val="en-US" w:eastAsia="zh-CN"/>
        </w:rPr>
      </w:pPr>
      <w:r>
        <w:rPr>
          <w:rFonts w:hint="eastAsia" w:cs="Times New Roman"/>
          <w:sz w:val="30"/>
          <w:szCs w:val="30"/>
          <w:lang w:val="en-US" w:eastAsia="zh-CN"/>
        </w:rPr>
        <w:t>5.社会效益指标：提高小区安全度和舒适度，防止事故发生，安全率达到95%。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仿宋_GB2312"/>
          <w:sz w:val="30"/>
          <w:szCs w:val="30"/>
          <w:lang w:eastAsia="zh-CN"/>
        </w:rPr>
      </w:pPr>
      <w:r>
        <w:rPr>
          <w:rFonts w:hint="eastAsia" w:cs="Times New Roman"/>
          <w:sz w:val="30"/>
          <w:szCs w:val="30"/>
          <w:lang w:val="en-US" w:eastAsia="zh-CN"/>
        </w:rPr>
        <w:t>6.服务对象满意度指标：收益群体满意度达到</w:t>
      </w:r>
      <w:r>
        <w:rPr>
          <w:rFonts w:hint="default" w:cs="Times New Roman"/>
          <w:sz w:val="30"/>
          <w:szCs w:val="30"/>
          <w:lang w:val="en-US" w:eastAsia="zh-CN"/>
        </w:rPr>
        <w:t>80%</w:t>
      </w:r>
      <w:bookmarkStart w:id="0" w:name="_GoBack"/>
      <w:bookmarkEnd w:id="0"/>
      <w:r>
        <w:rPr>
          <w:rFonts w:hint="eastAsia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rPr>
          <w:sz w:val="30"/>
          <w:szCs w:val="30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31E3361"/>
    <w:multiLevelType w:val="singleLevel"/>
    <w:tmpl w:val="731E3361"/>
    <w:lvl w:ilvl="0" w:tentative="0">
      <w:start w:val="2"/>
      <w:numFmt w:val="chineseCounting"/>
      <w:suff w:val="nothing"/>
      <w:lvlText w:val="（%1）"/>
      <w:lvlJc w:val="left"/>
      <w:rPr>
        <w:rFonts w:hint="eastAsia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dit="readOnly" w:enforcement="0"/>
  <w:defaultTabStop w:val="420"/>
  <w:drawingGridHorizontalSpacing w:val="150"/>
  <w:drawingGridVerticalSpacing w:val="581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1Y2VmOGYyMWZiNWVlYWY2NDVkYWI3NmJiZWFlMjQifQ=="/>
  </w:docVars>
  <w:rsids>
    <w:rsidRoot w:val="00F57F82"/>
    <w:rsid w:val="000101E1"/>
    <w:rsid w:val="00020084"/>
    <w:rsid w:val="000732DA"/>
    <w:rsid w:val="00075CDC"/>
    <w:rsid w:val="000B1E8F"/>
    <w:rsid w:val="00103D16"/>
    <w:rsid w:val="00164D84"/>
    <w:rsid w:val="001D628A"/>
    <w:rsid w:val="00250053"/>
    <w:rsid w:val="00287C3C"/>
    <w:rsid w:val="0039432D"/>
    <w:rsid w:val="003C6374"/>
    <w:rsid w:val="00415F7C"/>
    <w:rsid w:val="004531B5"/>
    <w:rsid w:val="00785AF7"/>
    <w:rsid w:val="007A1DC2"/>
    <w:rsid w:val="008A20F2"/>
    <w:rsid w:val="00AA2B82"/>
    <w:rsid w:val="00CC152C"/>
    <w:rsid w:val="00D63908"/>
    <w:rsid w:val="00DD09A2"/>
    <w:rsid w:val="00DD16E3"/>
    <w:rsid w:val="00ED6D53"/>
    <w:rsid w:val="00F437B4"/>
    <w:rsid w:val="00F57F82"/>
    <w:rsid w:val="00F75963"/>
    <w:rsid w:val="00FA357A"/>
    <w:rsid w:val="015123B9"/>
    <w:rsid w:val="02C86339"/>
    <w:rsid w:val="037D0BC8"/>
    <w:rsid w:val="04447FB3"/>
    <w:rsid w:val="0845082D"/>
    <w:rsid w:val="096A663E"/>
    <w:rsid w:val="09E965F2"/>
    <w:rsid w:val="0A7375B2"/>
    <w:rsid w:val="0A87714B"/>
    <w:rsid w:val="0B372620"/>
    <w:rsid w:val="0BCE8248"/>
    <w:rsid w:val="0EF645A0"/>
    <w:rsid w:val="0FFFAAC1"/>
    <w:rsid w:val="110B3222"/>
    <w:rsid w:val="11205904"/>
    <w:rsid w:val="11D7196B"/>
    <w:rsid w:val="139840D3"/>
    <w:rsid w:val="143E091F"/>
    <w:rsid w:val="14553B17"/>
    <w:rsid w:val="14865FC8"/>
    <w:rsid w:val="150C2DB0"/>
    <w:rsid w:val="18E436BB"/>
    <w:rsid w:val="1C071B9A"/>
    <w:rsid w:val="1CE94882"/>
    <w:rsid w:val="1D495100"/>
    <w:rsid w:val="1E761F05"/>
    <w:rsid w:val="1FC7205C"/>
    <w:rsid w:val="20930157"/>
    <w:rsid w:val="228B3D05"/>
    <w:rsid w:val="248D2E59"/>
    <w:rsid w:val="25FE8923"/>
    <w:rsid w:val="286D5E37"/>
    <w:rsid w:val="28724840"/>
    <w:rsid w:val="291078F3"/>
    <w:rsid w:val="29B27A42"/>
    <w:rsid w:val="2DF055EB"/>
    <w:rsid w:val="32C263C3"/>
    <w:rsid w:val="345431F3"/>
    <w:rsid w:val="34930017"/>
    <w:rsid w:val="37F4701F"/>
    <w:rsid w:val="38EF7AD8"/>
    <w:rsid w:val="3A9E278B"/>
    <w:rsid w:val="3AB24F6F"/>
    <w:rsid w:val="3BCC2061"/>
    <w:rsid w:val="3C5E2926"/>
    <w:rsid w:val="3DBBD6B4"/>
    <w:rsid w:val="3E1672E6"/>
    <w:rsid w:val="3E755714"/>
    <w:rsid w:val="3EDB2092"/>
    <w:rsid w:val="3EFF9E0B"/>
    <w:rsid w:val="3FBF2D69"/>
    <w:rsid w:val="415648A7"/>
    <w:rsid w:val="415F08D8"/>
    <w:rsid w:val="42B33120"/>
    <w:rsid w:val="433B52D2"/>
    <w:rsid w:val="43E814B4"/>
    <w:rsid w:val="44E2230F"/>
    <w:rsid w:val="44E95A32"/>
    <w:rsid w:val="455A06DD"/>
    <w:rsid w:val="45A33B2F"/>
    <w:rsid w:val="46F9107C"/>
    <w:rsid w:val="48B51347"/>
    <w:rsid w:val="4A55216A"/>
    <w:rsid w:val="4BAD77B9"/>
    <w:rsid w:val="4BEB02E1"/>
    <w:rsid w:val="4BF54B52"/>
    <w:rsid w:val="4C107D48"/>
    <w:rsid w:val="4C416153"/>
    <w:rsid w:val="4D5D25E6"/>
    <w:rsid w:val="4DA44BEC"/>
    <w:rsid w:val="4FE0696A"/>
    <w:rsid w:val="51FD19E1"/>
    <w:rsid w:val="52EE7CB0"/>
    <w:rsid w:val="55344AA7"/>
    <w:rsid w:val="55673508"/>
    <w:rsid w:val="562431B2"/>
    <w:rsid w:val="57FCC004"/>
    <w:rsid w:val="58A80AB0"/>
    <w:rsid w:val="59595A6F"/>
    <w:rsid w:val="599330CA"/>
    <w:rsid w:val="59D55F14"/>
    <w:rsid w:val="5A3A490E"/>
    <w:rsid w:val="5B0D23FC"/>
    <w:rsid w:val="5BFB0F68"/>
    <w:rsid w:val="5D8B295E"/>
    <w:rsid w:val="5DB076C2"/>
    <w:rsid w:val="5E616EC0"/>
    <w:rsid w:val="5EEE3F19"/>
    <w:rsid w:val="5F76F0C1"/>
    <w:rsid w:val="60D5009F"/>
    <w:rsid w:val="660721C9"/>
    <w:rsid w:val="661E6C75"/>
    <w:rsid w:val="679A4C3E"/>
    <w:rsid w:val="67F75FF5"/>
    <w:rsid w:val="681D4831"/>
    <w:rsid w:val="692E4B19"/>
    <w:rsid w:val="69513EF7"/>
    <w:rsid w:val="6BF3256F"/>
    <w:rsid w:val="6CE7018A"/>
    <w:rsid w:val="6E3E3F2D"/>
    <w:rsid w:val="6FDF08E7"/>
    <w:rsid w:val="715B2F02"/>
    <w:rsid w:val="716D0097"/>
    <w:rsid w:val="71F5E8EA"/>
    <w:rsid w:val="74E018B8"/>
    <w:rsid w:val="76A548F2"/>
    <w:rsid w:val="7765772E"/>
    <w:rsid w:val="77867685"/>
    <w:rsid w:val="77F04540"/>
    <w:rsid w:val="781F36B6"/>
    <w:rsid w:val="78287A4C"/>
    <w:rsid w:val="790627AD"/>
    <w:rsid w:val="7A2A00A3"/>
    <w:rsid w:val="7ADC59FA"/>
    <w:rsid w:val="7BB71159"/>
    <w:rsid w:val="7BC77B74"/>
    <w:rsid w:val="7CD836C4"/>
    <w:rsid w:val="7D99378B"/>
    <w:rsid w:val="7DBDD65E"/>
    <w:rsid w:val="7DBF21E3"/>
    <w:rsid w:val="7DDD794F"/>
    <w:rsid w:val="7F6F721B"/>
    <w:rsid w:val="7FED9F9F"/>
    <w:rsid w:val="9FFF3766"/>
    <w:rsid w:val="B7F7950F"/>
    <w:rsid w:val="BECF1CFC"/>
    <w:rsid w:val="CA49ADC2"/>
    <w:rsid w:val="CADDA160"/>
    <w:rsid w:val="D6DD4E90"/>
    <w:rsid w:val="D7FBE5FA"/>
    <w:rsid w:val="DFDF27BD"/>
    <w:rsid w:val="EBCEF170"/>
    <w:rsid w:val="EF8574AB"/>
    <w:rsid w:val="F1A7643A"/>
    <w:rsid w:val="F57B6F99"/>
    <w:rsid w:val="F76F2F4C"/>
    <w:rsid w:val="F7DFB8FF"/>
    <w:rsid w:val="F8DBBE3A"/>
    <w:rsid w:val="FA7DCE76"/>
    <w:rsid w:val="FAEFC359"/>
    <w:rsid w:val="FB5ECFCA"/>
    <w:rsid w:val="FEAF114B"/>
    <w:rsid w:val="FEBF0180"/>
    <w:rsid w:val="FEDC2866"/>
    <w:rsid w:val="FEED1334"/>
    <w:rsid w:val="FFC601BD"/>
    <w:rsid w:val="FFFF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qFormat/>
    <w:uiPriority w:val="0"/>
    <w:rPr>
      <w:sz w:val="18"/>
      <w:szCs w:val="18"/>
    </w:rPr>
  </w:style>
  <w:style w:type="paragraph" w:styleId="3">
    <w:name w:val="footer"/>
    <w:basedOn w:val="1"/>
    <w:link w:val="7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autoRedefine/>
    <w:qFormat/>
    <w:uiPriority w:val="99"/>
    <w:rPr>
      <w:rFonts w:eastAsia="仿宋_GB2312"/>
      <w:kern w:val="2"/>
      <w:sz w:val="18"/>
      <w:szCs w:val="18"/>
    </w:rPr>
  </w:style>
  <w:style w:type="character" w:customStyle="1" w:styleId="8">
    <w:name w:val="页眉 Char"/>
    <w:basedOn w:val="6"/>
    <w:link w:val="4"/>
    <w:autoRedefine/>
    <w:qFormat/>
    <w:uiPriority w:val="0"/>
    <w:rPr>
      <w:rFonts w:eastAsia="仿宋_GB2312"/>
      <w:kern w:val="2"/>
      <w:sz w:val="18"/>
      <w:szCs w:val="18"/>
    </w:rPr>
  </w:style>
  <w:style w:type="character" w:customStyle="1" w:styleId="9">
    <w:name w:val="批注框文本 Char"/>
    <w:basedOn w:val="6"/>
    <w:link w:val="2"/>
    <w:autoRedefine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89</Words>
  <Characters>511</Characters>
  <Lines>4</Lines>
  <Paragraphs>1</Paragraphs>
  <TotalTime>8</TotalTime>
  <ScaleCrop>false</ScaleCrop>
  <LinksUpToDate>false</LinksUpToDate>
  <CharactersWithSpaces>599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2011-03-07T16:16:00Z</dcterms:created>
  <dc:creator>lhn</dc:creator>
  <cp:lastModifiedBy>Rainbow</cp:lastModifiedBy>
  <cp:lastPrinted>2023-02-26T01:52:00Z</cp:lastPrinted>
  <dcterms:modified xsi:type="dcterms:W3CDTF">2024-04-23T02:43:01Z</dcterms:modified>
  <dc:title>财政支出绩效评价报告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B199A0CBF896458CBFA06746D20F0BD5_12</vt:lpwstr>
  </property>
</Properties>
</file>