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天津市津南区住房和建设委员会（本级）</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3</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5</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12</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12</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13</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13</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13</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14</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 xml:space="preserve">1、基本职能：贯彻执行国家有关住房和建设的法律、法规、规章和政策文件；负责配合相关部门编制相关市政基础设施专项规划；承担城镇低收入住房困难家庭住房保障责任；承担推进住房制度改革责任；承担规范房地产市场秩序、监督管理房地产市场的责任；负责直管公产房屋（党政机关办公用房除外）资产的监督管理；负责物业管理活动的监督管理。负责房屋共用部位、共用设施设备维修资金归集和使用管理；负责建筑行业和建筑市场管理；负责建设工程（法律、法规有特殊规定的除外）施工质量、安全生产和文明施工的监督管理；负责住房和建设领域科技、教育和信息化建设工作。                                                      </w:t>
        <w:br/>
        <w:t>2、机构设置</w:t>
        <w:br/>
        <w:t xml:space="preserve"> 区住房和建设委员会设8个内设机构：</w:t>
        <w:br/>
        <w:t>党委办公室（人事劳资科）、政务办公室、财务审计科、房地产管理科（海绵城市办公室）、房屋管理科、物业管理办公室、建筑市场管理科（节能管理科）、工程建设计划科。</w:t>
        <w:br/>
        <w:t>3、工作目标及完成情况</w:t>
        <w:br/>
        <w:t>本年度严格按照财政要求做好与财政总预算会计、总决赛、部门决算、国有资产报告、债务统计报告等相关数据衔接；严格按照政府会计制度准则，规范会计核算、细化核算内容，全面清理往来事项，健全内控机制，切实提高了财务信息质量，基本完成全年工作目标。</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天津市津南区住房和建设委员会（本级）内设8个职能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 xml:space="preserve">室。 </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1.天津市津南区住房和建设委员会（本级）2023年度国有资本经营预算财政拨款收入支出决算表为空表。</w:t>
        <w:br/>
        <w:t>　　2.天津市津南区住房和建设委员会（本级）2023年度财政拨款“三公”经费支出决算表为空表。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住房和建设委员会（本级）2023年度收入、支出决算总计1,399,677,215.38元。与2022年度相比，收、支总计各减少1,173,141,033.89元，下降45.60%，主要原因是2022年专项债收20.2亿，23年为8.7亿，减少11.5亿；住房保障类项目收入增加1.23亿；债券付息类项目收入增加1.28亿，年初结转结余减少3.4亿；合计减少12.4亿。</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委员会（本级）2023年度本年收入合计1,358,383,347.60元。与2022年度相比减少853,668,489.63元，主要原因是2022年专项债收20.2亿，23年为8.7亿，减少11.5亿；住房保障类项目收入增加1.23亿；债券付息类项目收入增加1.28亿，合计减少8.99亿。其中：一般公共预算财政拨款收入205,044,201.48元，占15.09%；政府性基金预算财政拨款收入1,153,323,836.14元，占84.90%；其他收入15,309.98元，占0.01%。</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委员会（本级）2023年度本年支出合计1,361,646,146.89元。与2022年度相比减少1,207,818,428.52元，主要原因是国家会展中心周边配套设施建设等专项债支出较上年大幅减少。其中：基本支出13,565,430.62元，占1.00%；项目支出1,348,080,716.27元，占99.00%。</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度财政拨款收入、支出决算总计1,396,354,042.54元。与2022年度相比，财政拨款收、支总计各减少1,162,513,165.70元，下降45.43%，主要原因是国家会展中心周边配套设施建设项目等专项债收入及支出较上年大幅减少。</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度部门决算一般公共预算财政拨款支出合计205,044,201.48元，占本年支出合计的15.09%。与2022年度相比，一般公共预算财政拨款支出增加179,005,612.34元，增长687.46%，主要原因是农村危房改造、公租房运营管理资金、中央财政支持租赁市场发展试点资金等项目增加一般公共预算支出13520万，生态会客厅工程支出4000万。</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2023年度一般公共预算财政拨款支出205,044,201.48元，主要用于以下方面：</w:t>
        <w:br/>
        <w:t>　　社会保障和就业支出（类）支出1,077,341.52元，占0.53%；</w:t>
        <w:br/>
        <w:t>　　卫生健康支出（类）支出540,568.46元，占0.26%；</w:t>
        <w:br/>
        <w:t>　　城乡社区支出（类）支出67,132,711.87元，占32.74%；</w:t>
        <w:br/>
        <w:t>　　住房保障支出（类）支出135,795,779.63元，占66.23%；</w:t>
        <w:br/>
        <w:t>　　灾害防治及应急管理支出（类）支出497,800.00元，占0.24%。</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2023年度一般公共预算财政拨款支出年初预算为204,034,597.37元，支出决算为205,044,201.48元，完成年初预算的100.49%。其中：</w:t>
        <w:br/>
        <w:t>　　1.社会保障和就业支出（类）行政事业单位养老支出（款）机关事业单位基本养老保险缴费支出（项）年初预算为756249.72元，支出决算为718,227.68元，完成年初预算的94.97%，决算数小于年初预算数的主要原因是人员调动。</w:t>
        <w:br/>
        <w:t>　　2.社会保障和就业支出（类）行政事业单位养老支出（款）机关事业单位职业年金缴费支出（项）年初预算为294268.92元，支出决算为359,113.84元，完成年初预算的122.04%，决算数大于年初预算数的主要原因是本年人员调动及保险基数调整。</w:t>
        <w:br/>
        <w:t>　　3.卫生健康支出（类）行政事业单位医疗（款）行政单位医疗（项）年初预算为386228.28元，支出决算为445,096.54元，完成年初预算的115.24%，决算数大于年初预算数的主要原因是人员调动及保险基数调整。</w:t>
        <w:br/>
        <w:t>　　4.卫生健康支出（类）行政事业单位医疗（款）公务员医疗补助（项）年初预算为147134.4元，支出决算为95,471.92元，完成年初预算的64.89%，决算数小于年初预算数的主要原因是人员变动。</w:t>
        <w:br/>
        <w:t>　　5.城乡社区支出（类）城乡社区管理事务（款）行政运行（项）年初预算为11813402.42元，支出决算为11,292,250.66元，完成年初预算的95.59%，决算数小于年初预算数的主要原因是压减公用经费支出等。</w:t>
        <w:br/>
        <w:t>　　6.城乡社区支出（类）城乡社区公共设施（款）小城镇基础设施建设（项）年初预算为10111300元，支出决算为55,840,461.21元，完成年初预算的552.26%，决算数大于年初预算数的主要原因是新增生态会客厅绿化、海河故道休闲广场等项目支出。</w:t>
        <w:br/>
        <w:t>　　7.住房保障支出（类）保障性安居工程支出（款）农村危房改造（项）年初预算为1010317.22元，支出决算为1,010,317.22元，完成年初预算的100%，决算数与年初预算数持平。</w:t>
        <w:br/>
        <w:t>　　8.住房保障支出（类）保障性安居工程支出（款）公共租赁住房（项）年初预算为26695696.41元，支出决算为24,982,672.41元，完成年初预算的93.58%，决算数小于年初预算数的主要原因是按市住保中心要求，部分物业补贴不予拨付。</w:t>
        <w:br/>
        <w:t>　　9.住房保障支出（类）保障性安居工程支出（款）住房租赁市场发展（项）年初预算为151240000元，支出决算为104,056,830.00元，完成年初预算的68.8%，决算数小于年初预算数的主要原因是无足够项目申请认定保租房，导致奖补资金未使用完毕。</w:t>
        <w:br/>
        <w:t>　　10.住房保障支出（类）保障性安居工程支出（款）其他保障性安居工程支出（项）年初预算为0元，支出决算为5,106,000.00元，完成年初预算的100%，决算数大于年初预算数的主要原因是调增公租房运营管理资金市级资金第一批项目支出。</w:t>
        <w:br/>
        <w:t>　　11.住房保障支出（类）住房改革支出（款）住房公积金（项）年初预算为0元，支出决算为639,960.00元，完成年初预算的100%，决算数大于年初预算数的主要原因是年初预算住房公积金科目列2120101，本年已做调整预算。</w:t>
        <w:br/>
        <w:t>　　12.灾害防治及应急管理支出（类）应急管理事务（款）安全监管（项）年初预算为1200000元，支出决算为497,800.00元，完成年初预算的41.48%，决算数小于年初预算数的主要原因是财政部门结合当年财力实际调整预算。</w:t>
        <w:br/>
        <w:t>　　13.债务发行费用支出（类）地方政府专项债务发行费用支出（款）其他地方自行试点项目收益专项债券发行费用支出（项）年初预算为24000元，支出决算为0.00元，决算数小于年初预算数的主要原因是按照财政要求调减预算指标。</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天津市津南区住房和建设委员会（本级）2023年度部门决算一般公共预算财政拨款基本支出合计13,550,120.64元，与2022年度相比增加1,389,021.80元，主要原因是人员变动以及合署办公导致物业费增加。其中：</w:t>
        <w:br/>
        <w:t>　　人员经费10,231,796.05元，主要包括基本工资、津贴补贴、奖金、机关事业单位养老保险缴费、职业年金缴费、职工基本医疗保险缴费、公务员医疗补助缴费、其他社会保障缴费、住房公积金、其他工资福利支出、退休费、生活补助；</w:t>
        <w:br/>
        <w:t>　　公用经费3,318,324.59元，主要包括办公费、手续费、水费、电费、邮电费、取暖费、物业管理费、差旅费、维修（护）费、委托物业费、工会经费、福利费、其他交通费用、其他商品和服务支出。</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度部门决算政府性基金预算财政拨款年初结转和结余0.00元，收入1,153,323,836.14元，支出1,153,323,836.14元，年末结转和结余0.00元。与2022年度相比，政府性基金预算财政拨款支出减少1,379,504,782.96元，下降54.46%，主要原因是国家会展中心周边配套设施建设项目等专项债支出较上年大幅减少。</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0.00元，支出决算0.00元（去年同期0.00元），支出决算与2023年预算相比持平；支出决算较上年持平。因本年及去年同期均未使用财政拨款列支“三公”经费，故本年支出决算与本年预算、上年支出决算均持平为0。</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2023年本单位组织的出国团组0个，出国0人次。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0.00元，支出决算0.00元（去年同期0.00元），支出决算与2023年预算相比持平；支出决算较上年持平。因本年及去年同期均未使用财政拨款列支公务用车购置及运行维护费，故本年支出决算与本年预算、上年支出决算均持平为0。其中：</w:t>
        <w:br/>
        <w:t>　　公务用车运行维护费预算0.00元，支出决算0.00元（去年同期0.00元），支出决算与2023年预算相比持平；支出决算较上年持平。因本年及去年同期均未使用财政拨款列支公务用车运行维护费，故本年支出决算与本年预算、上年支出决算均持平为0。截至2023年12月31日，使用财政拨款开支运行维护费的公务用车保有量为0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机关运行经费是指行政单位和参照公务员法管理的事业单位使用一般公共预算财政拨款安排的基本支出中的日常公用经费支出，天津市津南区住房和建设委员会（本级）2023年度机关运行经费决算数3,318,324.59元，比2022年增加1,341,941.91元，增长67.90%，主要原因是2022年住建委合署办公，物业费增加112万；2022年未支付取暖费，2023年支付2022及2023年两年取暖费共计37.4万。</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本级）2023年政府采购支出总额772,053.00元，其中：政府采购货物支出772,053.00元、政府采购工程支出0.00元、政府采购服务支出0.00元。授予中小企业合同金额772,053.00元，占政府采购支出总额的100.00%，其中：授予小微企业合同金额772,053.00元，占政府采购支出总额的100.00%；货物采购授予中小企业合同金额占货物支出金额的100.00%，工程采购授予中小企业合同金额占工程支出金额的0.00%，服务采购授予中小企业合同金额占服务支出金额的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截至2023年12月31日，天津市津南区住房和建设委员会（本级）共有车辆24辆，其中：副部（省）级及以上领导用车0辆、主要负责人用车0辆、机要通信用车0辆、应急保障用车0辆、执法执勤用车0辆、特种专业技术用车0辆、离退休干部用车0辆、其他用车24辆，其他用车主要包括其他用车。单价100万元以上的设备0台（套）。</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根据预算绩效管理要求，天津市津南区住房和建设委员会（本级）2023年度已对65个区级项目开展绩效自评，涉及金额2388781905.43元，自评结果已随部门决算一并公开。</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天津市津南区住房和建设委员会（本级）不属于乡、镇、街级单位，不涉及公开2023年度教育、医疗卫生、社会保障和就业、住房保障、涉农补贴等民生支出情况。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14</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14</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17</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