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ackground w:color="ffffff">
    <v:background id="_x0000_s1025" filled="t"/>
  </w:background>
  <w:body>
    <w:p w14:paraId="771A5F97">
      <w:pPr>
        <w:pageBreakBefore w:val="0"/>
        <w:kinsoku/>
        <w:wordWrap/>
        <w:overflowPunct/>
        <w:topLinePunct w:val="0"/>
        <w:autoSpaceDE/>
        <w:autoSpaceDN/>
        <w:bidi w:val="0"/>
        <w:snapToGrid/>
        <w:spacing w:line="240" w:lineRule="auto"/>
        <w:rPr>
          <w:rFonts w:ascii="黑体" w:eastAsia="黑体" w:hAnsi="黑体" w:cs="黑体" w:hint="default"/>
          <w:w w:val="95"/>
          <w:sz w:val="32"/>
          <w:szCs w:val="32"/>
          <w:highlight w:val="none"/>
          <w:lang w:val="en"/>
        </w:rPr>
      </w:pPr>
    </w:p>
    <w:p w14:paraId="47B8FD34">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62D3CB10">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51C4B0F">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67A7ADD0">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4E2FD57">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05DFB5D3">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6EC8359E">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B497553">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7F5E6F1">
      <w:pPr>
        <w:pageBreakBefore w:val="0"/>
        <w:kinsoku/>
        <w:wordWrap/>
        <w:overflowPunct/>
        <w:topLinePunct w:val="0"/>
        <w:autoSpaceDE/>
        <w:autoSpaceDN/>
        <w:bidi w:val="0"/>
        <w:snapToGrid/>
        <w:spacing w:line="240" w:lineRule="auto"/>
        <w:jc w:val="center"/>
        <w:rPr>
          <w:rFonts w:ascii="方正小标宋简体" w:eastAsia="方正小标宋简体" w:hAnsi="方正小标宋简体" w:cs="方正小标宋简体" w:hint="eastAsia"/>
          <w:sz w:val="48"/>
          <w:szCs w:val="48"/>
          <w:highlight w:val="none"/>
          <w:lang w:val="en-US" w:eastAsia="zh-CN"/>
        </w:rPr>
      </w:pPr>
      <w:r>
        <w:rPr>
          <w:rFonts w:ascii="方正小标宋简体" w:eastAsia="方正小标宋简体" w:hAnsi="方正小标宋简体" w:cs="方正小标宋简体" w:hint="eastAsia"/>
          <w:sz w:val="48"/>
          <w:szCs w:val="48"/>
          <w:highlight w:val="none"/>
          <w:lang w:val="en-US" w:eastAsia="zh-CN"/>
        </w:rPr>
        <w:t>天津市津南区工程建设交易服务中心</w:t>
      </w:r>
    </w:p>
    <w:p w14:paraId="6C77533C">
      <w:pPr>
        <w:pageBreakBefore w:val="0"/>
        <w:kinsoku/>
        <w:wordWrap/>
        <w:overflowPunct/>
        <w:topLinePunct w:val="0"/>
        <w:autoSpaceDE/>
        <w:autoSpaceDN/>
        <w:bidi w:val="0"/>
        <w:snapToGrid/>
        <w:spacing w:line="240" w:lineRule="auto"/>
        <w:jc w:val="center"/>
        <w:rPr>
          <w:rFonts w:ascii="黑体" w:eastAsia="黑体" w:hint="eastAsia"/>
          <w:sz w:val="30"/>
          <w:szCs w:val="30"/>
          <w:highlight w:val="none"/>
        </w:rPr>
      </w:pPr>
      <w:r>
        <w:rPr>
          <w:rFonts w:ascii="方正小标宋简体" w:eastAsia="方正小标宋简体" w:hAnsi="方正小标宋简体" w:cs="方正小标宋简体" w:hint="eastAsia"/>
          <w:sz w:val="48"/>
          <w:szCs w:val="48"/>
          <w:highlight w:val="none"/>
          <w:lang w:eastAsia="zh-CN"/>
        </w:rPr>
        <w:t>202</w:t>
      </w:r>
      <w:r>
        <w:rPr>
          <w:rFonts w:ascii="方正小标宋简体" w:eastAsia="方正小标宋简体" w:hAnsi="方正小标宋简体" w:cs="方正小标宋简体" w:hint="eastAsia"/>
          <w:sz w:val="48"/>
          <w:szCs w:val="48"/>
          <w:highlight w:val="none"/>
          <w:lang w:val="en-US" w:eastAsia="zh-CN"/>
        </w:rPr>
        <w:t>3</w:t>
      </w:r>
      <w:r>
        <w:rPr>
          <w:rFonts w:ascii="方正小标宋简体" w:eastAsia="方正小标宋简体" w:hAnsi="方正小标宋简体" w:cs="方正小标宋简体" w:hint="eastAsia"/>
          <w:sz w:val="48"/>
          <w:szCs w:val="48"/>
          <w:highlight w:val="none"/>
        </w:rPr>
        <w:t>年度部门决算</w:t>
      </w:r>
    </w:p>
    <w:p w14:paraId="527484CF">
      <w:pPr>
        <w:pageBreakBefore w:val="0"/>
        <w:kinsoku/>
        <w:wordWrap/>
        <w:overflowPunct/>
        <w:topLinePunct w:val="0"/>
        <w:autoSpaceDE/>
        <w:autoSpaceDN/>
        <w:bidi w:val="0"/>
        <w:snapToGrid/>
        <w:spacing w:line="580" w:lineRule="exact"/>
        <w:jc w:val="center"/>
        <w:rPr>
          <w:rFonts w:ascii="黑体" w:eastAsia="黑体" w:hint="eastAsia"/>
          <w:sz w:val="44"/>
          <w:szCs w:val="44"/>
          <w:highlight w:val="none"/>
        </w:rPr>
      </w:pPr>
    </w:p>
    <w:p w14:paraId="5EF768AF">
      <w:pPr>
        <w:pageBreakBefore w:val="0"/>
        <w:kinsoku/>
        <w:wordWrap/>
        <w:overflowPunct/>
        <w:topLinePunct w:val="0"/>
        <w:autoSpaceDE/>
        <w:autoSpaceDN/>
        <w:bidi w:val="0"/>
        <w:snapToGrid/>
        <w:spacing w:line="600" w:lineRule="exact"/>
        <w:jc w:val="center"/>
        <w:rPr>
          <w:rFonts w:ascii="黑体" w:eastAsia="黑体" w:hint="eastAsia"/>
          <w:sz w:val="44"/>
          <w:szCs w:val="44"/>
          <w:highlight w:val="none"/>
        </w:rPr>
        <w:sectPr>
          <w:pgSz w:w="11906" w:h="16838"/>
          <w:pgMar w:top="1440" w:right="1800" w:bottom="1440" w:left="1800" w:header="851" w:footer="992" w:gutter="0"/>
          <w:pgNumType w:start="1"/>
          <w:cols w:num="1" w:space="720"/>
          <w:docGrid w:type="lines" w:linePitch="312" w:charSpace="0"/>
        </w:sectPr>
      </w:pPr>
    </w:p>
    <w:p w14:paraId="5FE03D61">
      <w:pPr>
        <w:pageBreakBefore w:val="0"/>
        <w:kinsoku/>
        <w:wordWrap/>
        <w:overflowPunct/>
        <w:topLinePunct w:val="0"/>
        <w:autoSpaceDE/>
        <w:autoSpaceDN/>
        <w:bidi w:val="0"/>
        <w:snapToGrid/>
        <w:spacing w:line="600" w:lineRule="exact"/>
        <w:jc w:val="center"/>
        <w:rPr>
          <w:rFonts w:ascii="黑体" w:eastAsia="黑体" w:hint="eastAsia"/>
          <w:sz w:val="44"/>
          <w:szCs w:val="44"/>
          <w:highlight w:val="none"/>
        </w:rPr>
      </w:pPr>
    </w:p>
    <w:p w14:paraId="340F20B9">
      <w:pPr>
        <w:pageBreakBefore w:val="0"/>
        <w:kinsoku/>
        <w:wordWrap/>
        <w:overflowPunct/>
        <w:topLinePunct w:val="0"/>
        <w:autoSpaceDE/>
        <w:autoSpaceDN/>
        <w:bidi w:val="0"/>
        <w:snapToGrid/>
        <w:spacing w:line="600" w:lineRule="exact"/>
        <w:jc w:val="center"/>
        <w:rPr>
          <w:rFonts w:ascii="黑体" w:eastAsia="黑体" w:hint="eastAsia"/>
          <w:sz w:val="44"/>
          <w:szCs w:val="44"/>
        </w:rPr>
      </w:pPr>
      <w:r>
        <w:rPr>
          <w:rFonts w:ascii="黑体" w:eastAsia="黑体" w:hint="eastAsia"/>
          <w:sz w:val="44"/>
          <w:szCs w:val="44"/>
        </w:rPr>
        <w:t>目   录</w:t>
      </w:r>
    </w:p>
    <w:p w14:paraId="37D8886D">
      <w:pPr>
        <w:pageBreakBefore w:val="0"/>
        <w:kinsoku/>
        <w:wordWrap/>
        <w:overflowPunct/>
        <w:topLinePunct w:val="0"/>
        <w:autoSpaceDE/>
        <w:autoSpaceDN/>
        <w:bidi w:val="0"/>
        <w:snapToGrid/>
        <w:spacing w:line="600" w:lineRule="exact"/>
        <w:rPr>
          <w:rFonts w:ascii="黑体" w:eastAsia="黑体" w:hint="eastAsia"/>
          <w:sz w:val="30"/>
          <w:szCs w:val="30"/>
          <w:highlight w:val="none"/>
        </w:rPr>
      </w:pPr>
    </w:p>
    <w:p w14:paraId="7A1C0097">
      <w:pPr>
        <w:pStyle w:val="TOC1"/>
        <w:pageBreakBefore w:val="0"/>
        <w:tabs>
          <w:tab w:val="clear" w:pos="8296"/>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r>
        <w:rPr>
          <w:rFonts w:ascii="Times New Roman" w:eastAsia="仿宋_GB2312" w:hAnsi="Times New Roman" w:cs="Times New Roman"/>
          <w:sz w:val="30"/>
          <w:szCs w:val="30"/>
          <w:highlight w:val="none"/>
        </w:rPr>
        <w:fldChar w:fldCharType="begin"/>
      </w:r>
      <w:r>
        <w:rPr>
          <w:rFonts w:ascii="Times New Roman" w:eastAsia="仿宋_GB2312" w:hAnsi="Times New Roman" w:cs="Times New Roman"/>
          <w:sz w:val="30"/>
          <w:szCs w:val="30"/>
          <w:highlight w:val="none"/>
        </w:rPr>
        <w:instrText xml:space="preserve"> TOC \o "1-3" \h \z \u </w:instrText>
      </w:r>
      <w:r>
        <w:rPr>
          <w:rFonts w:ascii="Times New Roman" w:eastAsia="仿宋_GB2312" w:hAnsi="Times New Roman" w:cs="Times New Roman"/>
          <w:sz w:val="30"/>
          <w:szCs w:val="30"/>
          <w:highlight w:val="none"/>
        </w:rPr>
        <w:fldChar w:fldCharType="separate"/>
      </w:r>
      <w:hyperlink w:anchor="_Toc7076" w:history="1">
        <w:r>
          <w:rPr>
            <w:rFonts w:ascii="方正小标宋简体" w:eastAsia="方正小标宋简体" w:hAnsi="方正小标宋简体" w:cs="方正小标宋简体" w:hint="eastAsia"/>
            <w:b w:val="0"/>
            <w:bCs w:val="0"/>
            <w:sz w:val="30"/>
            <w:szCs w:val="30"/>
            <w:highlight w:val="none"/>
          </w:rPr>
          <w:t>第一部分  概 况</w:t>
        </w:r>
        <w:r>
          <w:rPr>
            <w:rFonts w:ascii="方正小标宋简体" w:eastAsia="方正小标宋简体" w:hAnsi="方正小标宋简体" w:cs="方正小标宋简体" w:hint="eastAsia"/>
            <w:b w:val="0"/>
            <w:bCs w:val="0"/>
            <w:sz w:val="30"/>
            <w:szCs w:val="30"/>
          </w:rPr>
          <w:tab/>
        </w:r>
        <w:r>
          <w:rPr>
            <w:rFonts w:ascii="方正小标宋简体" w:eastAsia="方正小标宋简体" w:hAnsi="方正小标宋简体" w:cs="方正小标宋简体" w:hint="eastAsia"/>
            <w:b w:val="0"/>
            <w:bCs w:val="0"/>
            <w:sz w:val="30"/>
            <w:szCs w:val="30"/>
          </w:rPr>
          <w:fldChar w:fldCharType="begin"/>
        </w:r>
        <w:r>
          <w:rPr>
            <w:rFonts w:ascii="方正小标宋简体" w:eastAsia="方正小标宋简体" w:hAnsi="方正小标宋简体" w:cs="方正小标宋简体" w:hint="eastAsia"/>
            <w:b w:val="0"/>
            <w:bCs w:val="0"/>
            <w:sz w:val="30"/>
            <w:szCs w:val="30"/>
          </w:rPr>
          <w:instrText xml:space="preserve"> PAGEREF _Toc7076 </w:instrText>
        </w:r>
        <w:r>
          <w:rPr>
            <w:rFonts w:ascii="方正小标宋简体" w:eastAsia="方正小标宋简体" w:hAnsi="方正小标宋简体" w:cs="方正小标宋简体" w:hint="eastAsia"/>
            <w:b w:val="0"/>
            <w:bCs w:val="0"/>
            <w:sz w:val="30"/>
            <w:szCs w:val="30"/>
          </w:rPr>
          <w:fldChar w:fldCharType="separate"/>
        </w:r>
        <w:r>
          <w:rPr>
            <w:rFonts w:ascii="方正小标宋简体" w:eastAsia="方正小标宋简体" w:hAnsi="方正小标宋简体" w:cs="方正小标宋简体" w:hint="eastAsia"/>
            <w:b w:val="0"/>
            <w:bCs w:val="0"/>
            <w:sz w:val="30"/>
            <w:szCs w:val="30"/>
          </w:rPr>
          <w:t>1</w:t>
        </w:r>
        <w:r>
          <w:rPr>
            <w:rFonts w:ascii="方正小标宋简体" w:eastAsia="方正小标宋简体" w:hAnsi="方正小标宋简体" w:cs="方正小标宋简体" w:hint="eastAsia"/>
            <w:b w:val="0"/>
            <w:bCs w:val="0"/>
            <w:sz w:val="30"/>
            <w:szCs w:val="30"/>
          </w:rPr>
          <w:fldChar w:fldCharType="end"/>
        </w:r>
      </w:hyperlink>
    </w:p>
    <w:p w14:paraId="255B2CE3">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3809" w:history="1">
        <w:r>
          <w:rPr>
            <w:rFonts w:ascii="仿宋_GB2312" w:eastAsia="仿宋_GB2312" w:hAnsi="仿宋_GB2312" w:cs="仿宋_GB2312" w:hint="eastAsia"/>
            <w:bCs w:val="0"/>
            <w:sz w:val="30"/>
            <w:szCs w:val="30"/>
            <w:highlight w:val="none"/>
          </w:rPr>
          <w:t>一、主要职责</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_Toc13809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fldChar w:fldCharType="end"/>
        </w:r>
      </w:hyperlink>
    </w:p>
    <w:p w14:paraId="3CEA7295">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0426" w:history="1">
        <w:r>
          <w:rPr>
            <w:rFonts w:ascii="仿宋_GB2312" w:eastAsia="仿宋_GB2312" w:hAnsi="仿宋_GB2312" w:cs="仿宋_GB2312" w:hint="eastAsia"/>
            <w:bCs w:val="0"/>
            <w:sz w:val="30"/>
            <w:szCs w:val="30"/>
            <w:highlight w:val="none"/>
          </w:rPr>
          <w:t>二、机构设置</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_Toc20426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fldChar w:fldCharType="end"/>
        </w:r>
      </w:hyperlink>
    </w:p>
    <w:p w14:paraId="63E6C9E8">
      <w:pPr>
        <w:pStyle w:val="TOC1"/>
        <w:pageBreakBefore w:val="0"/>
        <w:tabs>
          <w:tab w:val="clear" w:pos="8296"/>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5731" w:history="1">
        <w:r>
          <w:rPr>
            <w:rFonts w:ascii="方正小标宋简体" w:eastAsia="方正小标宋简体" w:hAnsi="方正小标宋简体" w:cs="方正小标宋简体" w:hint="eastAsia"/>
            <w:b w:val="0"/>
            <w:bCs w:val="0"/>
            <w:sz w:val="30"/>
            <w:szCs w:val="30"/>
            <w:highlight w:val="none"/>
          </w:rPr>
          <w:t xml:space="preserve">第二部分  </w:t>
        </w:r>
        <w:r>
          <w:rPr>
            <w:rFonts w:ascii="方正小标宋简体" w:eastAsia="方正小标宋简体" w:hAnsi="方正小标宋简体" w:cs="方正小标宋简体" w:hint="eastAsia"/>
            <w:b w:val="0"/>
            <w:bCs w:val="0"/>
            <w:sz w:val="30"/>
            <w:szCs w:val="30"/>
            <w:highlight w:val="none"/>
            <w:lang w:eastAsia="zh-CN"/>
          </w:rPr>
          <w:t>202</w:t>
        </w:r>
        <w:r>
          <w:rPr>
            <w:rFonts w:ascii="方正小标宋简体" w:eastAsia="方正小标宋简体" w:hAnsi="方正小标宋简体" w:cs="方正小标宋简体" w:hint="eastAsia"/>
            <w:b w:val="0"/>
            <w:bCs w:val="0"/>
            <w:sz w:val="30"/>
            <w:szCs w:val="30"/>
            <w:highlight w:val="none"/>
            <w:lang w:val="en-US" w:eastAsia="zh-CN"/>
          </w:rPr>
          <w:t>3</w:t>
        </w:r>
        <w:r>
          <w:rPr>
            <w:rFonts w:ascii="方正小标宋简体" w:eastAsia="方正小标宋简体" w:hAnsi="方正小标宋简体" w:cs="方正小标宋简体" w:hint="eastAsia"/>
            <w:b w:val="0"/>
            <w:bCs w:val="0"/>
            <w:sz w:val="30"/>
            <w:szCs w:val="30"/>
            <w:highlight w:val="none"/>
          </w:rPr>
          <w:t>年度部门决算表</w:t>
        </w:r>
        <w:r>
          <w:rPr>
            <w:rFonts w:ascii="方正小标宋简体" w:eastAsia="方正小标宋简体" w:hAnsi="方正小标宋简体" w:cs="方正小标宋简体" w:hint="eastAsia"/>
            <w:b w:val="0"/>
            <w:bCs w:val="0"/>
            <w:sz w:val="30"/>
            <w:szCs w:val="30"/>
            <w:highlight w:val="none"/>
          </w:rPr>
          <w:tab/>
        </w:r>
        <w:r>
          <w:rPr>
            <w:rFonts w:ascii="方正小标宋简体" w:eastAsia="方正小标宋简体" w:hAnsi="方正小标宋简体" w:cs="方正小标宋简体" w:hint="eastAsia"/>
            <w:b w:val="0"/>
            <w:bCs w:val="0"/>
            <w:sz w:val="30"/>
            <w:szCs w:val="30"/>
            <w:highlight w:val="none"/>
          </w:rPr>
          <w:fldChar w:fldCharType="begin"/>
        </w:r>
        <w:r>
          <w:rPr>
            <w:rFonts w:ascii="方正小标宋简体" w:eastAsia="方正小标宋简体" w:hAnsi="方正小标宋简体" w:cs="方正小标宋简体" w:hint="eastAsia"/>
            <w:b w:val="0"/>
            <w:bCs w:val="0"/>
            <w:sz w:val="30"/>
            <w:szCs w:val="30"/>
            <w:highlight w:val="none"/>
          </w:rPr>
          <w:instrText xml:space="preserve"> PAGEREF _Toc15731 </w:instrText>
        </w:r>
        <w:r>
          <w:rPr>
            <w:rFonts w:ascii="方正小标宋简体" w:eastAsia="方正小标宋简体" w:hAnsi="方正小标宋简体" w:cs="方正小标宋简体" w:hint="eastAsia"/>
            <w:b w:val="0"/>
            <w:bCs w:val="0"/>
            <w:sz w:val="30"/>
            <w:szCs w:val="30"/>
            <w:highlight w:val="none"/>
          </w:rPr>
          <w:fldChar w:fldCharType="separate"/>
        </w:r>
        <w:r>
          <w:rPr>
            <w:rFonts w:ascii="方正小标宋简体" w:eastAsia="方正小标宋简体" w:hAnsi="方正小标宋简体" w:cs="方正小标宋简体" w:hint="eastAsia"/>
            <w:b w:val="0"/>
            <w:bCs w:val="0"/>
            <w:sz w:val="30"/>
            <w:szCs w:val="30"/>
            <w:highlight w:val="none"/>
          </w:rPr>
          <w:t>2</w:t>
        </w:r>
        <w:r>
          <w:rPr>
            <w:rFonts w:ascii="方正小标宋简体" w:eastAsia="方正小标宋简体" w:hAnsi="方正小标宋简体" w:cs="方正小标宋简体" w:hint="eastAsia"/>
            <w:b w:val="0"/>
            <w:bCs w:val="0"/>
            <w:sz w:val="30"/>
            <w:szCs w:val="30"/>
            <w:highlight w:val="none"/>
          </w:rPr>
          <w:fldChar w:fldCharType="end"/>
        </w:r>
      </w:hyperlink>
    </w:p>
    <w:p w14:paraId="5745C42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8843" w:history="1">
        <w:r>
          <w:rPr>
            <w:rFonts w:ascii="仿宋_GB2312" w:eastAsia="仿宋_GB2312" w:hAnsi="仿宋_GB2312" w:cs="仿宋_GB2312" w:hint="eastAsia"/>
            <w:sz w:val="30"/>
            <w:szCs w:val="30"/>
            <w:highlight w:val="none"/>
          </w:rPr>
          <w:t>一、《收入支出决算总表》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_Toc8843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3CE3AED2">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552" w:history="1">
        <w:r>
          <w:rPr>
            <w:rFonts w:ascii="仿宋_GB2312" w:eastAsia="仿宋_GB2312" w:hAnsi="仿宋_GB2312" w:cs="仿宋_GB2312" w:hint="eastAsia"/>
            <w:sz w:val="30"/>
            <w:szCs w:val="30"/>
            <w:highlight w:val="none"/>
          </w:rPr>
          <w:t>二、《收入决算表（按功能分类列示）》</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_Toc2552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2C7371C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7841" w:history="1">
        <w:r>
          <w:rPr>
            <w:rFonts w:ascii="仿宋_GB2312" w:eastAsia="仿宋_GB2312" w:hAnsi="仿宋_GB2312" w:cs="仿宋_GB2312" w:hint="eastAsia"/>
            <w:sz w:val="30"/>
            <w:szCs w:val="30"/>
            <w:highlight w:val="none"/>
          </w:rPr>
          <w:t>三、《收入决算表（按单位列示）》</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_Toc27841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5257E23D">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8617" w:history="1">
        <w:r>
          <w:rPr>
            <w:rFonts w:ascii="仿宋_GB2312" w:eastAsia="仿宋_GB2312" w:hAnsi="仿宋_GB2312" w:cs="仿宋_GB2312" w:hint="eastAsia"/>
            <w:sz w:val="30"/>
            <w:szCs w:val="30"/>
            <w:highlight w:val="none"/>
          </w:rPr>
          <w:t>四、《支出决算表》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_Toc8617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25B1ED0C">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763" w:history="1">
        <w:r>
          <w:rPr>
            <w:rFonts w:ascii="仿宋_GB2312" w:eastAsia="仿宋_GB2312" w:hAnsi="仿宋_GB2312" w:cs="仿宋_GB2312" w:hint="eastAsia"/>
            <w:sz w:val="30"/>
            <w:szCs w:val="30"/>
            <w:highlight w:val="none"/>
          </w:rPr>
          <w:t>五、《财政拨款收入支出决算总表》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_Toc12763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71C6C4DD">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4693" w:history="1">
        <w:r>
          <w:rPr>
            <w:rFonts w:ascii="仿宋_GB2312" w:eastAsia="仿宋_GB2312" w:hAnsi="仿宋_GB2312" w:cs="仿宋_GB2312" w:hint="eastAsia"/>
            <w:sz w:val="30"/>
            <w:szCs w:val="30"/>
            <w:highlight w:val="none"/>
          </w:rPr>
          <w:t>六、《一般公共预算财政拨款支出决算表》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_Toc24693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5C8D7AA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3125" w:history="1">
        <w:r>
          <w:rPr>
            <w:rFonts w:ascii="仿宋_GB2312" w:eastAsia="仿宋_GB2312" w:hAnsi="仿宋_GB2312" w:cs="仿宋_GB2312" w:hint="eastAsia"/>
            <w:sz w:val="30"/>
            <w:szCs w:val="30"/>
            <w:highlight w:val="none"/>
          </w:rPr>
          <w:t>七、《一般公共预算财政拨款基本支出决算表》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_Toc13125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22271CE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7248" w:history="1">
        <w:r>
          <w:rPr>
            <w:rFonts w:ascii="仿宋_GB2312" w:eastAsia="仿宋_GB2312" w:hAnsi="仿宋_GB2312" w:cs="仿宋_GB2312" w:hint="eastAsia"/>
            <w:sz w:val="30"/>
            <w:szCs w:val="30"/>
            <w:highlight w:val="none"/>
            <w:lang w:eastAsia="zh-CN"/>
          </w:rPr>
          <w:t>八</w:t>
        </w:r>
        <w:r>
          <w:rPr>
            <w:rFonts w:ascii="仿宋_GB2312" w:eastAsia="仿宋_GB2312" w:hAnsi="仿宋_GB2312" w:cs="仿宋_GB2312" w:hint="eastAsia"/>
            <w:sz w:val="30"/>
            <w:szCs w:val="30"/>
            <w:highlight w:val="none"/>
          </w:rPr>
          <w:t>、《政府性基金预算财政拨款收入支出决算表》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_Toc27248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1ECC3FF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5066" w:history="1">
        <w:r>
          <w:rPr>
            <w:rFonts w:ascii="仿宋_GB2312" w:eastAsia="仿宋_GB2312" w:hAnsi="仿宋_GB2312" w:cs="仿宋_GB2312" w:hint="eastAsia"/>
            <w:sz w:val="30"/>
            <w:szCs w:val="30"/>
            <w:highlight w:val="none"/>
            <w:lang w:eastAsia="zh-CN"/>
          </w:rPr>
          <w:t>九</w:t>
        </w:r>
        <w:r>
          <w:rPr>
            <w:rFonts w:ascii="仿宋_GB2312" w:eastAsia="仿宋_GB2312" w:hAnsi="仿宋_GB2312" w:cs="仿宋_GB2312" w:hint="eastAsia"/>
            <w:sz w:val="30"/>
            <w:szCs w:val="30"/>
            <w:highlight w:val="none"/>
          </w:rPr>
          <w:t>、《国有资本经营预算财政拨款收入支出决算表》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_Toc5066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3C5F80FA">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1014" w:history="1">
        <w:r>
          <w:rPr>
            <w:rFonts w:ascii="仿宋_GB2312" w:eastAsia="仿宋_GB2312" w:hAnsi="仿宋_GB2312" w:cs="仿宋_GB2312" w:hint="eastAsia"/>
            <w:sz w:val="30"/>
            <w:szCs w:val="30"/>
            <w:highlight w:val="none"/>
            <w:lang w:eastAsia="zh-CN"/>
          </w:rPr>
          <w:t>十</w:t>
        </w:r>
        <w:r>
          <w:rPr>
            <w:rFonts w:ascii="仿宋_GB2312" w:eastAsia="仿宋_GB2312" w:hAnsi="仿宋_GB2312" w:cs="仿宋_GB2312" w:hint="eastAsia"/>
            <w:sz w:val="30"/>
            <w:szCs w:val="30"/>
            <w:highlight w:val="none"/>
          </w:rPr>
          <w:t>、《财政拨款“三公”经费支出决算表》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_Toc21014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717DD5B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3144" w:history="1">
        <w:r>
          <w:rPr>
            <w:rFonts w:ascii="仿宋_GB2312" w:eastAsia="仿宋_GB2312" w:hAnsi="仿宋_GB2312" w:cs="仿宋_GB2312" w:hint="eastAsia"/>
            <w:sz w:val="30"/>
            <w:szCs w:val="30"/>
            <w:highlight w:val="none"/>
          </w:rPr>
          <w:t>十</w:t>
        </w:r>
        <w:r>
          <w:rPr>
            <w:rFonts w:ascii="仿宋_GB2312" w:eastAsia="仿宋_GB2312" w:hAnsi="仿宋_GB2312" w:cs="仿宋_GB2312" w:hint="eastAsia"/>
            <w:sz w:val="30"/>
            <w:szCs w:val="30"/>
            <w:highlight w:val="none"/>
            <w:lang w:eastAsia="zh-CN"/>
          </w:rPr>
          <w:t>一</w:t>
        </w:r>
        <w:r>
          <w:rPr>
            <w:rFonts w:ascii="仿宋_GB2312" w:eastAsia="仿宋_GB2312" w:hAnsi="仿宋_GB2312" w:cs="仿宋_GB2312" w:hint="eastAsia"/>
            <w:sz w:val="30"/>
            <w:szCs w:val="30"/>
            <w:highlight w:val="none"/>
          </w:rPr>
          <w:t>、《项目支出决算表》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_Toc13144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49A43F59">
      <w:pPr>
        <w:pStyle w:val="TOC1"/>
        <w:pageBreakBefore w:val="0"/>
        <w:tabs>
          <w:tab w:val="clear" w:pos="8296"/>
          <w:tab w:val="right" w:leader="dot" w:pos="8306"/>
        </w:tabs>
        <w:kinsoku/>
        <w:wordWrap/>
        <w:overflowPunct/>
        <w:topLinePunct w:val="0"/>
        <w:autoSpaceDE/>
        <w:autoSpaceDN/>
        <w:bidi w:val="0"/>
        <w:snapToGrid/>
        <w:spacing w:after="0"/>
        <w:rPr>
          <w:rFonts w:ascii="方正小标宋简体" w:eastAsia="方正小标宋简体" w:hAnsi="方正小标宋简体" w:cs="方正小标宋简体" w:hint="eastAsia"/>
          <w:b w:val="0"/>
          <w:bCs w:val="0"/>
          <w:sz w:val="30"/>
          <w:szCs w:val="30"/>
          <w:highlight w:val="none"/>
        </w:rPr>
      </w:pPr>
      <w:hyperlink w:anchor="_Toc6548" w:history="1">
        <w:r>
          <w:rPr>
            <w:rFonts w:ascii="方正小标宋简体" w:eastAsia="方正小标宋简体" w:hAnsi="方正小标宋简体" w:cs="方正小标宋简体" w:hint="eastAsia"/>
            <w:b w:val="0"/>
            <w:bCs w:val="0"/>
            <w:sz w:val="30"/>
            <w:szCs w:val="30"/>
            <w:highlight w:val="none"/>
          </w:rPr>
          <w:t xml:space="preserve">第三部分  </w:t>
        </w:r>
        <w:r>
          <w:rPr>
            <w:rFonts w:ascii="方正小标宋简体" w:eastAsia="方正小标宋简体" w:hAnsi="方正小标宋简体" w:cs="方正小标宋简体" w:hint="eastAsia"/>
            <w:b w:val="0"/>
            <w:bCs w:val="0"/>
            <w:sz w:val="30"/>
            <w:szCs w:val="30"/>
            <w:highlight w:val="none"/>
            <w:lang w:eastAsia="zh-CN"/>
          </w:rPr>
          <w:t>202</w:t>
        </w:r>
        <w:r>
          <w:rPr>
            <w:rFonts w:ascii="方正小标宋简体" w:eastAsia="方正小标宋简体" w:hAnsi="方正小标宋简体" w:cs="方正小标宋简体" w:hint="eastAsia"/>
            <w:b w:val="0"/>
            <w:bCs w:val="0"/>
            <w:sz w:val="30"/>
            <w:szCs w:val="30"/>
            <w:highlight w:val="none"/>
            <w:lang w:val="en-US" w:eastAsia="zh-CN"/>
          </w:rPr>
          <w:t>3</w:t>
        </w:r>
        <w:r>
          <w:rPr>
            <w:rFonts w:ascii="方正小标宋简体" w:eastAsia="方正小标宋简体" w:hAnsi="方正小标宋简体" w:cs="方正小标宋简体" w:hint="eastAsia"/>
            <w:b w:val="0"/>
            <w:bCs w:val="0"/>
            <w:sz w:val="30"/>
            <w:szCs w:val="30"/>
            <w:highlight w:val="none"/>
          </w:rPr>
          <w:t>年度部门决算情况说明</w:t>
        </w:r>
        <w:r>
          <w:rPr>
            <w:rFonts w:ascii="方正小标宋简体" w:eastAsia="方正小标宋简体" w:hAnsi="方正小标宋简体" w:cs="方正小标宋简体" w:hint="eastAsia"/>
            <w:b w:val="0"/>
            <w:bCs w:val="0"/>
            <w:sz w:val="30"/>
            <w:szCs w:val="30"/>
            <w:highlight w:val="none"/>
          </w:rPr>
          <w:tab/>
        </w:r>
        <w:r>
          <w:rPr>
            <w:rFonts w:ascii="方正小标宋简体" w:eastAsia="方正小标宋简体" w:hAnsi="方正小标宋简体" w:cs="方正小标宋简体" w:hint="eastAsia"/>
            <w:b w:val="0"/>
            <w:bCs w:val="0"/>
            <w:sz w:val="30"/>
            <w:szCs w:val="30"/>
            <w:highlight w:val="none"/>
          </w:rPr>
          <w:fldChar w:fldCharType="begin"/>
        </w:r>
        <w:r>
          <w:rPr>
            <w:rFonts w:ascii="方正小标宋简体" w:eastAsia="方正小标宋简体" w:hAnsi="方正小标宋简体" w:cs="方正小标宋简体" w:hint="eastAsia"/>
            <w:b w:val="0"/>
            <w:bCs w:val="0"/>
            <w:sz w:val="30"/>
            <w:szCs w:val="30"/>
            <w:highlight w:val="none"/>
          </w:rPr>
          <w:instrText xml:space="preserve"> PAGEREF _Toc6548 </w:instrText>
        </w:r>
        <w:r>
          <w:rPr>
            <w:rFonts w:ascii="方正小标宋简体" w:eastAsia="方正小标宋简体" w:hAnsi="方正小标宋简体" w:cs="方正小标宋简体" w:hint="eastAsia"/>
            <w:b w:val="0"/>
            <w:bCs w:val="0"/>
            <w:sz w:val="30"/>
            <w:szCs w:val="30"/>
            <w:highlight w:val="none"/>
          </w:rPr>
          <w:fldChar w:fldCharType="separate"/>
        </w:r>
        <w:r>
          <w:rPr>
            <w:rFonts w:ascii="方正小标宋简体" w:eastAsia="方正小标宋简体" w:hAnsi="方正小标宋简体" w:cs="方正小标宋简体" w:hint="eastAsia"/>
            <w:b w:val="0"/>
            <w:bCs w:val="0"/>
            <w:sz w:val="30"/>
            <w:szCs w:val="30"/>
            <w:highlight w:val="none"/>
          </w:rPr>
          <w:t>4</w:t>
        </w:r>
        <w:r>
          <w:rPr>
            <w:rFonts w:ascii="方正小标宋简体" w:eastAsia="方正小标宋简体" w:hAnsi="方正小标宋简体" w:cs="方正小标宋简体" w:hint="eastAsia"/>
            <w:b w:val="0"/>
            <w:bCs w:val="0"/>
            <w:sz w:val="30"/>
            <w:szCs w:val="30"/>
            <w:highlight w:val="none"/>
          </w:rPr>
          <w:fldChar w:fldCharType="end"/>
        </w:r>
      </w:hyperlink>
    </w:p>
    <w:p w14:paraId="6665115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8044" w:history="1">
        <w:r>
          <w:rPr>
            <w:rFonts w:ascii="仿宋_GB2312" w:eastAsia="仿宋_GB2312" w:hAnsi="仿宋_GB2312" w:cs="仿宋_GB2312" w:hint="eastAsia"/>
            <w:sz w:val="30"/>
            <w:szCs w:val="30"/>
            <w:highlight w:val="none"/>
          </w:rPr>
          <w:t>一、收入支出决算总体情况说明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_Toc28044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fldChar w:fldCharType="end"/>
        </w:r>
      </w:hyperlink>
    </w:p>
    <w:p w14:paraId="73EF27B3">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176" w:history="1">
        <w:r>
          <w:rPr>
            <w:rFonts w:ascii="仿宋_GB2312" w:eastAsia="仿宋_GB2312" w:hAnsi="仿宋_GB2312" w:cs="仿宋_GB2312" w:hint="eastAsia"/>
            <w:sz w:val="30"/>
            <w:szCs w:val="30"/>
            <w:highlight w:val="none"/>
          </w:rPr>
          <w:t>二、收入决算情况说明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_Toc12176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fldChar w:fldCharType="end"/>
        </w:r>
      </w:hyperlink>
    </w:p>
    <w:p w14:paraId="7B1F54F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31212" w:history="1">
        <w:r>
          <w:rPr>
            <w:rFonts w:ascii="仿宋_GB2312" w:eastAsia="仿宋_GB2312" w:hAnsi="仿宋_GB2312" w:cs="仿宋_GB2312" w:hint="eastAsia"/>
            <w:sz w:val="30"/>
            <w:szCs w:val="30"/>
            <w:highlight w:val="none"/>
          </w:rPr>
          <w:t>三、支出决算情况说明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_Toc31212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fldChar w:fldCharType="end"/>
        </w:r>
      </w:hyperlink>
    </w:p>
    <w:p w14:paraId="08C2ECD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9211" w:history="1">
        <w:r>
          <w:rPr>
            <w:rFonts w:ascii="仿宋_GB2312" w:eastAsia="仿宋_GB2312" w:hAnsi="仿宋_GB2312" w:cs="仿宋_GB2312" w:hint="eastAsia"/>
            <w:sz w:val="30"/>
            <w:szCs w:val="30"/>
            <w:highlight w:val="none"/>
          </w:rPr>
          <w:t>四、财政拨款收支决算总体情况说明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_Toc19211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fldChar w:fldCharType="end"/>
        </w:r>
      </w:hyperlink>
    </w:p>
    <w:p w14:paraId="5005F8A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5286" w:history="1">
        <w:r>
          <w:rPr>
            <w:rFonts w:ascii="仿宋_GB2312" w:eastAsia="仿宋_GB2312" w:hAnsi="仿宋_GB2312" w:cs="仿宋_GB2312" w:hint="eastAsia"/>
            <w:sz w:val="30"/>
            <w:szCs w:val="30"/>
            <w:highlight w:val="none"/>
          </w:rPr>
          <w:t>五、一般公共预算财政拨款支出决算情况说明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_Toc25286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fldChar w:fldCharType="end"/>
        </w:r>
      </w:hyperlink>
    </w:p>
    <w:p w14:paraId="002A0E1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6433" w:history="1">
        <w:r>
          <w:rPr>
            <w:rFonts w:ascii="仿宋_GB2312" w:eastAsia="仿宋_GB2312" w:hAnsi="仿宋_GB2312" w:cs="仿宋_GB2312" w:hint="eastAsia"/>
            <w:sz w:val="30"/>
            <w:szCs w:val="30"/>
            <w:highlight w:val="none"/>
          </w:rPr>
          <w:t>六、一般公共预算财政拨款基本支出决算情况</w:t>
        </w:r>
        <w:r>
          <w:rPr>
            <w:rFonts w:ascii="仿宋_GB2312" w:eastAsia="仿宋_GB2312" w:hAnsi="仿宋_GB2312" w:cs="仿宋_GB2312" w:hint="eastAsia"/>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_Toc26433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fldChar w:fldCharType="end"/>
        </w:r>
      </w:hyperlink>
    </w:p>
    <w:p w14:paraId="4B2BEC7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8665" w:history="1">
        <w:r>
          <w:rPr>
            <w:rFonts w:ascii="仿宋_GB2312" w:eastAsia="仿宋_GB2312" w:hAnsi="仿宋_GB2312" w:cs="仿宋_GB2312" w:hint="eastAsia"/>
            <w:sz w:val="30"/>
            <w:szCs w:val="30"/>
            <w:highlight w:val="none"/>
            <w:lang w:eastAsia="zh-CN"/>
          </w:rPr>
          <w:t>七</w:t>
        </w:r>
        <w:r>
          <w:rPr>
            <w:rFonts w:ascii="仿宋_GB2312" w:eastAsia="仿宋_GB2312" w:hAnsi="仿宋_GB2312" w:cs="仿宋_GB2312" w:hint="eastAsia"/>
            <w:sz w:val="30"/>
            <w:szCs w:val="30"/>
            <w:highlight w:val="none"/>
          </w:rPr>
          <w:t>、政府性基金预算财政拨款收支决算情况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_Toc28665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fldChar w:fldCharType="end"/>
        </w:r>
      </w:hyperlink>
    </w:p>
    <w:p w14:paraId="49D078FA">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6562" w:history="1">
        <w:r>
          <w:rPr>
            <w:rFonts w:ascii="仿宋_GB2312" w:eastAsia="仿宋_GB2312" w:hAnsi="仿宋_GB2312" w:cs="仿宋_GB2312" w:hint="eastAsia"/>
            <w:sz w:val="30"/>
            <w:szCs w:val="30"/>
            <w:highlight w:val="none"/>
            <w:lang w:eastAsia="zh-CN"/>
          </w:rPr>
          <w:t>八</w:t>
        </w:r>
        <w:r>
          <w:rPr>
            <w:rFonts w:ascii="仿宋_GB2312" w:eastAsia="仿宋_GB2312" w:hAnsi="仿宋_GB2312" w:cs="仿宋_GB2312" w:hint="eastAsia"/>
            <w:sz w:val="30"/>
            <w:szCs w:val="30"/>
            <w:highlight w:val="none"/>
          </w:rPr>
          <w:t>、国有资本经营预算财政拨款收支决算情况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_Toc26562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fldChar w:fldCharType="end"/>
        </w:r>
      </w:hyperlink>
    </w:p>
    <w:p w14:paraId="15B010B8">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3397" w:history="1">
        <w:r>
          <w:rPr>
            <w:rFonts w:ascii="仿宋_GB2312" w:eastAsia="仿宋_GB2312" w:hAnsi="仿宋_GB2312" w:cs="仿宋_GB2312" w:hint="eastAsia"/>
            <w:sz w:val="30"/>
            <w:szCs w:val="30"/>
            <w:highlight w:val="none"/>
            <w:lang w:eastAsia="zh-CN"/>
          </w:rPr>
          <w:t>九</w:t>
        </w:r>
        <w:r>
          <w:rPr>
            <w:rFonts w:ascii="仿宋_GB2312" w:eastAsia="仿宋_GB2312" w:hAnsi="仿宋_GB2312" w:cs="仿宋_GB2312" w:hint="eastAsia"/>
            <w:sz w:val="30"/>
            <w:szCs w:val="30"/>
            <w:highlight w:val="none"/>
          </w:rPr>
          <w:t>、财政拨款“三公”经费支出决算情况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_Toc3397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fldChar w:fldCharType="end"/>
        </w:r>
      </w:hyperlink>
    </w:p>
    <w:p w14:paraId="07A03F7B">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8180" w:history="1">
        <w:r>
          <w:rPr>
            <w:rFonts w:ascii="仿宋_GB2312" w:eastAsia="仿宋_GB2312" w:hAnsi="仿宋_GB2312" w:cs="仿宋_GB2312" w:hint="eastAsia"/>
            <w:sz w:val="30"/>
            <w:szCs w:val="30"/>
            <w:highlight w:val="none"/>
          </w:rPr>
          <w:t>十、机关运行经费支出情况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_Toc28180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9</w:t>
        </w:r>
        <w:r>
          <w:rPr>
            <w:rFonts w:ascii="仿宋_GB2312" w:eastAsia="仿宋_GB2312" w:hAnsi="仿宋_GB2312" w:cs="仿宋_GB2312" w:hint="eastAsia"/>
            <w:sz w:val="30"/>
            <w:szCs w:val="30"/>
          </w:rPr>
          <w:fldChar w:fldCharType="end"/>
        </w:r>
      </w:hyperlink>
    </w:p>
    <w:p w14:paraId="3A140E9D">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238" w:history="1">
        <w:r>
          <w:rPr>
            <w:rFonts w:ascii="仿宋_GB2312" w:eastAsia="仿宋_GB2312" w:hAnsi="仿宋_GB2312" w:cs="仿宋_GB2312" w:hint="eastAsia"/>
            <w:sz w:val="30"/>
            <w:szCs w:val="30"/>
            <w:highlight w:val="none"/>
          </w:rPr>
          <w:t>十</w:t>
        </w:r>
        <w:r>
          <w:rPr>
            <w:rFonts w:ascii="仿宋_GB2312" w:eastAsia="仿宋_GB2312" w:hAnsi="仿宋_GB2312" w:cs="仿宋_GB2312" w:hint="eastAsia"/>
            <w:sz w:val="30"/>
            <w:szCs w:val="30"/>
            <w:highlight w:val="none"/>
            <w:lang w:eastAsia="zh-CN"/>
          </w:rPr>
          <w:t>一</w:t>
        </w:r>
        <w:r>
          <w:rPr>
            <w:rFonts w:ascii="仿宋_GB2312" w:eastAsia="仿宋_GB2312" w:hAnsi="仿宋_GB2312" w:cs="仿宋_GB2312" w:hint="eastAsia"/>
            <w:sz w:val="30"/>
            <w:szCs w:val="30"/>
            <w:highlight w:val="none"/>
          </w:rPr>
          <w:t>、政府采购支出情况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_Toc12238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9</w:t>
        </w:r>
        <w:r>
          <w:rPr>
            <w:rFonts w:ascii="仿宋_GB2312" w:eastAsia="仿宋_GB2312" w:hAnsi="仿宋_GB2312" w:cs="仿宋_GB2312" w:hint="eastAsia"/>
            <w:sz w:val="30"/>
            <w:szCs w:val="30"/>
          </w:rPr>
          <w:fldChar w:fldCharType="end"/>
        </w:r>
      </w:hyperlink>
    </w:p>
    <w:p w14:paraId="4196E11C">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30109" w:history="1">
        <w:r>
          <w:rPr>
            <w:rFonts w:ascii="仿宋_GB2312" w:eastAsia="仿宋_GB2312" w:hAnsi="仿宋_GB2312" w:cs="仿宋_GB2312" w:hint="eastAsia"/>
            <w:sz w:val="30"/>
            <w:szCs w:val="30"/>
            <w:highlight w:val="none"/>
          </w:rPr>
          <w:t>十</w:t>
        </w:r>
        <w:r>
          <w:rPr>
            <w:rFonts w:ascii="仿宋_GB2312" w:eastAsia="仿宋_GB2312" w:hAnsi="仿宋_GB2312" w:cs="仿宋_GB2312" w:hint="eastAsia"/>
            <w:sz w:val="30"/>
            <w:szCs w:val="30"/>
            <w:highlight w:val="none"/>
            <w:lang w:eastAsia="zh-CN"/>
          </w:rPr>
          <w:t>二</w:t>
        </w:r>
        <w:r>
          <w:rPr>
            <w:rFonts w:ascii="仿宋_GB2312" w:eastAsia="仿宋_GB2312" w:hAnsi="仿宋_GB2312" w:cs="仿宋_GB2312" w:hint="eastAsia"/>
            <w:sz w:val="30"/>
            <w:szCs w:val="30"/>
            <w:highlight w:val="none"/>
          </w:rPr>
          <w:t>、国有资产占有使用情况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_Toc30109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fldChar w:fldCharType="end"/>
        </w:r>
      </w:hyperlink>
    </w:p>
    <w:p w14:paraId="4668112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7408" w:history="1">
        <w:r>
          <w:rPr>
            <w:rFonts w:ascii="仿宋_GB2312" w:eastAsia="仿宋_GB2312" w:hAnsi="仿宋_GB2312" w:cs="仿宋_GB2312" w:hint="eastAsia"/>
            <w:bCs w:val="0"/>
            <w:sz w:val="30"/>
            <w:szCs w:val="30"/>
          </w:rPr>
          <w:t xml:space="preserve">十三、 </w:t>
        </w:r>
        <w:r>
          <w:rPr>
            <w:rFonts w:ascii="仿宋_GB2312" w:eastAsia="仿宋_GB2312" w:hAnsi="仿宋_GB2312" w:cs="仿宋_GB2312" w:hint="eastAsia"/>
            <w:bCs w:val="0"/>
            <w:sz w:val="30"/>
            <w:szCs w:val="30"/>
            <w:highlight w:val="none"/>
          </w:rPr>
          <w:t>预算绩效情况说明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_Toc7408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fldChar w:fldCharType="end"/>
        </w:r>
      </w:hyperlink>
    </w:p>
    <w:p w14:paraId="163A91FA">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198" w:history="1">
        <w:r>
          <w:rPr>
            <w:rFonts w:ascii="仿宋_GB2312" w:eastAsia="仿宋_GB2312" w:hAnsi="仿宋_GB2312" w:cs="仿宋_GB2312" w:hint="eastAsia"/>
            <w:bCs w:val="0"/>
            <w:sz w:val="30"/>
            <w:szCs w:val="30"/>
          </w:rPr>
          <w:t xml:space="preserve">十四、 </w:t>
        </w:r>
        <w:r>
          <w:rPr>
            <w:rFonts w:ascii="仿宋_GB2312" w:eastAsia="仿宋_GB2312" w:hAnsi="仿宋_GB2312" w:cs="仿宋_GB2312" w:hint="eastAsia"/>
            <w:bCs w:val="0"/>
            <w:sz w:val="30"/>
            <w:szCs w:val="30"/>
            <w:highlight w:val="none"/>
          </w:rPr>
          <w:t>教育、医疗卫生、社会保障和就业、住房保障、涉农补贴等民生支出情况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_Toc12198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fldChar w:fldCharType="end"/>
        </w:r>
      </w:hyperlink>
    </w:p>
    <w:p w14:paraId="4A8E55AA">
      <w:pPr>
        <w:pStyle w:val="TOC1"/>
        <w:pageBreakBefore w:val="0"/>
        <w:tabs>
          <w:tab w:val="clear" w:pos="8296"/>
          <w:tab w:val="right" w:leader="dot" w:pos="8306"/>
        </w:tabs>
        <w:kinsoku/>
        <w:wordWrap/>
        <w:overflowPunct/>
        <w:topLinePunct w:val="0"/>
        <w:autoSpaceDE/>
        <w:autoSpaceDN/>
        <w:bidi w:val="0"/>
        <w:snapToGrid/>
        <w:spacing w:after="0"/>
        <w:rPr>
          <w:rFonts w:ascii="方正小标宋简体" w:eastAsia="方正小标宋简体" w:hAnsi="方正小标宋简体" w:cs="方正小标宋简体" w:hint="eastAsia"/>
          <w:b w:val="0"/>
          <w:bCs w:val="0"/>
          <w:sz w:val="30"/>
          <w:szCs w:val="30"/>
          <w:highlight w:val="none"/>
        </w:rPr>
      </w:pPr>
      <w:hyperlink w:anchor="_Toc17573" w:history="1">
        <w:r>
          <w:rPr>
            <w:rFonts w:ascii="方正小标宋简体" w:eastAsia="方正小标宋简体" w:hAnsi="方正小标宋简体" w:cs="方正小标宋简体" w:hint="eastAsia"/>
            <w:b w:val="0"/>
            <w:bCs w:val="0"/>
            <w:sz w:val="30"/>
            <w:szCs w:val="30"/>
            <w:highlight w:val="none"/>
          </w:rPr>
          <w:t>第四部分  名词解释</w:t>
        </w:r>
        <w:r>
          <w:rPr>
            <w:rFonts w:ascii="方正小标宋简体" w:eastAsia="方正小标宋简体" w:hAnsi="方正小标宋简体" w:cs="方正小标宋简体" w:hint="eastAsia"/>
            <w:b w:val="0"/>
            <w:bCs w:val="0"/>
            <w:sz w:val="30"/>
            <w:szCs w:val="30"/>
            <w:highlight w:val="none"/>
          </w:rPr>
          <w:tab/>
        </w:r>
        <w:r>
          <w:rPr>
            <w:rFonts w:ascii="方正小标宋简体" w:eastAsia="方正小标宋简体" w:hAnsi="方正小标宋简体" w:cs="方正小标宋简体" w:hint="eastAsia"/>
            <w:b w:val="0"/>
            <w:bCs w:val="0"/>
            <w:sz w:val="30"/>
            <w:szCs w:val="30"/>
            <w:highlight w:val="none"/>
          </w:rPr>
          <w:fldChar w:fldCharType="begin"/>
        </w:r>
        <w:r>
          <w:rPr>
            <w:rFonts w:ascii="方正小标宋简体" w:eastAsia="方正小标宋简体" w:hAnsi="方正小标宋简体" w:cs="方正小标宋简体" w:hint="eastAsia"/>
            <w:b w:val="0"/>
            <w:bCs w:val="0"/>
            <w:sz w:val="30"/>
            <w:szCs w:val="30"/>
            <w:highlight w:val="none"/>
          </w:rPr>
          <w:instrText xml:space="preserve"> PAGEREF _Toc17573 </w:instrText>
        </w:r>
        <w:r>
          <w:rPr>
            <w:rFonts w:ascii="方正小标宋简体" w:eastAsia="方正小标宋简体" w:hAnsi="方正小标宋简体" w:cs="方正小标宋简体" w:hint="eastAsia"/>
            <w:b w:val="0"/>
            <w:bCs w:val="0"/>
            <w:sz w:val="30"/>
            <w:szCs w:val="30"/>
            <w:highlight w:val="none"/>
          </w:rPr>
          <w:fldChar w:fldCharType="separate"/>
        </w:r>
        <w:r>
          <w:rPr>
            <w:rFonts w:ascii="方正小标宋简体" w:eastAsia="方正小标宋简体" w:hAnsi="方正小标宋简体" w:cs="方正小标宋简体" w:hint="eastAsia"/>
            <w:b w:val="0"/>
            <w:bCs w:val="0"/>
            <w:sz w:val="30"/>
            <w:szCs w:val="30"/>
            <w:highlight w:val="none"/>
          </w:rPr>
          <w:t>11</w:t>
        </w:r>
        <w:r>
          <w:rPr>
            <w:rFonts w:ascii="方正小标宋简体" w:eastAsia="方正小标宋简体" w:hAnsi="方正小标宋简体" w:cs="方正小标宋简体" w:hint="eastAsia"/>
            <w:b w:val="0"/>
            <w:bCs w:val="0"/>
            <w:sz w:val="30"/>
            <w:szCs w:val="30"/>
            <w:highlight w:val="none"/>
          </w:rPr>
          <w:fldChar w:fldCharType="end"/>
        </w:r>
      </w:hyperlink>
    </w:p>
    <w:p w14:paraId="076A79FC">
      <w:pPr>
        <w:pStyle w:val="TOC2"/>
        <w:pageBreakBefore w:val="0"/>
        <w:tabs>
          <w:tab w:val="right" w:leader="dot" w:pos="8296"/>
        </w:tabs>
        <w:kinsoku/>
        <w:wordWrap/>
        <w:overflowPunct/>
        <w:topLinePunct w:val="0"/>
        <w:autoSpaceDE/>
        <w:autoSpaceDN/>
        <w:bidi w:val="0"/>
        <w:snapToGrid/>
        <w:spacing w:after="0" w:line="600" w:lineRule="exact"/>
        <w:rPr>
          <w:rFonts w:ascii="Times New Roman" w:eastAsia="仿宋_GB2312" w:hAnsi="Times New Roman"/>
          <w:sz w:val="32"/>
          <w:szCs w:val="32"/>
          <w:highlight w:val="none"/>
        </w:rPr>
        <w:sectPr>
          <w:footerReference w:type="default" r:id="rId5"/>
          <w:pgSz w:w="11906" w:h="16838"/>
          <w:pgMar w:top="1440" w:right="1800" w:bottom="1440" w:left="1800" w:header="851" w:footer="992" w:gutter="0"/>
          <w:pgNumType w:start="1"/>
          <w:cols w:num="1" w:space="720"/>
          <w:docGrid w:type="lines" w:linePitch="312" w:charSpace="0"/>
        </w:sectPr>
      </w:pPr>
      <w:r>
        <w:rPr>
          <w:rFonts w:ascii="Times New Roman" w:eastAsia="仿宋_GB2312" w:hAnsi="Times New Roman"/>
          <w:szCs w:val="30"/>
          <w:highlight w:val="none"/>
        </w:rPr>
        <w:fldChar w:fldCharType="end"/>
      </w:r>
    </w:p>
    <w:p w14:paraId="5A5B8137">
      <w:pPr>
        <w:pageBreakBefore w:val="0"/>
        <w:kinsoku/>
        <w:wordWrap/>
        <w:overflowPunct/>
        <w:topLinePunct w:val="0"/>
        <w:autoSpaceDE/>
        <w:autoSpaceDN/>
        <w:bidi w:val="0"/>
        <w:snapToGrid/>
        <w:rPr>
          <w:rFonts w:hint="eastAsia"/>
          <w:highlight w:val="none"/>
        </w:rPr>
      </w:pPr>
    </w:p>
    <w:p w14:paraId="56223CF8">
      <w:pPr>
        <w:pageBreakBefore w:val="0"/>
        <w:kinsoku/>
        <w:wordWrap/>
        <w:overflowPunct/>
        <w:topLinePunct w:val="0"/>
        <w:autoSpaceDE/>
        <w:autoSpaceDN/>
        <w:bidi w:val="0"/>
        <w:snapToGrid/>
        <w:rPr>
          <w:rFonts w:hint="eastAsia"/>
        </w:rPr>
      </w:pPr>
    </w:p>
    <w:p w14:paraId="43A021BA">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b w:val="0"/>
          <w:sz w:val="44"/>
          <w:szCs w:val="44"/>
          <w:highlight w:val="none"/>
        </w:rPr>
      </w:pPr>
      <w:bookmarkStart w:id="0" w:name="_Toc7076"/>
      <w:r>
        <w:rPr>
          <w:rFonts w:ascii="方正小标宋简体" w:eastAsia="方正小标宋简体" w:hAnsi="方正小标宋简体" w:cs="方正小标宋简体" w:hint="eastAsia"/>
          <w:b w:val="0"/>
          <w:sz w:val="44"/>
          <w:szCs w:val="44"/>
          <w:highlight w:val="none"/>
        </w:rPr>
        <w:t>第一部分  概 况</w:t>
      </w:r>
      <w:bookmarkEnd w:id="0"/>
    </w:p>
    <w:p w14:paraId="4397E50D">
      <w:pPr>
        <w:pageBreakBefore w:val="0"/>
        <w:kinsoku/>
        <w:wordWrap/>
        <w:overflowPunct/>
        <w:topLinePunct w:val="0"/>
        <w:autoSpaceDE/>
        <w:autoSpaceDN/>
        <w:bidi w:val="0"/>
        <w:snapToGrid/>
        <w:spacing w:line="600" w:lineRule="exact"/>
        <w:rPr>
          <w:rFonts w:hint="eastAsia"/>
          <w:highlight w:val="none"/>
        </w:rPr>
      </w:pPr>
    </w:p>
    <w:p w14:paraId="6874DB43">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bCs w:val="0"/>
          <w:sz w:val="30"/>
          <w:szCs w:val="30"/>
          <w:highlight w:val="none"/>
        </w:rPr>
      </w:pPr>
      <w:bookmarkStart w:id="1" w:name="_Toc13809"/>
      <w:r>
        <w:rPr>
          <w:rFonts w:ascii="黑体" w:eastAsia="黑体" w:hAnsi="黑体" w:hint="eastAsia"/>
          <w:b w:val="0"/>
          <w:bCs w:val="0"/>
          <w:sz w:val="30"/>
          <w:szCs w:val="30"/>
          <w:highlight w:val="none"/>
        </w:rPr>
        <w:t>一、主要职责</w:t>
      </w:r>
      <w:bookmarkEnd w:id="1"/>
    </w:p>
    <w:p w14:paraId="2E5C27EE">
      <w:pPr>
        <w:pageBreakBefore w:val="0"/>
        <w:kinsoku/>
        <w:wordWrap/>
        <w:overflowPunct/>
        <w:topLinePunct w:val="0"/>
        <w:autoSpaceDE/>
        <w:autoSpaceDN/>
        <w:bidi w:val="0"/>
        <w:snapToGrid/>
        <w:spacing w:line="600" w:lineRule="exact"/>
        <w:ind w:firstLine="600" w:firstLineChars="200"/>
        <w:jc w:val="both"/>
        <w:rPr>
          <w:rFonts w:ascii="仿宋_GB2312" w:eastAsia="仿宋_GB2312" w:hint="default"/>
          <w:sz w:val="30"/>
          <w:szCs w:val="30"/>
          <w:highlight w:val="none"/>
          <w:lang w:val="en-US" w:eastAsia="zh-CN"/>
        </w:rPr>
      </w:pPr>
      <w:r>
        <w:rPr>
          <w:rFonts w:ascii="仿宋_GB2312" w:eastAsia="仿宋_GB2312" w:hint="eastAsia"/>
          <w:sz w:val="30"/>
          <w:szCs w:val="30"/>
          <w:highlight w:val="none"/>
          <w:lang w:val="en-US" w:eastAsia="zh-CN"/>
        </w:rPr>
        <w:t>承担房屋建筑和市政基础设施工程建设交易服务工作；承担我区建筑业施工企业管理相关事务性工作，建筑市场信用体系建设事务性工作；承担绿色建筑、建筑节能、装配式建筑推动及检查等事务性工作；承担施工图审查相关事务性工作；为住建委机关运行提供技术支持和服务保障。</w:t>
      </w:r>
    </w:p>
    <w:p w14:paraId="643966F6">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bCs w:val="0"/>
          <w:sz w:val="30"/>
          <w:szCs w:val="30"/>
          <w:highlight w:val="none"/>
        </w:rPr>
      </w:pPr>
      <w:bookmarkStart w:id="2" w:name="_Toc20426"/>
      <w:r>
        <w:rPr>
          <w:rFonts w:ascii="黑体" w:eastAsia="黑体" w:hAnsi="黑体" w:hint="eastAsia"/>
          <w:b w:val="0"/>
          <w:bCs w:val="0"/>
          <w:sz w:val="30"/>
          <w:szCs w:val="30"/>
          <w:highlight w:val="none"/>
        </w:rPr>
        <w:t>二、机构设置</w:t>
      </w:r>
      <w:bookmarkEnd w:id="2"/>
    </w:p>
    <w:p w14:paraId="0E316961">
      <w:pPr>
        <w:pageBreakBefore w:val="0"/>
        <w:numPr>
          <w:ilvl w:val="0"/>
          <w:numId w:val="0"/>
        </w:numPr>
        <w:kinsoku/>
        <w:wordWrap/>
        <w:overflowPunct/>
        <w:topLinePunct w:val="0"/>
        <w:autoSpaceDE/>
        <w:autoSpaceDN/>
        <w:bidi w:val="0"/>
        <w:snapToGrid/>
        <w:spacing w:line="600" w:lineRule="exact"/>
        <w:ind w:firstLine="600" w:firstLineChars="200"/>
        <w:jc w:val="both"/>
        <w:rPr>
          <w:rFonts w:eastAsia="楷体_GB2312" w:hint="eastAsia"/>
          <w:b/>
          <w:sz w:val="30"/>
          <w:szCs w:val="30"/>
          <w:highlight w:val="none"/>
        </w:rPr>
      </w:pPr>
      <w:r>
        <w:rPr>
          <w:rFonts w:ascii="仿宋_GB2312" w:eastAsia="仿宋_GB2312" w:hAnsi="Times New Roman" w:cs="Times New Roman" w:hint="eastAsia"/>
          <w:sz w:val="30"/>
          <w:szCs w:val="30"/>
          <w:highlight w:val="none"/>
          <w:lang w:val="en-US" w:eastAsia="zh-CN"/>
        </w:rPr>
        <w:t>天津市津南区工程建设交易服务中心内设4个职能</w:t>
      </w:r>
      <w:r>
        <w:rPr>
          <w:rFonts w:ascii="仿宋_GB2312" w:eastAsia="仿宋_GB2312" w:cs="Times New Roman" w:hint="eastAsia"/>
          <w:sz w:val="30"/>
          <w:szCs w:val="30"/>
          <w:highlight w:val="none"/>
          <w:lang w:val="en-US" w:eastAsia="zh-CN"/>
        </w:rPr>
        <w:t>科</w:t>
      </w:r>
      <w:r>
        <w:rPr>
          <w:rFonts w:ascii="仿宋_GB2312" w:eastAsia="仿宋_GB2312" w:hAnsi="Times New Roman" w:cs="Times New Roman" w:hint="eastAsia"/>
          <w:sz w:val="30"/>
          <w:szCs w:val="30"/>
          <w:highlight w:val="none"/>
          <w:lang w:val="en-US" w:eastAsia="zh-CN"/>
        </w:rPr>
        <w:t xml:space="preserve">室。 </w:t>
      </w:r>
      <w:r>
        <w:rPr>
          <w:rFonts w:eastAsia="楷体_GB2312"/>
          <w:b/>
          <w:sz w:val="30"/>
          <w:szCs w:val="30"/>
          <w:highlight w:val="none"/>
        </w:rPr>
        <w:br w:type="page"/>
      </w:r>
    </w:p>
    <w:p w14:paraId="671C2795">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hint="eastAsia"/>
          <w:b w:val="0"/>
          <w:sz w:val="44"/>
          <w:szCs w:val="44"/>
          <w:highlight w:val="none"/>
        </w:rPr>
      </w:pPr>
      <w:bookmarkStart w:id="3" w:name="_Toc15731"/>
      <w:r>
        <w:rPr>
          <w:rFonts w:ascii="方正小标宋简体" w:eastAsia="方正小标宋简体" w:hAnsi="方正小标宋简体" w:cs="方正小标宋简体"/>
          <w:b w:val="0"/>
          <w:sz w:val="44"/>
          <w:szCs w:val="44"/>
          <w:highlight w:val="none"/>
        </w:rPr>
        <w:t>第</w:t>
      </w:r>
      <w:r>
        <w:rPr>
          <w:rFonts w:ascii="方正小标宋简体" w:eastAsia="方正小标宋简体" w:hAnsi="方正小标宋简体" w:cs="方正小标宋简体" w:hint="eastAsia"/>
          <w:b w:val="0"/>
          <w:sz w:val="44"/>
          <w:szCs w:val="44"/>
          <w:highlight w:val="none"/>
        </w:rPr>
        <w:t>二</w:t>
      </w:r>
      <w:r>
        <w:rPr>
          <w:rFonts w:ascii="方正小标宋简体" w:eastAsia="方正小标宋简体" w:hAnsi="方正小标宋简体" w:cs="方正小标宋简体"/>
          <w:b w:val="0"/>
          <w:sz w:val="44"/>
          <w:szCs w:val="44"/>
          <w:highlight w:val="none"/>
        </w:rPr>
        <w:t xml:space="preserve">部分  </w:t>
      </w:r>
      <w:r>
        <w:rPr>
          <w:rFonts w:ascii="方正小标宋简体" w:eastAsia="方正小标宋简体" w:hAnsi="方正小标宋简体" w:cs="方正小标宋简体" w:hint="eastAsia"/>
          <w:b w:val="0"/>
          <w:sz w:val="44"/>
          <w:szCs w:val="44"/>
          <w:highlight w:val="none"/>
          <w:lang w:eastAsia="zh-CN"/>
        </w:rPr>
        <w:t>202</w:t>
      </w:r>
      <w:r>
        <w:rPr>
          <w:rFonts w:ascii="方正小标宋简体" w:eastAsia="方正小标宋简体" w:hAnsi="方正小标宋简体" w:cs="方正小标宋简体" w:hint="eastAsia"/>
          <w:b w:val="0"/>
          <w:sz w:val="44"/>
          <w:szCs w:val="44"/>
          <w:highlight w:val="none"/>
          <w:lang w:val="en-US" w:eastAsia="zh-CN"/>
        </w:rPr>
        <w:t>3</w:t>
      </w:r>
      <w:r>
        <w:rPr>
          <w:rFonts w:ascii="方正小标宋简体" w:eastAsia="方正小标宋简体" w:hAnsi="方正小标宋简体" w:cs="方正小标宋简体"/>
          <w:b w:val="0"/>
          <w:sz w:val="44"/>
          <w:szCs w:val="44"/>
          <w:highlight w:val="none"/>
        </w:rPr>
        <w:t>年度部门决算</w:t>
      </w:r>
      <w:r>
        <w:rPr>
          <w:rFonts w:ascii="方正小标宋简体" w:eastAsia="方正小标宋简体" w:hAnsi="方正小标宋简体" w:cs="方正小标宋简体" w:hint="eastAsia"/>
          <w:b w:val="0"/>
          <w:sz w:val="44"/>
          <w:szCs w:val="44"/>
          <w:highlight w:val="none"/>
        </w:rPr>
        <w:t>表</w:t>
      </w:r>
      <w:bookmarkEnd w:id="3"/>
    </w:p>
    <w:p w14:paraId="78377056">
      <w:pPr>
        <w:pageBreakBefore w:val="0"/>
        <w:kinsoku/>
        <w:wordWrap/>
        <w:overflowPunct/>
        <w:topLinePunct w:val="0"/>
        <w:autoSpaceDE/>
        <w:autoSpaceDN/>
        <w:bidi w:val="0"/>
        <w:snapToGrid/>
        <w:spacing w:line="600" w:lineRule="exact"/>
        <w:rPr>
          <w:rFonts w:hint="eastAsia"/>
          <w:highlight w:val="none"/>
        </w:rPr>
      </w:pPr>
    </w:p>
    <w:p w14:paraId="2A765E7C">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4" w:name="_Toc8843"/>
      <w:r>
        <w:rPr>
          <w:rFonts w:ascii="黑体" w:eastAsia="黑体" w:hAnsi="黑体"/>
          <w:b w:val="0"/>
          <w:sz w:val="30"/>
          <w:szCs w:val="30"/>
          <w:highlight w:val="none"/>
        </w:rPr>
        <w:t>一</w:t>
      </w:r>
      <w:r>
        <w:rPr>
          <w:rFonts w:ascii="黑体" w:eastAsia="黑体" w:hAnsi="黑体" w:hint="eastAsia"/>
          <w:b w:val="0"/>
          <w:sz w:val="30"/>
          <w:szCs w:val="30"/>
          <w:highlight w:val="none"/>
        </w:rPr>
        <w:t>、</w:t>
      </w:r>
      <w:r>
        <w:rPr>
          <w:rFonts w:ascii="黑体" w:eastAsia="黑体" w:hAnsi="黑体"/>
          <w:b w:val="0"/>
          <w:sz w:val="30"/>
          <w:szCs w:val="30"/>
          <w:highlight w:val="none"/>
        </w:rPr>
        <w:t>《</w:t>
      </w:r>
      <w:r>
        <w:rPr>
          <w:rFonts w:ascii="黑体" w:eastAsia="黑体" w:hAnsi="黑体" w:hint="eastAsia"/>
          <w:b w:val="0"/>
          <w:sz w:val="30"/>
          <w:szCs w:val="30"/>
          <w:highlight w:val="none"/>
        </w:rPr>
        <w:t>收入</w:t>
      </w:r>
      <w:r>
        <w:rPr>
          <w:rFonts w:ascii="黑体" w:eastAsia="黑体" w:hAnsi="黑体"/>
          <w:b w:val="0"/>
          <w:sz w:val="30"/>
          <w:szCs w:val="30"/>
          <w:highlight w:val="none"/>
        </w:rPr>
        <w:t>支出</w:t>
      </w:r>
      <w:r>
        <w:rPr>
          <w:rFonts w:ascii="黑体" w:eastAsia="黑体" w:hAnsi="黑体" w:hint="eastAsia"/>
          <w:b w:val="0"/>
          <w:sz w:val="30"/>
          <w:szCs w:val="30"/>
          <w:highlight w:val="none"/>
        </w:rPr>
        <w:t>决算总</w:t>
      </w:r>
      <w:r>
        <w:rPr>
          <w:rFonts w:ascii="黑体" w:eastAsia="黑体" w:hAnsi="黑体"/>
          <w:b w:val="0"/>
          <w:sz w:val="30"/>
          <w:szCs w:val="30"/>
          <w:highlight w:val="none"/>
        </w:rPr>
        <w:t>表》</w:t>
      </w:r>
      <w:bookmarkEnd w:id="4"/>
    </w:p>
    <w:p w14:paraId="464FD58B">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5" w:name="_Toc2552"/>
      <w:r>
        <w:rPr>
          <w:rFonts w:ascii="黑体" w:eastAsia="黑体" w:hAnsi="黑体"/>
          <w:b w:val="0"/>
          <w:sz w:val="30"/>
          <w:szCs w:val="30"/>
          <w:highlight w:val="none"/>
        </w:rPr>
        <w:t>二、《收入</w:t>
      </w:r>
      <w:r>
        <w:rPr>
          <w:rFonts w:ascii="黑体" w:eastAsia="黑体" w:hAnsi="黑体" w:hint="eastAsia"/>
          <w:b w:val="0"/>
          <w:sz w:val="30"/>
          <w:szCs w:val="30"/>
          <w:highlight w:val="none"/>
        </w:rPr>
        <w:t>决算</w:t>
      </w:r>
      <w:r>
        <w:rPr>
          <w:rFonts w:ascii="黑体" w:eastAsia="黑体" w:hAnsi="黑体"/>
          <w:b w:val="0"/>
          <w:sz w:val="30"/>
          <w:szCs w:val="30"/>
          <w:highlight w:val="none"/>
        </w:rPr>
        <w:t>表</w:t>
      </w:r>
      <w:r>
        <w:rPr>
          <w:rFonts w:ascii="黑体" w:eastAsia="黑体" w:hAnsi="黑体" w:hint="eastAsia"/>
          <w:b w:val="0"/>
          <w:sz w:val="30"/>
          <w:szCs w:val="30"/>
          <w:highlight w:val="none"/>
        </w:rPr>
        <w:t>（按功能分类列示）</w:t>
      </w:r>
      <w:r>
        <w:rPr>
          <w:rFonts w:ascii="黑体" w:eastAsia="黑体" w:hAnsi="黑体"/>
          <w:b w:val="0"/>
          <w:sz w:val="30"/>
          <w:szCs w:val="30"/>
          <w:highlight w:val="none"/>
        </w:rPr>
        <w:t>》</w:t>
      </w:r>
      <w:bookmarkEnd w:id="5"/>
    </w:p>
    <w:p w14:paraId="426CA08B">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6" w:name="_Toc27841"/>
      <w:r>
        <w:rPr>
          <w:rFonts w:ascii="黑体" w:eastAsia="黑体" w:hAnsi="黑体" w:hint="eastAsia"/>
          <w:b w:val="0"/>
          <w:sz w:val="30"/>
          <w:szCs w:val="30"/>
          <w:highlight w:val="none"/>
        </w:rPr>
        <w:t>三</w:t>
      </w:r>
      <w:r>
        <w:rPr>
          <w:rFonts w:ascii="黑体" w:eastAsia="黑体" w:hAnsi="黑体"/>
          <w:b w:val="0"/>
          <w:sz w:val="30"/>
          <w:szCs w:val="30"/>
          <w:highlight w:val="none"/>
        </w:rPr>
        <w:t>、《收入</w:t>
      </w:r>
      <w:r>
        <w:rPr>
          <w:rFonts w:ascii="黑体" w:eastAsia="黑体" w:hAnsi="黑体" w:hint="eastAsia"/>
          <w:b w:val="0"/>
          <w:sz w:val="30"/>
          <w:szCs w:val="30"/>
          <w:highlight w:val="none"/>
        </w:rPr>
        <w:t>决算</w:t>
      </w:r>
      <w:r>
        <w:rPr>
          <w:rFonts w:ascii="黑体" w:eastAsia="黑体" w:hAnsi="黑体"/>
          <w:b w:val="0"/>
          <w:sz w:val="30"/>
          <w:szCs w:val="30"/>
          <w:highlight w:val="none"/>
        </w:rPr>
        <w:t>表</w:t>
      </w:r>
      <w:r>
        <w:rPr>
          <w:rFonts w:ascii="黑体" w:eastAsia="黑体" w:hAnsi="黑体" w:hint="eastAsia"/>
          <w:b w:val="0"/>
          <w:sz w:val="30"/>
          <w:szCs w:val="30"/>
          <w:highlight w:val="none"/>
        </w:rPr>
        <w:t>（按单位列示）</w:t>
      </w:r>
      <w:r>
        <w:rPr>
          <w:rFonts w:ascii="黑体" w:eastAsia="黑体" w:hAnsi="黑体"/>
          <w:b w:val="0"/>
          <w:sz w:val="30"/>
          <w:szCs w:val="30"/>
          <w:highlight w:val="none"/>
        </w:rPr>
        <w:t>》</w:t>
      </w:r>
      <w:bookmarkEnd w:id="6"/>
    </w:p>
    <w:p w14:paraId="475FBA8F">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7" w:name="_Toc8617"/>
      <w:r>
        <w:rPr>
          <w:rFonts w:ascii="黑体" w:eastAsia="黑体" w:hAnsi="黑体" w:hint="eastAsia"/>
          <w:b w:val="0"/>
          <w:sz w:val="30"/>
          <w:szCs w:val="30"/>
          <w:highlight w:val="none"/>
        </w:rPr>
        <w:t>四、</w:t>
      </w:r>
      <w:r>
        <w:rPr>
          <w:rFonts w:ascii="黑体" w:eastAsia="黑体" w:hAnsi="黑体"/>
          <w:b w:val="0"/>
          <w:sz w:val="30"/>
          <w:szCs w:val="30"/>
          <w:highlight w:val="none"/>
        </w:rPr>
        <w:t>《支出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7"/>
    </w:p>
    <w:p w14:paraId="270015D2">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8" w:name="_Toc12763"/>
      <w:r>
        <w:rPr>
          <w:rFonts w:ascii="黑体" w:eastAsia="黑体" w:hAnsi="黑体"/>
          <w:b w:val="0"/>
          <w:sz w:val="30"/>
          <w:szCs w:val="30"/>
          <w:highlight w:val="none"/>
        </w:rPr>
        <w:t>五</w:t>
      </w:r>
      <w:r>
        <w:rPr>
          <w:rFonts w:ascii="黑体" w:eastAsia="黑体" w:hAnsi="黑体" w:hint="eastAsia"/>
          <w:b w:val="0"/>
          <w:sz w:val="30"/>
          <w:szCs w:val="30"/>
          <w:highlight w:val="none"/>
        </w:rPr>
        <w:t>、</w:t>
      </w:r>
      <w:r>
        <w:rPr>
          <w:rFonts w:ascii="黑体" w:eastAsia="黑体" w:hAnsi="黑体"/>
          <w:b w:val="0"/>
          <w:sz w:val="30"/>
          <w:szCs w:val="30"/>
          <w:highlight w:val="none"/>
        </w:rPr>
        <w:t>《财政拨款</w:t>
      </w:r>
      <w:r>
        <w:rPr>
          <w:rFonts w:ascii="黑体" w:eastAsia="黑体" w:hAnsi="黑体" w:hint="eastAsia"/>
          <w:b w:val="0"/>
          <w:sz w:val="30"/>
          <w:szCs w:val="30"/>
          <w:highlight w:val="none"/>
        </w:rPr>
        <w:t>收入</w:t>
      </w:r>
      <w:r>
        <w:rPr>
          <w:rFonts w:ascii="黑体" w:eastAsia="黑体" w:hAnsi="黑体"/>
          <w:b w:val="0"/>
          <w:sz w:val="30"/>
          <w:szCs w:val="30"/>
          <w:highlight w:val="none"/>
        </w:rPr>
        <w:t>支出</w:t>
      </w:r>
      <w:r>
        <w:rPr>
          <w:rFonts w:ascii="黑体" w:eastAsia="黑体" w:hAnsi="黑体" w:hint="eastAsia"/>
          <w:b w:val="0"/>
          <w:sz w:val="30"/>
          <w:szCs w:val="30"/>
          <w:highlight w:val="none"/>
        </w:rPr>
        <w:t>决算总</w:t>
      </w:r>
      <w:r>
        <w:rPr>
          <w:rFonts w:ascii="黑体" w:eastAsia="黑体" w:hAnsi="黑体"/>
          <w:b w:val="0"/>
          <w:sz w:val="30"/>
          <w:szCs w:val="30"/>
          <w:highlight w:val="none"/>
        </w:rPr>
        <w:t>表》</w:t>
      </w:r>
      <w:bookmarkEnd w:id="8"/>
    </w:p>
    <w:p w14:paraId="0EC24594">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9" w:name="_Toc24693"/>
      <w:r>
        <w:rPr>
          <w:rFonts w:ascii="黑体" w:eastAsia="黑体" w:hAnsi="黑体"/>
          <w:b w:val="0"/>
          <w:sz w:val="30"/>
          <w:szCs w:val="30"/>
          <w:highlight w:val="none"/>
        </w:rPr>
        <w:t>六</w:t>
      </w:r>
      <w:r>
        <w:rPr>
          <w:rFonts w:ascii="黑体" w:eastAsia="黑体" w:hAnsi="黑体" w:hint="eastAsia"/>
          <w:b w:val="0"/>
          <w:sz w:val="30"/>
          <w:szCs w:val="30"/>
          <w:highlight w:val="none"/>
        </w:rPr>
        <w:t>、</w:t>
      </w:r>
      <w:r>
        <w:rPr>
          <w:rFonts w:ascii="黑体" w:eastAsia="黑体" w:hAnsi="黑体"/>
          <w:b w:val="0"/>
          <w:sz w:val="30"/>
          <w:szCs w:val="30"/>
          <w:highlight w:val="none"/>
        </w:rPr>
        <w:t>《一般公共预算财政拨款支出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9"/>
    </w:p>
    <w:p w14:paraId="4AD9931C">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b w:val="0"/>
          <w:sz w:val="30"/>
          <w:szCs w:val="30"/>
          <w:highlight w:val="none"/>
        </w:rPr>
      </w:pPr>
      <w:bookmarkStart w:id="10" w:name="_Toc13125"/>
      <w:r>
        <w:rPr>
          <w:rFonts w:ascii="黑体" w:eastAsia="黑体" w:hAnsi="黑体"/>
          <w:b w:val="0"/>
          <w:sz w:val="30"/>
          <w:szCs w:val="30"/>
          <w:highlight w:val="none"/>
        </w:rPr>
        <w:t>七</w:t>
      </w:r>
      <w:r>
        <w:rPr>
          <w:rFonts w:ascii="黑体" w:eastAsia="黑体" w:hAnsi="黑体" w:hint="eastAsia"/>
          <w:b w:val="0"/>
          <w:sz w:val="30"/>
          <w:szCs w:val="30"/>
          <w:highlight w:val="none"/>
        </w:rPr>
        <w:t>、</w:t>
      </w:r>
      <w:r>
        <w:rPr>
          <w:rFonts w:ascii="黑体" w:eastAsia="黑体" w:hAnsi="黑体"/>
          <w:b w:val="0"/>
          <w:sz w:val="30"/>
          <w:szCs w:val="30"/>
          <w:highlight w:val="none"/>
        </w:rPr>
        <w:t>《一般公共预算财政拨款基本支出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10"/>
    </w:p>
    <w:p w14:paraId="7B7351B2">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1" w:name="_Toc27248"/>
      <w:r>
        <w:rPr>
          <w:rFonts w:ascii="黑体" w:eastAsia="黑体" w:hAnsi="黑体" w:hint="eastAsia"/>
          <w:b w:val="0"/>
          <w:sz w:val="30"/>
          <w:szCs w:val="30"/>
          <w:highlight w:val="none"/>
          <w:lang w:eastAsia="zh-CN"/>
        </w:rPr>
        <w:t>八</w:t>
      </w:r>
      <w:r>
        <w:rPr>
          <w:rFonts w:ascii="黑体" w:eastAsia="黑体" w:hAnsi="黑体" w:hint="eastAsia"/>
          <w:b w:val="0"/>
          <w:sz w:val="30"/>
          <w:szCs w:val="30"/>
          <w:highlight w:val="none"/>
        </w:rPr>
        <w:t>、</w:t>
      </w:r>
      <w:r>
        <w:rPr>
          <w:rFonts w:ascii="黑体" w:eastAsia="黑体" w:hAnsi="黑体"/>
          <w:b w:val="0"/>
          <w:sz w:val="30"/>
          <w:szCs w:val="30"/>
          <w:highlight w:val="none"/>
        </w:rPr>
        <w:t>《政府性基金预算财政拨款</w:t>
      </w:r>
      <w:r>
        <w:rPr>
          <w:rFonts w:ascii="黑体" w:eastAsia="黑体" w:hAnsi="黑体" w:hint="eastAsia"/>
          <w:b w:val="0"/>
          <w:sz w:val="30"/>
          <w:szCs w:val="30"/>
          <w:highlight w:val="none"/>
        </w:rPr>
        <w:t>收入</w:t>
      </w:r>
      <w:r>
        <w:rPr>
          <w:rFonts w:ascii="黑体" w:eastAsia="黑体" w:hAnsi="黑体"/>
          <w:b w:val="0"/>
          <w:sz w:val="30"/>
          <w:szCs w:val="30"/>
          <w:highlight w:val="none"/>
        </w:rPr>
        <w:t>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11"/>
    </w:p>
    <w:p w14:paraId="583F435C">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2" w:name="_Toc5066"/>
      <w:r>
        <w:rPr>
          <w:rFonts w:ascii="黑体" w:eastAsia="黑体" w:hAnsi="黑体" w:hint="eastAsia"/>
          <w:b w:val="0"/>
          <w:sz w:val="30"/>
          <w:szCs w:val="30"/>
          <w:highlight w:val="none"/>
          <w:lang w:eastAsia="zh-CN"/>
        </w:rPr>
        <w:t>九</w:t>
      </w:r>
      <w:r>
        <w:rPr>
          <w:rFonts w:ascii="黑体" w:eastAsia="黑体" w:hAnsi="黑体" w:hint="eastAsia"/>
          <w:b w:val="0"/>
          <w:sz w:val="30"/>
          <w:szCs w:val="30"/>
          <w:highlight w:val="none"/>
        </w:rPr>
        <w:t>、</w:t>
      </w:r>
      <w:r>
        <w:rPr>
          <w:rFonts w:ascii="黑体" w:eastAsia="黑体" w:hAnsi="黑体"/>
          <w:b w:val="0"/>
          <w:sz w:val="30"/>
          <w:szCs w:val="30"/>
          <w:highlight w:val="none"/>
        </w:rPr>
        <w:t>《国有资本经营预算财政拨款</w:t>
      </w:r>
      <w:r>
        <w:rPr>
          <w:rFonts w:ascii="黑体" w:eastAsia="黑体" w:hAnsi="黑体" w:hint="eastAsia"/>
          <w:b w:val="0"/>
          <w:sz w:val="30"/>
          <w:szCs w:val="30"/>
          <w:highlight w:val="none"/>
        </w:rPr>
        <w:t>收入支出决算</w:t>
      </w:r>
      <w:r>
        <w:rPr>
          <w:rFonts w:ascii="黑体" w:eastAsia="黑体" w:hAnsi="黑体"/>
          <w:b w:val="0"/>
          <w:sz w:val="30"/>
          <w:szCs w:val="30"/>
          <w:highlight w:val="none"/>
        </w:rPr>
        <w:t>表》</w:t>
      </w:r>
      <w:bookmarkEnd w:id="12"/>
    </w:p>
    <w:p w14:paraId="3B9CB3D2">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3" w:name="_Toc21014"/>
      <w:r>
        <w:rPr>
          <w:rFonts w:ascii="黑体" w:eastAsia="黑体" w:hAnsi="黑体" w:hint="eastAsia"/>
          <w:b w:val="0"/>
          <w:sz w:val="30"/>
          <w:szCs w:val="30"/>
          <w:highlight w:val="none"/>
          <w:lang w:eastAsia="zh-CN"/>
        </w:rPr>
        <w:t>十</w:t>
      </w:r>
      <w:r>
        <w:rPr>
          <w:rFonts w:ascii="黑体" w:eastAsia="黑体" w:hAnsi="黑体" w:hint="eastAsia"/>
          <w:b w:val="0"/>
          <w:sz w:val="30"/>
          <w:szCs w:val="30"/>
          <w:highlight w:val="none"/>
        </w:rPr>
        <w:t>、</w:t>
      </w:r>
      <w:r>
        <w:rPr>
          <w:rFonts w:ascii="黑体" w:eastAsia="黑体" w:hAnsi="黑体"/>
          <w:b w:val="0"/>
          <w:sz w:val="30"/>
          <w:szCs w:val="30"/>
          <w:highlight w:val="none"/>
        </w:rPr>
        <w:t>《财政拨款“三公”经费支出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13"/>
    </w:p>
    <w:p w14:paraId="5E3E5525">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4" w:name="_Toc13144"/>
      <w:r>
        <w:rPr>
          <w:rFonts w:ascii="黑体" w:eastAsia="黑体" w:hAnsi="黑体"/>
          <w:b w:val="0"/>
          <w:sz w:val="30"/>
          <w:szCs w:val="30"/>
          <w:highlight w:val="none"/>
        </w:rPr>
        <w:t>十</w:t>
      </w:r>
      <w:r>
        <w:rPr>
          <w:rFonts w:ascii="黑体" w:eastAsia="黑体" w:hAnsi="黑体" w:hint="eastAsia"/>
          <w:b w:val="0"/>
          <w:sz w:val="30"/>
          <w:szCs w:val="30"/>
          <w:highlight w:val="none"/>
          <w:lang w:eastAsia="zh-CN"/>
        </w:rPr>
        <w:t>一</w:t>
      </w:r>
      <w:r>
        <w:rPr>
          <w:rFonts w:ascii="黑体" w:eastAsia="黑体" w:hAnsi="黑体" w:hint="eastAsia"/>
          <w:b w:val="0"/>
          <w:sz w:val="30"/>
          <w:szCs w:val="30"/>
          <w:highlight w:val="none"/>
        </w:rPr>
        <w:t>、</w:t>
      </w:r>
      <w:r>
        <w:rPr>
          <w:rFonts w:ascii="黑体" w:eastAsia="黑体" w:hAnsi="黑体"/>
          <w:b w:val="0"/>
          <w:sz w:val="30"/>
          <w:szCs w:val="30"/>
          <w:highlight w:val="none"/>
        </w:rPr>
        <w:t>《项目支出决算表》</w:t>
      </w:r>
      <w:bookmarkEnd w:id="14"/>
    </w:p>
    <w:p w14:paraId="4FB5AA28">
      <w:pPr>
        <w:pageBreakBefore w:val="0"/>
        <w:kinsoku/>
        <w:wordWrap/>
        <w:overflowPunct/>
        <w:topLinePunct w:val="0"/>
        <w:autoSpaceDE/>
        <w:autoSpaceDN/>
        <w:bidi w:val="0"/>
        <w:snapToGrid/>
        <w:spacing w:line="800" w:lineRule="exact"/>
        <w:ind w:left="600" w:hanging="600" w:hangingChars="200"/>
        <w:rPr>
          <w:rFonts w:ascii="黑体" w:eastAsia="黑体" w:hAnsi="黑体" w:hint="eastAsia"/>
          <w:b w:val="0"/>
          <w:bCs w:val="0"/>
          <w:sz w:val="30"/>
          <w:szCs w:val="30"/>
          <w:highlight w:val="none"/>
        </w:rPr>
      </w:pPr>
      <w:r>
        <w:rPr>
          <w:rFonts w:eastAsia="楷体" w:hint="eastAsia"/>
          <w:sz w:val="30"/>
          <w:szCs w:val="30"/>
          <w:highlight w:val="none"/>
        </w:rPr>
        <w:t>注：以上决算公开表均作为附表，附于决算公开说明文档后。</w:t>
      </w:r>
      <w:r>
        <w:rPr>
          <w:rFonts w:hint="eastAsia"/>
          <w:b w:val="0"/>
          <w:bCs w:val="0"/>
          <w:highlight w:val="none"/>
          <w:lang w:val="en-US" w:eastAsia="zh-CN"/>
        </w:rPr>
        <w:t xml:space="preserve">    </w:t>
      </w:r>
      <w:r>
        <w:rPr>
          <w:rFonts w:ascii="黑体" w:eastAsia="黑体" w:hAnsi="黑体" w:cs="Times New Roman" w:hint="eastAsia"/>
          <w:b w:val="0"/>
          <w:bCs/>
          <w:sz w:val="30"/>
          <w:szCs w:val="30"/>
          <w:highlight w:val="none"/>
          <w:lang w:val="en-US" w:eastAsia="zh-CN" w:bidi="ar-SA"/>
        </w:rPr>
        <w:t>十二、关于空表的说明</w:t>
      </w:r>
    </w:p>
    <w:p w14:paraId="4698F441">
      <w:pPr>
        <w:pageBreakBefore w:val="0"/>
        <w:numPr>
          <w:ilvl w:val="0"/>
          <w:numId w:val="0"/>
        </w:numPr>
        <w:kinsoku/>
        <w:wordWrap/>
        <w:overflowPunct/>
        <w:topLinePunct w:val="0"/>
        <w:autoSpaceDE/>
        <w:autoSpaceDN/>
        <w:bidi w:val="0"/>
        <w:snapToGrid/>
        <w:spacing w:line="600" w:lineRule="exact"/>
        <w:ind w:firstLine="600" w:firstLineChars="200"/>
        <w:jc w:val="both"/>
        <w:rPr>
          <w:rFonts w:ascii="仿宋_GB2312" w:eastAsia="仿宋_GB2312" w:hAnsi="Times New Roman" w:cs="Times New Roman" w:hint="default"/>
          <w:sz w:val="30"/>
          <w:szCs w:val="30"/>
          <w:highlight w:val="none"/>
          <w:lang w:val="en-US" w:eastAsia="zh-CN"/>
        </w:rPr>
        <w:sectPr>
          <w:footerReference w:type="default" r:id="rId6"/>
          <w:pgSz w:w="11906" w:h="16838"/>
          <w:pgMar w:top="1440" w:right="1800" w:bottom="1440" w:left="1800" w:header="851" w:footer="992" w:gutter="0"/>
          <w:pgNumType w:start="1"/>
          <w:cols w:num="1" w:space="720"/>
          <w:docGrid w:type="lines" w:linePitch="312" w:charSpace="0"/>
        </w:sectPr>
      </w:pPr>
      <w:r>
        <w:rPr>
          <w:rFonts w:ascii="仿宋_GB2312" w:eastAsia="仿宋_GB2312" w:hAnsi="Times New Roman" w:cs="Times New Roman" w:hint="eastAsia"/>
          <w:sz w:val="30"/>
          <w:szCs w:val="30"/>
          <w:highlight w:val="none"/>
          <w:lang w:val="en-US" w:eastAsia="zh-CN"/>
        </w:rPr>
        <w:t>1.天津市津南区工程建设交易服务中心2023年度政府性基金预算财政拨款收入支出决算表为空表。</w:t>
        <w:br/>
        <w:t>　　2.天津市津南区工程建设交易服务中心2023年度国有资本经营预算财政拨款收入支出决算表为空表。</w:t>
        <w:br/>
        <w:t>　　3.天津市津南区工程建设交易服务中心2023年度财政拨款“三公”经费支出决算表为空表。</w:t>
      </w:r>
    </w:p>
    <w:p w14:paraId="2224BE62">
      <w:pPr>
        <w:pageBreakBefore w:val="0"/>
        <w:kinsoku/>
        <w:wordWrap/>
        <w:overflowPunct/>
        <w:topLinePunct w:val="0"/>
        <w:autoSpaceDE/>
        <w:autoSpaceDN/>
        <w:bidi w:val="0"/>
        <w:snapToGrid/>
        <w:spacing w:line="640" w:lineRule="exact"/>
        <w:jc w:val="center"/>
        <w:rPr>
          <w:rFonts w:eastAsia="黑体" w:hint="eastAsia"/>
          <w:sz w:val="30"/>
          <w:szCs w:val="30"/>
          <w:highlight w:val="none"/>
        </w:rPr>
      </w:pPr>
    </w:p>
    <w:p w14:paraId="79BC762B">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b w:val="0"/>
          <w:sz w:val="44"/>
          <w:szCs w:val="44"/>
          <w:highlight w:val="none"/>
        </w:rPr>
      </w:pPr>
      <w:bookmarkStart w:id="15" w:name="_Toc6548"/>
      <w:r>
        <w:rPr>
          <w:rFonts w:ascii="方正小标宋简体" w:eastAsia="方正小标宋简体" w:hAnsi="方正小标宋简体" w:cs="方正小标宋简体"/>
          <w:b w:val="0"/>
          <w:sz w:val="44"/>
          <w:szCs w:val="44"/>
          <w:highlight w:val="none"/>
        </w:rPr>
        <w:t>第</w:t>
      </w:r>
      <w:r>
        <w:rPr>
          <w:rFonts w:ascii="方正小标宋简体" w:eastAsia="方正小标宋简体" w:hAnsi="方正小标宋简体" w:cs="方正小标宋简体" w:hint="eastAsia"/>
          <w:b w:val="0"/>
          <w:sz w:val="44"/>
          <w:szCs w:val="44"/>
          <w:highlight w:val="none"/>
        </w:rPr>
        <w:t>三</w:t>
      </w:r>
      <w:r>
        <w:rPr>
          <w:rFonts w:ascii="方正小标宋简体" w:eastAsia="方正小标宋简体" w:hAnsi="方正小标宋简体" w:cs="方正小标宋简体"/>
          <w:b w:val="0"/>
          <w:sz w:val="44"/>
          <w:szCs w:val="44"/>
          <w:highlight w:val="none"/>
        </w:rPr>
        <w:t xml:space="preserve">部分  </w:t>
      </w:r>
      <w:r>
        <w:rPr>
          <w:rFonts w:ascii="方正小标宋简体" w:eastAsia="方正小标宋简体" w:hAnsi="方正小标宋简体" w:cs="方正小标宋简体" w:hint="eastAsia"/>
          <w:b w:val="0"/>
          <w:sz w:val="44"/>
          <w:szCs w:val="44"/>
          <w:highlight w:val="none"/>
          <w:lang w:eastAsia="zh-CN"/>
        </w:rPr>
        <w:t>202</w:t>
      </w:r>
      <w:r>
        <w:rPr>
          <w:rFonts w:ascii="方正小标宋简体" w:eastAsia="方正小标宋简体" w:hAnsi="方正小标宋简体" w:cs="方正小标宋简体" w:hint="eastAsia"/>
          <w:b w:val="0"/>
          <w:sz w:val="44"/>
          <w:szCs w:val="44"/>
          <w:highlight w:val="none"/>
          <w:lang w:val="en-US" w:eastAsia="zh-CN"/>
        </w:rPr>
        <w:t>3</w:t>
      </w:r>
      <w:r>
        <w:rPr>
          <w:rFonts w:ascii="方正小标宋简体" w:eastAsia="方正小标宋简体" w:hAnsi="方正小标宋简体" w:cs="方正小标宋简体"/>
          <w:b w:val="0"/>
          <w:sz w:val="44"/>
          <w:szCs w:val="44"/>
          <w:highlight w:val="none"/>
        </w:rPr>
        <w:t>年度部门决算</w:t>
      </w:r>
      <w:r>
        <w:rPr>
          <w:rFonts w:ascii="方正小标宋简体" w:eastAsia="方正小标宋简体" w:hAnsi="方正小标宋简体" w:cs="方正小标宋简体" w:hint="eastAsia"/>
          <w:b w:val="0"/>
          <w:sz w:val="44"/>
          <w:szCs w:val="44"/>
          <w:highlight w:val="none"/>
        </w:rPr>
        <w:t>情况</w:t>
      </w:r>
      <w:r>
        <w:rPr>
          <w:rFonts w:ascii="方正小标宋简体" w:eastAsia="方正小标宋简体" w:hAnsi="方正小标宋简体" w:cs="方正小标宋简体"/>
          <w:b w:val="0"/>
          <w:sz w:val="44"/>
          <w:szCs w:val="44"/>
          <w:highlight w:val="none"/>
        </w:rPr>
        <w:t>说明</w:t>
      </w:r>
      <w:bookmarkEnd w:id="15"/>
    </w:p>
    <w:p w14:paraId="7E86362F">
      <w:pPr>
        <w:pageBreakBefore w:val="0"/>
        <w:kinsoku/>
        <w:wordWrap/>
        <w:overflowPunct/>
        <w:topLinePunct w:val="0"/>
        <w:autoSpaceDE/>
        <w:autoSpaceDN/>
        <w:bidi w:val="0"/>
        <w:snapToGrid/>
        <w:spacing w:line="600" w:lineRule="exact"/>
        <w:ind w:firstLine="600" w:firstLineChars="200"/>
        <w:rPr>
          <w:rFonts w:ascii="黑体" w:eastAsia="黑体" w:hint="eastAsia"/>
          <w:sz w:val="30"/>
          <w:szCs w:val="30"/>
          <w:highlight w:val="none"/>
        </w:rPr>
      </w:pPr>
    </w:p>
    <w:p w14:paraId="033FFF87">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16" w:name="_Toc28044"/>
      <w:r>
        <w:rPr>
          <w:rFonts w:ascii="黑体" w:eastAsia="黑体" w:hAnsi="黑体" w:hint="eastAsia"/>
          <w:b w:val="0"/>
          <w:sz w:val="30"/>
          <w:szCs w:val="30"/>
          <w:highlight w:val="none"/>
        </w:rPr>
        <w:t>一、收入支出决算总体情况说明</w:t>
      </w:r>
      <w:bookmarkEnd w:id="16"/>
    </w:p>
    <w:p w14:paraId="7BA9BE3C">
      <w:pPr>
        <w:pageBreakBefore w:val="0"/>
        <w:kinsoku/>
        <w:wordWrap/>
        <w:overflowPunct/>
        <w:topLinePunct w:val="0"/>
        <w:autoSpaceDE/>
        <w:autoSpaceDN/>
        <w:bidi w:val="0"/>
        <w:snapToGrid/>
        <w:spacing w:line="600" w:lineRule="exact"/>
        <w:jc w:val="both"/>
        <w:rPr>
          <w:rFonts w:eastAsia="楷体_GB2312" w:hint="eastAsia"/>
          <w:b/>
          <w:sz w:val="30"/>
          <w:szCs w:val="30"/>
          <w:highlight w:val="none"/>
        </w:rPr>
      </w:pPr>
      <w:r>
        <w:rPr>
          <w:rFonts w:eastAsia="仿宋_GB2312" w:hint="eastAsia"/>
          <w:sz w:val="30"/>
          <w:szCs w:val="30"/>
          <w:highlight w:val="none"/>
        </w:rPr>
        <w:t xml:space="preserve">   </w:t>
      </w:r>
      <w:r>
        <w:rPr>
          <w:rFonts w:ascii="Times New Roman" w:eastAsia="仿宋_GB2312" w:hAnsi="Times New Roman" w:cs="Times New Roman" w:hint="eastAsia"/>
          <w:sz w:val="30"/>
          <w:szCs w:val="30"/>
          <w:highlight w:val="none"/>
        </w:rPr>
        <w:t xml:space="preserve"> </w:t>
      </w:r>
      <w:r>
        <w:rPr>
          <w:rFonts w:ascii="仿宋_GB2312" w:eastAsia="仿宋_GB2312" w:hAnsi="仿宋_GB2312" w:cs="仿宋_GB2312" w:hint="eastAsia"/>
          <w:sz w:val="30"/>
          <w:szCs w:val="30"/>
          <w:highlight w:val="none"/>
          <w:lang w:val="en-US" w:eastAsia="zh-CN"/>
        </w:rPr>
        <w:t>天津市津南区工程建设交易服务中心2023年度收入、支出决算总计2,681,879.17元。与2022年度相比，收、支总计各减少21,740.37元，下降0.80%，主要原因是本年度在职人员减少两人。</w:t>
      </w:r>
    </w:p>
    <w:p w14:paraId="115E107A">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cs="仿宋_GB2312" w:hint="eastAsia"/>
          <w:b w:val="0"/>
          <w:sz w:val="30"/>
          <w:szCs w:val="30"/>
          <w:highlight w:val="none"/>
        </w:rPr>
      </w:pPr>
      <w:bookmarkStart w:id="17" w:name="_Toc12176"/>
      <w:r>
        <w:rPr>
          <w:rFonts w:ascii="黑体" w:eastAsia="黑体" w:hAnsi="黑体" w:cs="仿宋_GB2312" w:hint="eastAsia"/>
          <w:b w:val="0"/>
          <w:sz w:val="30"/>
          <w:szCs w:val="30"/>
          <w:highlight w:val="none"/>
        </w:rPr>
        <w:t>二、收入决算情况说明</w:t>
      </w:r>
      <w:bookmarkEnd w:id="17"/>
    </w:p>
    <w:p w14:paraId="27E464CD">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天津市津南区工程建设交易服务中心2023年度本年收入合计2,681,879.17元。与2022年度相比减少21,740.37元，主要原因是本年度在职人员减少两人。其中：一般公共预算财政拨款收入2,681,879.17元，占100.00%。</w:t>
      </w:r>
    </w:p>
    <w:p w14:paraId="72BD76E2">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cs="仿宋_GB2312" w:hint="eastAsia"/>
          <w:b w:val="0"/>
          <w:sz w:val="30"/>
          <w:szCs w:val="30"/>
          <w:highlight w:val="none"/>
        </w:rPr>
      </w:pPr>
      <w:bookmarkStart w:id="18" w:name="_Toc31212"/>
      <w:r>
        <w:rPr>
          <w:rFonts w:ascii="黑体" w:eastAsia="黑体" w:hAnsi="黑体" w:cs="仿宋_GB2312" w:hint="eastAsia"/>
          <w:b w:val="0"/>
          <w:sz w:val="30"/>
          <w:szCs w:val="30"/>
          <w:highlight w:val="none"/>
        </w:rPr>
        <w:t>三、</w:t>
      </w:r>
      <w:r>
        <w:rPr>
          <w:rFonts w:ascii="黑体" w:eastAsia="黑体" w:hAnsi="黑体" w:cs="仿宋_GB2312"/>
          <w:b w:val="0"/>
          <w:sz w:val="30"/>
          <w:szCs w:val="30"/>
          <w:highlight w:val="none"/>
        </w:rPr>
        <w:t>支出</w:t>
      </w:r>
      <w:r>
        <w:rPr>
          <w:rFonts w:ascii="黑体" w:eastAsia="黑体" w:hAnsi="黑体" w:cs="仿宋_GB2312" w:hint="eastAsia"/>
          <w:b w:val="0"/>
          <w:sz w:val="30"/>
          <w:szCs w:val="30"/>
          <w:highlight w:val="none"/>
        </w:rPr>
        <w:t>决算</w:t>
      </w:r>
      <w:r>
        <w:rPr>
          <w:rFonts w:ascii="黑体" w:eastAsia="黑体" w:hAnsi="黑体" w:cs="仿宋_GB2312"/>
          <w:b w:val="0"/>
          <w:sz w:val="30"/>
          <w:szCs w:val="30"/>
          <w:highlight w:val="none"/>
        </w:rPr>
        <w:t>情况</w:t>
      </w:r>
      <w:r>
        <w:rPr>
          <w:rFonts w:ascii="黑体" w:eastAsia="黑体" w:hAnsi="黑体" w:cs="仿宋_GB2312" w:hint="eastAsia"/>
          <w:b w:val="0"/>
          <w:sz w:val="30"/>
          <w:szCs w:val="30"/>
          <w:highlight w:val="none"/>
        </w:rPr>
        <w:t>说明</w:t>
      </w:r>
      <w:bookmarkEnd w:id="18"/>
    </w:p>
    <w:p w14:paraId="014FC260">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天津市津南区工程建设交易服务中心2023年度本年支出合计2,681,854.17元。与2022年度相比减少21,765.37元，主要原因是本年度在职人员减少两人。其中：基本支出2,481,854.17元，占92.54%；项目支出200,000.00元，占7.46%。</w:t>
      </w:r>
    </w:p>
    <w:p w14:paraId="27F86E7C">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19" w:name="_Toc19211"/>
      <w:r>
        <w:rPr>
          <w:rFonts w:ascii="黑体" w:eastAsia="黑体" w:hAnsi="黑体" w:hint="eastAsia"/>
          <w:b w:val="0"/>
          <w:sz w:val="30"/>
          <w:szCs w:val="30"/>
          <w:highlight w:val="none"/>
        </w:rPr>
        <w:t>四、财政拨款收支决算总体情况说明</w:t>
      </w:r>
      <w:bookmarkEnd w:id="19"/>
    </w:p>
    <w:p w14:paraId="035EADBC">
      <w:pPr>
        <w:pageBreakBefore w:val="0"/>
        <w:kinsoku/>
        <w:wordWrap/>
        <w:overflowPunct/>
        <w:topLinePunct w:val="0"/>
        <w:autoSpaceDE/>
        <w:autoSpaceDN/>
        <w:bidi w:val="0"/>
        <w:snapToGrid/>
        <w:spacing w:line="600" w:lineRule="exact"/>
        <w:ind w:firstLine="600" w:firstLineChars="200"/>
        <w:jc w:val="both"/>
        <w:rPr>
          <w:rFonts w:eastAsia="楷体_GB2312" w:hint="eastAsia"/>
          <w:b/>
          <w:sz w:val="30"/>
          <w:szCs w:val="30"/>
          <w:highlight w:val="none"/>
        </w:rPr>
      </w:pPr>
      <w:r>
        <w:rPr>
          <w:rFonts w:ascii="仿宋_GB2312" w:eastAsia="仿宋_GB2312" w:hAnsi="仿宋_GB2312" w:cs="仿宋_GB2312" w:hint="eastAsia"/>
          <w:sz w:val="30"/>
          <w:szCs w:val="30"/>
          <w:highlight w:val="none"/>
          <w:lang w:val="en-US" w:eastAsia="zh-CN"/>
        </w:rPr>
        <w:t>天津市津南区工程建设交易服务中心2023年度财政拨款收入、支出决算总计2,681,879.17元。与2022年度相比，财政拨款收、支总计各减少21,740.37元，下降0.80%，主要原因是本年度在职人员减少2人，但增加一项200000.00元玻璃幕墙项目支出，总体收支较上年保持平稳。</w:t>
      </w:r>
    </w:p>
    <w:p w14:paraId="64D91861">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20" w:name="_Toc25286"/>
      <w:r>
        <w:rPr>
          <w:rFonts w:ascii="黑体" w:eastAsia="黑体" w:hAnsi="黑体"/>
          <w:b w:val="0"/>
          <w:sz w:val="30"/>
          <w:szCs w:val="30"/>
          <w:highlight w:val="none"/>
        </w:rPr>
        <w:t>五</w:t>
      </w:r>
      <w:r>
        <w:rPr>
          <w:rFonts w:ascii="黑体" w:eastAsia="黑体" w:hAnsi="黑体" w:hint="eastAsia"/>
          <w:b w:val="0"/>
          <w:sz w:val="30"/>
          <w:szCs w:val="30"/>
          <w:highlight w:val="none"/>
        </w:rPr>
        <w:t>、</w:t>
      </w:r>
      <w:r>
        <w:rPr>
          <w:rFonts w:ascii="黑体" w:eastAsia="黑体" w:hAnsi="黑体"/>
          <w:b w:val="0"/>
          <w:sz w:val="30"/>
          <w:szCs w:val="30"/>
          <w:highlight w:val="none"/>
        </w:rPr>
        <w:t>一般公共预算财政拨款支出决算情况</w:t>
      </w:r>
      <w:r>
        <w:rPr>
          <w:rFonts w:ascii="黑体" w:eastAsia="黑体" w:hAnsi="黑体" w:hint="eastAsia"/>
          <w:b w:val="0"/>
          <w:sz w:val="30"/>
          <w:szCs w:val="30"/>
          <w:highlight w:val="none"/>
        </w:rPr>
        <w:t>说明</w:t>
      </w:r>
      <w:bookmarkEnd w:id="20"/>
    </w:p>
    <w:p w14:paraId="0D6DBCCF">
      <w:pPr>
        <w:pageBreakBefore w:val="0"/>
        <w:kinsoku/>
        <w:wordWrap/>
        <w:overflowPunct/>
        <w:topLinePunct w:val="0"/>
        <w:autoSpaceDE/>
        <w:autoSpaceDN/>
        <w:bidi w:val="0"/>
        <w:snapToGrid/>
        <w:spacing w:line="600" w:lineRule="exact"/>
        <w:ind w:left="480" w:leftChars="200"/>
        <w:rPr>
          <w:rFonts w:ascii="楷体" w:eastAsia="楷体" w:hAnsi="楷体" w:cs="仿宋_GB2312" w:hint="eastAsia"/>
          <w:b/>
          <w:sz w:val="30"/>
          <w:szCs w:val="30"/>
          <w:highlight w:val="none"/>
        </w:rPr>
      </w:pPr>
      <w:r>
        <w:rPr>
          <w:rFonts w:ascii="楷体" w:eastAsia="楷体" w:hAnsi="楷体" w:cs="仿宋_GB2312" w:hint="eastAsia"/>
          <w:b/>
          <w:sz w:val="30"/>
          <w:szCs w:val="30"/>
          <w:highlight w:val="none"/>
        </w:rPr>
        <w:t>（一）总体情况</w:t>
      </w:r>
    </w:p>
    <w:p w14:paraId="2CCD4E54">
      <w:pPr>
        <w:pageBreakBefore w:val="0"/>
        <w:kinsoku/>
        <w:wordWrap/>
        <w:overflowPunct/>
        <w:topLinePunct w:val="0"/>
        <w:autoSpaceDE/>
        <w:autoSpaceDN/>
        <w:bidi w:val="0"/>
        <w:snapToGrid/>
        <w:spacing w:line="600" w:lineRule="exact"/>
        <w:ind w:firstLine="600" w:firstLineChars="200"/>
        <w:jc w:val="both"/>
        <w:rPr>
          <w:rFonts w:eastAsia="楷体_GB2312" w:hint="eastAsia"/>
          <w:b/>
          <w:sz w:val="30"/>
          <w:szCs w:val="30"/>
          <w:highlight w:val="none"/>
        </w:rPr>
      </w:pPr>
      <w:r>
        <w:rPr>
          <w:rFonts w:ascii="仿宋_GB2312" w:eastAsia="仿宋_GB2312" w:hAnsi="仿宋_GB2312" w:cs="仿宋_GB2312" w:hint="eastAsia"/>
          <w:sz w:val="30"/>
          <w:szCs w:val="30"/>
          <w:highlight w:val="none"/>
          <w:lang w:val="en-US" w:eastAsia="zh-CN"/>
        </w:rPr>
        <w:t>天津市津南区工程建设交易服务中心2023年度部门决算一般公共预算财政拨款支出合计2,681,854.17元，占本年支出合计的100.00%。与2022年度相比，一般公共预算财政拨款支出减少21,765.37元，下降0.81%，主要原因是本年度在职人员减少2人，但增加一项200000.00元玻璃幕墙项目支出，总体收支较上年保持平稳。</w:t>
      </w:r>
    </w:p>
    <w:p w14:paraId="6DC3EBD7">
      <w:pPr>
        <w:pageBreakBefore w:val="0"/>
        <w:kinsoku/>
        <w:wordWrap/>
        <w:overflowPunct/>
        <w:topLinePunct w:val="0"/>
        <w:autoSpaceDE/>
        <w:autoSpaceDN/>
        <w:bidi w:val="0"/>
        <w:snapToGrid/>
        <w:spacing w:line="600" w:lineRule="exact"/>
        <w:ind w:firstLine="600" w:firstLineChars="200"/>
        <w:rPr>
          <w:rFonts w:ascii="楷体" w:eastAsia="楷体" w:hAnsi="楷体" w:cs="仿宋_GB2312" w:hint="eastAsia"/>
          <w:b/>
          <w:sz w:val="30"/>
          <w:szCs w:val="30"/>
          <w:highlight w:val="none"/>
        </w:rPr>
      </w:pPr>
      <w:r>
        <w:rPr>
          <w:rFonts w:ascii="楷体" w:eastAsia="楷体" w:hAnsi="楷体" w:cs="仿宋_GB2312" w:hint="eastAsia"/>
          <w:b/>
          <w:sz w:val="30"/>
          <w:szCs w:val="30"/>
          <w:highlight w:val="none"/>
        </w:rPr>
        <w:t>（二）支出结构情况</w:t>
      </w:r>
    </w:p>
    <w:p w14:paraId="4FE5B959">
      <w:pPr>
        <w:pageBreakBefore w:val="0"/>
        <w:kinsoku/>
        <w:wordWrap/>
        <w:overflowPunct/>
        <w:topLinePunct w:val="0"/>
        <w:autoSpaceDE/>
        <w:autoSpaceDN/>
        <w:bidi w:val="0"/>
        <w:snapToGrid/>
        <w:spacing w:line="600" w:lineRule="exact"/>
        <w:ind w:firstLine="600" w:firstLineChars="200"/>
        <w:jc w:val="both"/>
        <w:rPr>
          <w:rFonts w:eastAsia="仿宋_GB2312" w:hint="eastAsia"/>
          <w:sz w:val="30"/>
          <w:szCs w:val="30"/>
          <w:highlight w:val="none"/>
        </w:rPr>
      </w:pPr>
      <w:r>
        <w:rPr>
          <w:rFonts w:ascii="仿宋_GB2312" w:eastAsia="仿宋_GB2312" w:hAnsi="仿宋_GB2312" w:cs="仿宋_GB2312" w:hint="eastAsia"/>
          <w:sz w:val="30"/>
          <w:szCs w:val="30"/>
          <w:highlight w:val="none"/>
          <w:lang w:val="en-US" w:eastAsia="zh-CN"/>
        </w:rPr>
        <w:t>2023年度一般公共预算财政拨款支出2,681,854.17元，主要用于以下方面：</w:t>
        <w:br/>
        <w:t>　　社会保障和就业支出（类）支出236,154.72元，占8.81%；</w:t>
        <w:br/>
        <w:t>　　卫生健康支出（类）支出111,443.44元，占4.16%；</w:t>
        <w:br/>
        <w:t>　　城乡社区支出（类）支出2,184,581.01元，占81.46%；</w:t>
        <w:br/>
        <w:t>　　住房保障支出（类）支出149,675.00元，占5.58%。</w:t>
      </w:r>
    </w:p>
    <w:p w14:paraId="25EC0BDB">
      <w:pPr>
        <w:pageBreakBefore w:val="0"/>
        <w:numPr>
          <w:ilvl w:val="0"/>
          <w:numId w:val="1"/>
        </w:numPr>
        <w:kinsoku/>
        <w:wordWrap/>
        <w:overflowPunct/>
        <w:topLinePunct w:val="0"/>
        <w:autoSpaceDE/>
        <w:autoSpaceDN/>
        <w:bidi w:val="0"/>
        <w:snapToGrid/>
        <w:spacing w:line="600" w:lineRule="exact"/>
        <w:ind w:firstLine="600" w:firstLineChars="200"/>
        <w:rPr>
          <w:rFonts w:ascii="楷体" w:eastAsia="楷体" w:hAnsi="楷体" w:cs="仿宋_GB2312"/>
          <w:b/>
          <w:sz w:val="30"/>
          <w:szCs w:val="30"/>
          <w:highlight w:val="none"/>
        </w:rPr>
      </w:pPr>
      <w:r>
        <w:rPr>
          <w:rFonts w:ascii="楷体" w:eastAsia="楷体" w:hAnsi="楷体" w:cs="仿宋_GB2312"/>
          <w:b/>
          <w:sz w:val="30"/>
          <w:szCs w:val="30"/>
          <w:highlight w:val="none"/>
        </w:rPr>
        <w:t>具体情况</w:t>
      </w:r>
    </w:p>
    <w:p w14:paraId="0502470A">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rPr>
      </w:pPr>
      <w:r>
        <w:rPr>
          <w:rFonts w:ascii="仿宋_GB2312" w:eastAsia="仿宋_GB2312" w:hAnsi="仿宋_GB2312" w:cs="仿宋_GB2312" w:hint="eastAsia"/>
          <w:sz w:val="30"/>
          <w:szCs w:val="30"/>
          <w:highlight w:val="none"/>
          <w:lang w:val="en-US" w:eastAsia="zh-CN"/>
        </w:rPr>
        <w:t>2023年度一般公共预算财政拨款支出年初预算为3,012,803.76元，支出决算为2,681,854.17元，完成年初预算的89.02%。其中：</w:t>
        <w:br/>
        <w:t>　　1.社会保障和就业支出（类）行政事业单位养老支出（款）机关事业单位基本养老保险缴费支出（项）年初预算为185374.08元，支出决算为157,436.48元，完成年初预算的84.93%，决算数小于年初预算数的主要原因是本年有两名在职员工退休。</w:t>
        <w:br/>
        <w:t>　　2.社会保障和就业支出（类）行政事业单位养老支出（款）机关事业单位职业年金缴费支出（项）年初预算为92687.04元，支出决算为78,718.24元，完成年初预算的84.93%，决算数小于年初预算数的主要原因是本年有两名在职员工退休。</w:t>
        <w:br/>
        <w:t>　　3.卫生健康支出（类）行政事业单位医疗（款）事业单位医疗（项）年初预算为121652.04元，支出决算为97,643.44元，完成年初预算的80.26%，决算数小于年初预算数的主要原因是本年有两名在职员工退休。</w:t>
        <w:br/>
        <w:t>　　4.卫生健康支出（类）行政事业单位医疗（款）其他行政事业单位医疗支出（项）年初预算为14400元，支出决算为13,800.00元，完成年初预算的95.83%，决算数小于年初预算数的主要原因是人保健康保费价格较上年降低。</w:t>
        <w:br/>
        <w:t>　　5.城乡社区支出（类）城乡社区管理事务（款）其他城乡社区管理事务支出（项）年初预算为2228590.60元，支出决算为1,984,581.01元，完成年初预算的89.05%，决算数小于年初预算数的主要原因是本年有两名在职员工退休。</w:t>
        <w:br/>
        <w:t>　　6.城乡社区支出（类）城乡社区公共设施（款）小城镇基础设施建设（项）年初预算为20000.00元，支出决算为200,000.00元，完成年初预算的100.00%，决算数小于年初预算数的主要原因是本单位按照预算执行项目支出。</w:t>
        <w:br/>
        <w:t>　　7.住房保障支出（类）住房改革支出（款）住房公积金（项）年初预算为170100.00元，支出决算为149,675.00元，完成年初预算的87.99%，决算数小于年初预算数的主要原因是本年有两名在职员工退休。</w:t>
      </w:r>
    </w:p>
    <w:p w14:paraId="36C75B1F">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1" w:name="_Toc26433"/>
      <w:r>
        <w:rPr>
          <w:rFonts w:ascii="黑体" w:eastAsia="黑体" w:hAnsi="黑体"/>
          <w:b w:val="0"/>
          <w:sz w:val="30"/>
          <w:szCs w:val="30"/>
          <w:highlight w:val="none"/>
        </w:rPr>
        <w:t>六、一般公共预算财政拨款基本支出决算情况</w:t>
      </w:r>
      <w:r>
        <w:rPr>
          <w:rFonts w:ascii="黑体" w:eastAsia="黑体" w:hAnsi="黑体" w:hint="eastAsia"/>
          <w:b w:val="0"/>
          <w:sz w:val="30"/>
          <w:szCs w:val="30"/>
          <w:highlight w:val="none"/>
          <w:lang w:eastAsia="zh-CN"/>
        </w:rPr>
        <w:t>说明</w:t>
      </w:r>
      <w:bookmarkEnd w:id="21"/>
    </w:p>
    <w:p w14:paraId="69C6373B">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rPr>
      </w:pPr>
      <w:r>
        <w:rPr>
          <w:rFonts w:ascii="仿宋_GB2312" w:eastAsia="仿宋_GB2312" w:hAnsi="仿宋_GB2312" w:cs="仿宋_GB2312" w:hint="eastAsia"/>
          <w:sz w:val="30"/>
          <w:szCs w:val="30"/>
          <w:highlight w:val="none"/>
          <w:lang w:val="en-US" w:eastAsia="zh-CN"/>
        </w:rPr>
        <w:t>天津市津南区工程建设交易服务中心2023年度部门决算一般公共预算财政拨款基本支出合计2,481,854.17元，与2022年度相比减少221,765.37元，主要原因是本年度在职人员减少2人。其中：</w:t>
        <w:br/>
        <w:t>　　人员经费2,310,800.01元，主要包括基本工资、津贴补贴、绩效工资、机关事业单位养老保险缴费、职业年金缴费、职工基本医疗保险缴费、其他社会保障缴费、住房公积金、医疗费、其他工资福利支出、退休费；</w:t>
        <w:br/>
        <w:t>　　公用经费171,054.16元，主要包括办公费、邮电费、差旅费、工会经费、福利费。</w:t>
      </w:r>
    </w:p>
    <w:p w14:paraId="32521B65">
      <w:pPr>
        <w:pStyle w:val="Heading2"/>
        <w:pageBreakBefore w:val="0"/>
        <w:kinsoku/>
        <w:wordWrap/>
        <w:overflowPunct/>
        <w:topLinePunct w:val="0"/>
        <w:autoSpaceDE/>
        <w:autoSpaceDN/>
        <w:bidi w:val="0"/>
        <w:snapToGrid/>
        <w:spacing w:before="0" w:after="0" w:line="600" w:lineRule="exact"/>
        <w:ind w:firstLine="600" w:firstLineChars="200"/>
        <w:rPr>
          <w:rFonts w:ascii="楷体" w:eastAsia="楷体" w:hAnsi="楷体" w:cs="仿宋_GB2312" w:hint="eastAsia"/>
          <w:b w:val="0"/>
          <w:sz w:val="30"/>
          <w:szCs w:val="30"/>
          <w:highlight w:val="none"/>
        </w:rPr>
      </w:pPr>
      <w:bookmarkStart w:id="22" w:name="_Toc28665"/>
      <w:r>
        <w:rPr>
          <w:rFonts w:ascii="黑体" w:eastAsia="黑体" w:hAnsi="黑体" w:hint="eastAsia"/>
          <w:b w:val="0"/>
          <w:sz w:val="30"/>
          <w:szCs w:val="30"/>
          <w:highlight w:val="none"/>
          <w:lang w:eastAsia="zh-CN"/>
        </w:rPr>
        <w:t>七</w:t>
      </w:r>
      <w:r>
        <w:rPr>
          <w:rFonts w:ascii="黑体" w:eastAsia="黑体" w:hAnsi="黑体"/>
          <w:b w:val="0"/>
          <w:sz w:val="30"/>
          <w:szCs w:val="30"/>
          <w:highlight w:val="none"/>
        </w:rPr>
        <w:t>、政府性基金预算财政拨款</w:t>
      </w:r>
      <w:r>
        <w:rPr>
          <w:rFonts w:ascii="黑体" w:eastAsia="黑体" w:hAnsi="黑体" w:hint="eastAsia"/>
          <w:b w:val="0"/>
          <w:sz w:val="30"/>
          <w:szCs w:val="30"/>
          <w:highlight w:val="none"/>
        </w:rPr>
        <w:t>收支决算</w:t>
      </w:r>
      <w:r>
        <w:rPr>
          <w:rFonts w:ascii="黑体" w:eastAsia="黑体" w:hAnsi="黑体"/>
          <w:b w:val="0"/>
          <w:sz w:val="30"/>
          <w:szCs w:val="30"/>
          <w:highlight w:val="none"/>
        </w:rPr>
        <w:t>情况</w:t>
      </w:r>
      <w:r>
        <w:rPr>
          <w:rFonts w:ascii="黑体" w:eastAsia="黑体" w:hAnsi="黑体" w:hint="eastAsia"/>
          <w:b w:val="0"/>
          <w:bCs w:val="0"/>
          <w:sz w:val="30"/>
          <w:szCs w:val="30"/>
          <w:highlight w:val="none"/>
          <w:lang w:eastAsia="zh-CN"/>
        </w:rPr>
        <w:t>说明</w:t>
      </w:r>
      <w:bookmarkEnd w:id="22"/>
    </w:p>
    <w:p w14:paraId="1B334BE6">
      <w:pPr>
        <w:pageBreakBefore w:val="0"/>
        <w:kinsoku/>
        <w:wordWrap/>
        <w:overflowPunct/>
        <w:topLinePunct w:val="0"/>
        <w:autoSpaceDE/>
        <w:autoSpaceDN/>
        <w:bidi w:val="0"/>
        <w:snapToGrid/>
        <w:spacing w:line="600" w:lineRule="exact"/>
        <w:ind w:firstLine="600" w:firstLineChars="200"/>
        <w:jc w:val="both"/>
        <w:rPr>
          <w:rFonts w:ascii="楷体" w:eastAsia="楷体" w:hAnsi="楷体" w:cs="楷体" w:hint="eastAsia"/>
          <w:sz w:val="30"/>
          <w:szCs w:val="30"/>
          <w:highlight w:val="none"/>
        </w:rPr>
      </w:pPr>
      <w:r>
        <w:rPr>
          <w:rFonts w:ascii="仿宋_GB2312" w:eastAsia="仿宋_GB2312" w:hAnsi="仿宋_GB2312" w:cs="仿宋_GB2312" w:hint="eastAsia"/>
          <w:sz w:val="30"/>
          <w:szCs w:val="30"/>
          <w:highlight w:val="none"/>
          <w:lang w:val="en-US" w:eastAsia="zh-CN"/>
        </w:rPr>
        <w:t>天津市津南区工程建设交易服务中心2023年度无政府性基金预算财政拨款收入、支出和结转结余。</w:t>
      </w:r>
    </w:p>
    <w:p w14:paraId="1925F1C1">
      <w:pPr>
        <w:pStyle w:val="Heading2"/>
        <w:pageBreakBefore w:val="0"/>
        <w:kinsoku/>
        <w:wordWrap/>
        <w:overflowPunct/>
        <w:topLinePunct w:val="0"/>
        <w:autoSpaceDE/>
        <w:autoSpaceDN/>
        <w:bidi w:val="0"/>
        <w:snapToGrid/>
        <w:spacing w:before="0" w:after="0" w:line="600" w:lineRule="exact"/>
        <w:ind w:firstLine="600" w:firstLineChars="200"/>
        <w:rPr>
          <w:rFonts w:eastAsia="黑体" w:hint="eastAsia"/>
          <w:b w:val="0"/>
          <w:sz w:val="30"/>
          <w:szCs w:val="30"/>
          <w:highlight w:val="none"/>
        </w:rPr>
      </w:pPr>
      <w:bookmarkStart w:id="23" w:name="_Toc26562"/>
      <w:r>
        <w:rPr>
          <w:rFonts w:eastAsia="黑体" w:hint="eastAsia"/>
          <w:b w:val="0"/>
          <w:sz w:val="30"/>
          <w:szCs w:val="30"/>
          <w:highlight w:val="none"/>
          <w:lang w:eastAsia="zh-CN"/>
        </w:rPr>
        <w:t>八</w:t>
      </w:r>
      <w:r>
        <w:rPr>
          <w:rFonts w:eastAsia="黑体" w:hint="eastAsia"/>
          <w:b w:val="0"/>
          <w:sz w:val="30"/>
          <w:szCs w:val="30"/>
          <w:highlight w:val="none"/>
        </w:rPr>
        <w:t>、国有资本经营预算财政拨款收支决算情况</w:t>
      </w:r>
      <w:r>
        <w:rPr>
          <w:rFonts w:ascii="黑体" w:eastAsia="黑体" w:hAnsi="黑体" w:hint="eastAsia"/>
          <w:b w:val="0"/>
          <w:bCs w:val="0"/>
          <w:sz w:val="30"/>
          <w:szCs w:val="30"/>
          <w:highlight w:val="none"/>
          <w:lang w:eastAsia="zh-CN"/>
        </w:rPr>
        <w:t>说明</w:t>
      </w:r>
      <w:bookmarkEnd w:id="23"/>
    </w:p>
    <w:p w14:paraId="48023ADA">
      <w:pPr>
        <w:pageBreakBefore w:val="0"/>
        <w:kinsoku/>
        <w:wordWrap/>
        <w:overflowPunct/>
        <w:topLinePunct w:val="0"/>
        <w:autoSpaceDE/>
        <w:autoSpaceDN/>
        <w:bidi w:val="0"/>
        <w:snapToGrid/>
        <w:spacing w:line="600" w:lineRule="exact"/>
        <w:ind w:firstLine="600" w:firstLineChars="200"/>
        <w:jc w:val="both"/>
        <w:rPr>
          <w:rFonts w:ascii="楷体" w:eastAsia="楷体" w:hAnsi="楷体" w:cs="楷体" w:hint="eastAsia"/>
          <w:sz w:val="30"/>
          <w:szCs w:val="30"/>
          <w:highlight w:val="none"/>
        </w:rPr>
      </w:pPr>
      <w:r>
        <w:rPr>
          <w:rFonts w:ascii="仿宋_GB2312" w:eastAsia="仿宋_GB2312" w:hAnsi="仿宋_GB2312" w:cs="仿宋_GB2312" w:hint="eastAsia"/>
          <w:sz w:val="30"/>
          <w:szCs w:val="30"/>
          <w:highlight w:val="none"/>
          <w:lang w:val="en-US" w:eastAsia="zh-CN"/>
        </w:rPr>
        <w:t>天津市津南区工程建设交易服务中心2023年度无国有资本经营预算财政拨款收入、支出和结转结余。</w:t>
      </w:r>
    </w:p>
    <w:p w14:paraId="4AA74E2A">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4" w:name="_Toc3397"/>
      <w:r>
        <w:rPr>
          <w:rFonts w:ascii="黑体" w:eastAsia="黑体" w:hAnsi="黑体" w:hint="eastAsia"/>
          <w:b w:val="0"/>
          <w:sz w:val="30"/>
          <w:szCs w:val="30"/>
          <w:highlight w:val="none"/>
          <w:lang w:eastAsia="zh-CN"/>
        </w:rPr>
        <w:t>九</w:t>
      </w:r>
      <w:r>
        <w:rPr>
          <w:rFonts w:ascii="黑体" w:eastAsia="黑体" w:hAnsi="黑体" w:hint="eastAsia"/>
          <w:b w:val="0"/>
          <w:sz w:val="30"/>
          <w:szCs w:val="30"/>
          <w:highlight w:val="none"/>
        </w:rPr>
        <w:t>、</w:t>
      </w:r>
      <w:r>
        <w:rPr>
          <w:rFonts w:ascii="黑体" w:eastAsia="黑体" w:hAnsi="黑体"/>
          <w:b w:val="0"/>
          <w:sz w:val="30"/>
          <w:szCs w:val="30"/>
          <w:highlight w:val="none"/>
        </w:rPr>
        <w:t>财政拨款“三公”经费</w:t>
      </w:r>
      <w:r>
        <w:rPr>
          <w:rFonts w:ascii="黑体" w:eastAsia="黑体" w:hAnsi="黑体" w:hint="eastAsia"/>
          <w:b w:val="0"/>
          <w:sz w:val="30"/>
          <w:szCs w:val="30"/>
          <w:highlight w:val="none"/>
        </w:rPr>
        <w:t>支出决算</w:t>
      </w:r>
      <w:r>
        <w:rPr>
          <w:rFonts w:ascii="黑体" w:eastAsia="黑体" w:hAnsi="黑体"/>
          <w:b w:val="0"/>
          <w:sz w:val="30"/>
          <w:szCs w:val="30"/>
          <w:highlight w:val="none"/>
        </w:rPr>
        <w:t>情况</w:t>
      </w:r>
      <w:r>
        <w:rPr>
          <w:rFonts w:ascii="黑体" w:eastAsia="黑体" w:hAnsi="黑体" w:hint="eastAsia"/>
          <w:b w:val="0"/>
          <w:bCs w:val="0"/>
          <w:sz w:val="30"/>
          <w:szCs w:val="30"/>
          <w:highlight w:val="none"/>
          <w:lang w:eastAsia="zh-CN"/>
        </w:rPr>
        <w:t>说明</w:t>
      </w:r>
      <w:bookmarkEnd w:id="24"/>
    </w:p>
    <w:p w14:paraId="36A8B7BB">
      <w:pPr>
        <w:pageBreakBefore w:val="0"/>
        <w:kinsoku/>
        <w:wordWrap/>
        <w:overflowPunct/>
        <w:topLinePunct w:val="0"/>
        <w:autoSpaceDE/>
        <w:autoSpaceDN/>
        <w:bidi w:val="0"/>
        <w:snapToGrid/>
        <w:spacing w:line="600" w:lineRule="exact"/>
        <w:ind w:firstLine="600" w:firstLineChars="200"/>
        <w:jc w:val="both"/>
        <w:rPr>
          <w:rFonts w:ascii="楷体" w:eastAsia="楷体" w:hAnsi="楷体" w:cs="楷体" w:hint="eastAsia"/>
          <w:b/>
          <w:bCs/>
          <w:sz w:val="30"/>
          <w:szCs w:val="30"/>
          <w:highlight w:val="none"/>
          <w:lang w:eastAsia="zh-CN"/>
        </w:rPr>
      </w:pPr>
      <w:r>
        <w:rPr>
          <w:rFonts w:ascii="楷体" w:eastAsia="楷体" w:hAnsi="楷体" w:cs="楷体" w:hint="eastAsia"/>
          <w:b/>
          <w:bCs/>
          <w:sz w:val="30"/>
          <w:szCs w:val="30"/>
          <w:highlight w:val="none"/>
          <w:lang w:eastAsia="zh-CN"/>
        </w:rPr>
        <w:t>（一）总体情况</w:t>
      </w:r>
    </w:p>
    <w:p w14:paraId="67092F27">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2023年财政拨款“三公”经费预算0.00元，支出决算0.00元（去年同期0.00元），支出决算与2023年预算相比持平；支出决算较上年持平。因本年及去年同期均未使用财政拨款列支“三公”经费，故本年支出决算与本年预算、上年支出决算均持平为0。</w:t>
      </w:r>
    </w:p>
    <w:p w14:paraId="7A19286E">
      <w:pPr>
        <w:pageBreakBefore w:val="0"/>
        <w:kinsoku/>
        <w:wordWrap/>
        <w:overflowPunct/>
        <w:topLinePunct w:val="0"/>
        <w:autoSpaceDE/>
        <w:autoSpaceDN/>
        <w:bidi w:val="0"/>
        <w:snapToGrid/>
        <w:spacing w:line="600" w:lineRule="exact"/>
        <w:ind w:firstLine="600" w:firstLineChars="200"/>
        <w:rPr>
          <w:rFonts w:ascii="楷体" w:eastAsia="楷体" w:hAnsi="楷体" w:cs="楷体" w:hint="eastAsia"/>
          <w:b/>
          <w:bCs/>
          <w:sz w:val="30"/>
          <w:szCs w:val="30"/>
          <w:highlight w:val="none"/>
          <w:lang w:eastAsia="zh-CN"/>
        </w:rPr>
      </w:pPr>
      <w:r>
        <w:rPr>
          <w:rFonts w:ascii="楷体" w:eastAsia="楷体" w:hAnsi="楷体" w:cs="楷体" w:hint="eastAsia"/>
          <w:b/>
          <w:bCs/>
          <w:sz w:val="30"/>
          <w:szCs w:val="30"/>
          <w:highlight w:val="none"/>
          <w:lang w:eastAsia="zh-CN"/>
        </w:rPr>
        <w:t>（二）具体情况</w:t>
      </w:r>
    </w:p>
    <w:p w14:paraId="0267BA7D">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1.因公出国（境）费预算0.00元，支出决算0.00元（去年同期0.00元），支出决算与2023年预算相比持平；支出决算较上年持平。因本年及去年同期均未使用财政拨款列支因公出国（境）费，故本年支出决算与本年预算、上年支出决算均持平为0。</w:t>
        <w:br/>
        <w:t>　　2023年本单位组织的出国团组0个，出国0人次。</w:t>
      </w:r>
    </w:p>
    <w:p w14:paraId="4F87161F">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2.公务用车购置及运行维护费预算0.00元，支出决算0.00元（去年同期0.00元），支出决算与2023年预算相比持平；支出决算较上年持平。因本年及去年同期均未使用财政拨款列支公务用车购置及运行维护费，故本年支出决算与本年预算、上年支出决算均持平为0。其中：</w:t>
        <w:br/>
        <w:t>　　公务用车运行维护费预算0.00元，支出决算0.00元（去年同期0.00元），支出决算与2023年预算相比持平；支出决算较上年持平。因本年及去年同期均未使用财政拨款列支公务用车运行维护费，故本年支出决算与本年预算、上年支出决算均持平为0。截至2023年12月31日，使用财政拨款开支运行维护费的公务用车保有量为0辆。</w:t>
        <w:br/>
        <w:t>　　公务用车购置费预算0.00元，支出决算0.00元（去年同期0.00元），支出决算与2023年预算相比持平；支出决算较上年持平。因本年及去年同期均未使用财政拨款列支公务用车购置费，故本年支出决算与本年预算、上年支出决算均持平为0。2023年购置公务用车0辆。</w:t>
      </w:r>
    </w:p>
    <w:p w14:paraId="1B2104BE">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3.公务接待费预算0.00元，支出决算0.00元（去年同期0.00元），支出决算与2023年预算相比持平；支出决算较上年持平。因本年及去年同期均未使用财政拨款列支公务接待费，故本年支出决算与本年预算、上年支出决算均持平为0。2023年本单位国内公务接待0批次，0人次；其中，外事接待0批次，0人次。</w:t>
      </w:r>
    </w:p>
    <w:p w14:paraId="4096F305">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5" w:name="_Toc28180"/>
      <w:r>
        <w:rPr>
          <w:rFonts w:ascii="黑体" w:eastAsia="黑体" w:hAnsi="黑体" w:hint="eastAsia"/>
          <w:b w:val="0"/>
          <w:sz w:val="30"/>
          <w:szCs w:val="30"/>
          <w:highlight w:val="none"/>
        </w:rPr>
        <w:t>十、</w:t>
      </w:r>
      <w:r>
        <w:rPr>
          <w:rFonts w:ascii="黑体" w:eastAsia="黑体" w:hAnsi="黑体"/>
          <w:b w:val="0"/>
          <w:sz w:val="30"/>
          <w:szCs w:val="30"/>
          <w:highlight w:val="none"/>
        </w:rPr>
        <w:t>机关运行经费</w:t>
      </w:r>
      <w:r>
        <w:rPr>
          <w:rFonts w:ascii="黑体" w:eastAsia="黑体" w:hAnsi="黑体" w:hint="eastAsia"/>
          <w:b w:val="0"/>
          <w:sz w:val="30"/>
          <w:szCs w:val="30"/>
          <w:highlight w:val="none"/>
        </w:rPr>
        <w:t>支出情况</w:t>
      </w:r>
      <w:r>
        <w:rPr>
          <w:rFonts w:ascii="黑体" w:eastAsia="黑体" w:hAnsi="黑体" w:hint="eastAsia"/>
          <w:b w:val="0"/>
          <w:bCs w:val="0"/>
          <w:sz w:val="30"/>
          <w:szCs w:val="30"/>
          <w:highlight w:val="none"/>
          <w:lang w:eastAsia="zh-CN"/>
        </w:rPr>
        <w:t>说明</w:t>
      </w:r>
      <w:bookmarkEnd w:id="25"/>
    </w:p>
    <w:p w14:paraId="58ACC37F">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天津市津南区工程建设交易服务中心2023年度无机关运行经费。</w:t>
      </w:r>
    </w:p>
    <w:p w14:paraId="6BA0F1F2">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6" w:name="_Toc12238"/>
      <w:r>
        <w:rPr>
          <w:rFonts w:ascii="黑体" w:eastAsia="黑体" w:hAnsi="黑体" w:hint="eastAsia"/>
          <w:b w:val="0"/>
          <w:sz w:val="30"/>
          <w:szCs w:val="30"/>
          <w:highlight w:val="none"/>
        </w:rPr>
        <w:t>十</w:t>
      </w:r>
      <w:r>
        <w:rPr>
          <w:rFonts w:ascii="黑体" w:eastAsia="黑体" w:hAnsi="黑体" w:hint="eastAsia"/>
          <w:b w:val="0"/>
          <w:sz w:val="30"/>
          <w:szCs w:val="30"/>
          <w:highlight w:val="none"/>
          <w:lang w:eastAsia="zh-CN"/>
        </w:rPr>
        <w:t>一</w:t>
      </w:r>
      <w:r>
        <w:rPr>
          <w:rFonts w:ascii="黑体" w:eastAsia="黑体" w:hAnsi="黑体" w:hint="eastAsia"/>
          <w:b w:val="0"/>
          <w:sz w:val="30"/>
          <w:szCs w:val="30"/>
          <w:highlight w:val="none"/>
        </w:rPr>
        <w:t>、</w:t>
      </w:r>
      <w:r>
        <w:rPr>
          <w:rFonts w:ascii="黑体" w:eastAsia="黑体" w:hAnsi="黑体"/>
          <w:b w:val="0"/>
          <w:sz w:val="30"/>
          <w:szCs w:val="30"/>
          <w:highlight w:val="none"/>
        </w:rPr>
        <w:t>政府采购</w:t>
      </w:r>
      <w:r>
        <w:rPr>
          <w:rFonts w:ascii="黑体" w:eastAsia="黑体" w:hAnsi="黑体" w:hint="eastAsia"/>
          <w:b w:val="0"/>
          <w:sz w:val="30"/>
          <w:szCs w:val="30"/>
          <w:highlight w:val="none"/>
        </w:rPr>
        <w:t>支出</w:t>
      </w:r>
      <w:r>
        <w:rPr>
          <w:rFonts w:ascii="黑体" w:eastAsia="黑体" w:hAnsi="黑体"/>
          <w:b w:val="0"/>
          <w:sz w:val="30"/>
          <w:szCs w:val="30"/>
          <w:highlight w:val="none"/>
        </w:rPr>
        <w:t>情况</w:t>
      </w:r>
      <w:r>
        <w:rPr>
          <w:rFonts w:ascii="黑体" w:eastAsia="黑体" w:hAnsi="黑体" w:hint="eastAsia"/>
          <w:b w:val="0"/>
          <w:bCs w:val="0"/>
          <w:sz w:val="30"/>
          <w:szCs w:val="30"/>
          <w:highlight w:val="none"/>
          <w:lang w:eastAsia="zh-CN"/>
        </w:rPr>
        <w:t>说明</w:t>
      </w:r>
      <w:bookmarkEnd w:id="26"/>
    </w:p>
    <w:p w14:paraId="2B7763DA">
      <w:pPr>
        <w:pageBreakBefore w:val="0"/>
        <w:kinsoku/>
        <w:wordWrap/>
        <w:overflowPunct/>
        <w:topLinePunct w:val="0"/>
        <w:autoSpaceDE/>
        <w:autoSpaceDN/>
        <w:bidi w:val="0"/>
        <w:snapToGrid/>
        <w:spacing w:line="600" w:lineRule="exact"/>
        <w:ind w:firstLine="600" w:firstLineChars="200"/>
        <w:jc w:val="both"/>
        <w:rPr>
          <w:rFonts w:eastAsia="楷体"/>
          <w:sz w:val="30"/>
          <w:szCs w:val="30"/>
          <w:highlight w:val="none"/>
        </w:rPr>
      </w:pPr>
      <w:r>
        <w:rPr>
          <w:rFonts w:ascii="仿宋_GB2312" w:eastAsia="仿宋_GB2312" w:hAnsi="仿宋_GB2312" w:cs="仿宋_GB2312" w:hint="eastAsia"/>
          <w:sz w:val="30"/>
          <w:szCs w:val="30"/>
          <w:highlight w:val="none"/>
          <w:lang w:val="en-US" w:eastAsia="zh-CN"/>
        </w:rPr>
        <w:t>天津市津南区工程建设交易服务中心2023年政府采购支出总额920.00元，其中：政府采购货物支出920.00元、政府采购工程支出0.00元、政府采购服务支出0.00元。授予中小企业合同金额920.00元，占政府采购支出总额的100.00%，其中：授予小微企业合同金额920.00元，占政府采购支出总额的100.00%；货物采购授予中小企业合同金额占货物支出金额的100.00%，工程采购授予中小企业合同金额占工程支出金额的0.00%，服务采购授予中小企业合同金额占服务支出金额的0.00%。</w:t>
      </w:r>
    </w:p>
    <w:p w14:paraId="37455A81">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27" w:name="_Toc30109"/>
      <w:r>
        <w:rPr>
          <w:rFonts w:ascii="黑体" w:eastAsia="黑体" w:hAnsi="黑体" w:hint="eastAsia"/>
          <w:b w:val="0"/>
          <w:sz w:val="30"/>
          <w:szCs w:val="30"/>
          <w:highlight w:val="none"/>
        </w:rPr>
        <w:t>十</w:t>
      </w:r>
      <w:r>
        <w:rPr>
          <w:rFonts w:ascii="黑体" w:eastAsia="黑体" w:hAnsi="黑体" w:hint="eastAsia"/>
          <w:b w:val="0"/>
          <w:sz w:val="30"/>
          <w:szCs w:val="30"/>
          <w:highlight w:val="none"/>
          <w:lang w:eastAsia="zh-CN"/>
        </w:rPr>
        <w:t>二</w:t>
      </w:r>
      <w:r>
        <w:rPr>
          <w:rFonts w:ascii="黑体" w:eastAsia="黑体" w:hAnsi="黑体" w:hint="eastAsia"/>
          <w:b w:val="0"/>
          <w:sz w:val="30"/>
          <w:szCs w:val="30"/>
          <w:highlight w:val="none"/>
        </w:rPr>
        <w:t>、国有资产占有使用情况</w:t>
      </w:r>
      <w:r>
        <w:rPr>
          <w:rFonts w:ascii="黑体" w:eastAsia="黑体" w:hAnsi="黑体" w:hint="eastAsia"/>
          <w:b w:val="0"/>
          <w:bCs w:val="0"/>
          <w:sz w:val="30"/>
          <w:szCs w:val="30"/>
          <w:highlight w:val="none"/>
          <w:lang w:eastAsia="zh-CN"/>
        </w:rPr>
        <w:t>说明</w:t>
      </w:r>
      <w:bookmarkEnd w:id="27"/>
    </w:p>
    <w:p w14:paraId="688F01D0">
      <w:pPr>
        <w:pageBreakBefore w:val="0"/>
        <w:kinsoku/>
        <w:wordWrap/>
        <w:overflowPunct/>
        <w:topLinePunct w:val="0"/>
        <w:autoSpaceDE/>
        <w:autoSpaceDN/>
        <w:bidi w:val="0"/>
        <w:snapToGrid/>
        <w:spacing w:line="600" w:lineRule="exact"/>
        <w:ind w:firstLine="600" w:firstLineChars="200"/>
        <w:jc w:val="both"/>
        <w:rPr>
          <w:rFonts w:eastAsia="楷体"/>
          <w:sz w:val="30"/>
          <w:szCs w:val="30"/>
          <w:highlight w:val="none"/>
        </w:rPr>
      </w:pPr>
      <w:r>
        <w:rPr>
          <w:rFonts w:ascii="仿宋_GB2312" w:eastAsia="仿宋_GB2312" w:hAnsi="仿宋_GB2312" w:cs="仿宋_GB2312" w:hint="eastAsia"/>
          <w:sz w:val="30"/>
          <w:szCs w:val="30"/>
          <w:highlight w:val="none"/>
          <w:lang w:val="en-US" w:eastAsia="zh-CN"/>
        </w:rPr>
        <w:t>截至2023年12月31日，天津市津南区工程建设交易服务中心共有车辆1辆，其中：副部（省）级及以上领导用车0辆、主要负责人用车0辆、机要通信用车0辆、应急保障用车0辆、执法执勤用车0辆、特种专业技术用车0辆、离退休干部用车0辆、其他用车1辆，其他用车主要包括此车归住建委二级单位执法支队使用。单价100万元以上的设备0台（套）。</w:t>
      </w:r>
    </w:p>
    <w:p w14:paraId="196FFC43">
      <w:pPr>
        <w:pStyle w:val="Heading2"/>
        <w:pageBreakBefore w:val="0"/>
        <w:widowControl w:val="0"/>
        <w:numPr>
          <w:ilvl w:val="0"/>
          <w:numId w:val="2"/>
        </w:numPr>
        <w:kinsoku/>
        <w:wordWrap/>
        <w:overflowPunct/>
        <w:topLinePunct w:val="0"/>
        <w:autoSpaceDE/>
        <w:autoSpaceDN/>
        <w:bidi w:val="0"/>
        <w:adjustRightInd w:val="0"/>
        <w:snapToGrid/>
        <w:spacing w:before="0" w:after="0" w:line="540" w:lineRule="exact"/>
        <w:ind w:firstLine="600" w:firstLineChars="200"/>
        <w:textAlignment w:val="baseline"/>
        <w:rPr>
          <w:rFonts w:ascii="黑体" w:eastAsia="黑体" w:hAnsi="黑体" w:hint="eastAsia"/>
          <w:b w:val="0"/>
          <w:bCs w:val="0"/>
          <w:sz w:val="30"/>
          <w:szCs w:val="30"/>
          <w:highlight w:val="none"/>
        </w:rPr>
      </w:pPr>
      <w:bookmarkStart w:id="28" w:name="_Toc7408"/>
      <w:r>
        <w:rPr>
          <w:rFonts w:ascii="黑体" w:eastAsia="黑体" w:hAnsi="黑体" w:hint="eastAsia"/>
          <w:b w:val="0"/>
          <w:bCs w:val="0"/>
          <w:sz w:val="30"/>
          <w:szCs w:val="30"/>
          <w:highlight w:val="none"/>
        </w:rPr>
        <w:t>预算绩效情况说明</w:t>
      </w:r>
      <w:bookmarkEnd w:id="28"/>
    </w:p>
    <w:p w14:paraId="6949F8BB">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根据预算绩效管理要求，天津市津南区工程建设交易服务中心2023年度已对1个区级项目开展绩效自评，涉及金额200000.00元，自评结果已随部门决算一并公开。</w:t>
      </w:r>
    </w:p>
    <w:p w14:paraId="48A05015">
      <w:pPr>
        <w:pStyle w:val="Heading2"/>
        <w:pageBreakBefore w:val="0"/>
        <w:widowControl w:val="0"/>
        <w:numPr>
          <w:ilvl w:val="0"/>
          <w:numId w:val="2"/>
        </w:numPr>
        <w:kinsoku/>
        <w:wordWrap/>
        <w:overflowPunct/>
        <w:topLinePunct w:val="0"/>
        <w:autoSpaceDE/>
        <w:autoSpaceDN/>
        <w:bidi w:val="0"/>
        <w:adjustRightInd w:val="0"/>
        <w:snapToGrid/>
        <w:spacing w:before="0" w:after="0" w:line="540" w:lineRule="exact"/>
        <w:ind w:firstLine="600" w:firstLineChars="200"/>
        <w:textAlignment w:val="baseline"/>
        <w:rPr>
          <w:rFonts w:ascii="黑体" w:eastAsia="黑体" w:hAnsi="黑体" w:hint="eastAsia"/>
          <w:b w:val="0"/>
          <w:bCs w:val="0"/>
          <w:sz w:val="30"/>
          <w:szCs w:val="30"/>
          <w:highlight w:val="none"/>
        </w:rPr>
      </w:pPr>
      <w:bookmarkStart w:id="29" w:name="_Toc12198"/>
      <w:r>
        <w:rPr>
          <w:rFonts w:ascii="黑体" w:eastAsia="黑体" w:hAnsi="黑体" w:hint="eastAsia"/>
          <w:b w:val="0"/>
          <w:bCs w:val="0"/>
          <w:sz w:val="30"/>
          <w:szCs w:val="30"/>
          <w:highlight w:val="none"/>
        </w:rPr>
        <w:t>教育、医疗卫生、社会保障和就业、住房保障、涉农补贴等民生支出情况</w:t>
      </w:r>
      <w:r>
        <w:rPr>
          <w:rFonts w:ascii="黑体" w:eastAsia="黑体" w:hAnsi="黑体" w:hint="eastAsia"/>
          <w:b w:val="0"/>
          <w:bCs w:val="0"/>
          <w:sz w:val="30"/>
          <w:szCs w:val="30"/>
          <w:highlight w:val="none"/>
          <w:lang w:eastAsia="zh-CN"/>
        </w:rPr>
        <w:t>说明</w:t>
      </w:r>
      <w:bookmarkEnd w:id="29"/>
    </w:p>
    <w:p w14:paraId="32BC4F5E">
      <w:pPr>
        <w:pageBreakBefore w:val="0"/>
        <w:kinsoku/>
        <w:wordWrap/>
        <w:overflowPunct/>
        <w:topLinePunct w:val="0"/>
        <w:autoSpaceDE/>
        <w:autoSpaceDN/>
        <w:bidi w:val="0"/>
        <w:snapToGrid/>
        <w:spacing w:line="600" w:lineRule="exact"/>
        <w:ind w:firstLine="600"/>
        <w:jc w:val="both"/>
        <w:rPr>
          <w:rFonts w:eastAsia="楷体"/>
          <w:b/>
          <w:bCs/>
          <w:color w:val="auto"/>
          <w:sz w:val="30"/>
          <w:szCs w:val="30"/>
          <w:highlight w:val="none"/>
        </w:rPr>
        <w:sectPr>
          <w:pgSz w:w="11906" w:h="16838"/>
          <w:pgMar w:top="1440" w:right="1800" w:bottom="1440" w:left="1800" w:header="851" w:footer="992" w:gutter="0"/>
          <w:cols w:num="1" w:space="720"/>
          <w:docGrid w:type="lines" w:linePitch="312" w:charSpace="0"/>
        </w:sectPr>
      </w:pPr>
      <w:r>
        <w:rPr>
          <w:rFonts w:ascii="仿宋_GB2312" w:eastAsia="仿宋_GB2312" w:hAnsi="仿宋_GB2312" w:cs="仿宋_GB2312" w:hint="eastAsia"/>
          <w:sz w:val="30"/>
          <w:szCs w:val="30"/>
          <w:highlight w:val="none"/>
          <w:lang w:val="en-US" w:eastAsia="zh-CN"/>
        </w:rPr>
        <w:t>天津市津南区工程建设交易服务中心不属于乡、镇、街级单位，不涉及公开2023年度教育、医疗卫生、社会保障和就业、住房保障、涉农补贴等民生支出情况。</w:t>
      </w:r>
    </w:p>
    <w:p w14:paraId="2BFEB69B">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hint="eastAsia"/>
          <w:b w:val="0"/>
          <w:sz w:val="44"/>
          <w:szCs w:val="44"/>
          <w:highlight w:val="none"/>
        </w:rPr>
      </w:pPr>
      <w:bookmarkStart w:id="30" w:name="_Toc17573"/>
      <w:r>
        <w:rPr>
          <w:rFonts w:ascii="方正小标宋简体" w:eastAsia="方正小标宋简体" w:hAnsi="方正小标宋简体" w:cs="方正小标宋简体" w:hint="eastAsia"/>
          <w:b w:val="0"/>
          <w:sz w:val="44"/>
          <w:szCs w:val="44"/>
          <w:highlight w:val="none"/>
        </w:rPr>
        <w:t>第四部分  名词解释</w:t>
      </w:r>
      <w:bookmarkEnd w:id="30"/>
    </w:p>
    <w:p w14:paraId="2C06E5B6">
      <w:pPr>
        <w:pageBreakBefore w:val="0"/>
        <w:kinsoku/>
        <w:wordWrap/>
        <w:overflowPunct/>
        <w:topLinePunct w:val="0"/>
        <w:autoSpaceDE/>
        <w:autoSpaceDN/>
        <w:bidi w:val="0"/>
        <w:snapToGrid/>
        <w:spacing w:line="600" w:lineRule="exact"/>
        <w:ind w:firstLine="600" w:firstLineChars="200"/>
        <w:rPr>
          <w:rFonts w:ascii="仿宋_GB2312" w:eastAsia="仿宋_GB2312" w:hint="eastAsia"/>
          <w:sz w:val="30"/>
          <w:szCs w:val="30"/>
          <w:highlight w:val="none"/>
        </w:rPr>
      </w:pPr>
    </w:p>
    <w:p w14:paraId="65EDB0B7">
      <w:pPr>
        <w:pageBreakBefore w:val="0"/>
        <w:numPr>
          <w:ilvl w:val="0"/>
          <w:numId w:val="3"/>
        </w:numPr>
        <w:kinsoku/>
        <w:wordWrap/>
        <w:overflowPunct/>
        <w:topLinePunct w:val="0"/>
        <w:autoSpaceDE/>
        <w:autoSpaceDN/>
        <w:bidi w:val="0"/>
        <w:snapToGrid/>
        <w:spacing w:line="600" w:lineRule="exact"/>
        <w:ind w:firstLine="600" w:firstLineChars="200"/>
        <w:rPr>
          <w:rFonts w:eastAsia="仿宋_GB2312" w:hint="eastAsia"/>
          <w:sz w:val="30"/>
          <w:szCs w:val="30"/>
          <w:highlight w:val="none"/>
        </w:rPr>
      </w:pPr>
      <w:r>
        <w:rPr>
          <w:rFonts w:eastAsia="仿宋_GB2312" w:hint="eastAsia"/>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EAD8965">
      <w:pPr>
        <w:pageBreakBefore w:val="0"/>
        <w:kinsoku/>
        <w:wordWrap/>
        <w:overflowPunct/>
        <w:topLinePunct w:val="0"/>
        <w:autoSpaceDE/>
        <w:autoSpaceDN/>
        <w:bidi w:val="0"/>
        <w:snapToGrid/>
        <w:spacing w:line="600" w:lineRule="exact"/>
        <w:ind w:firstLine="600" w:firstLineChars="200"/>
        <w:rPr>
          <w:rFonts w:eastAsia="仿宋_GB2312" w:hint="eastAsia"/>
          <w:sz w:val="30"/>
          <w:szCs w:val="30"/>
          <w:highlight w:val="none"/>
        </w:rPr>
      </w:pPr>
      <w:r>
        <w:rPr>
          <w:rFonts w:eastAsia="仿宋_GB2312" w:hint="eastAsia"/>
          <w:sz w:val="30"/>
          <w:szCs w:val="30"/>
          <w:highlight w:val="none"/>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9FFCF5C">
      <w:pPr>
        <w:pageBreakBefore w:val="0"/>
        <w:kinsoku/>
        <w:wordWrap/>
        <w:overflowPunct/>
        <w:topLinePunct w:val="0"/>
        <w:autoSpaceDE/>
        <w:autoSpaceDN/>
        <w:bidi w:val="0"/>
        <w:snapToGrid/>
        <w:spacing w:line="600" w:lineRule="exact"/>
        <w:ind w:firstLine="600" w:firstLineChars="200"/>
        <w:rPr>
          <w:rFonts w:eastAsia="仿宋_GB2312" w:hint="eastAsia"/>
          <w:sz w:val="30"/>
          <w:szCs w:val="30"/>
          <w:highlight w:val="none"/>
          <w:lang w:val="en-US" w:eastAsia="zh-CN"/>
        </w:rPr>
      </w:pPr>
      <w:r>
        <w:rPr>
          <w:rFonts w:eastAsia="仿宋_GB2312" w:hint="eastAsia"/>
          <w:sz w:val="30"/>
          <w:szCs w:val="30"/>
          <w:highlight w:val="none"/>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bookmarkStart w:id="31" w:name="_GoBack"/>
      <w:bookmarkEnd w:id="31"/>
    </w:p>
    <w:sectPr>
      <w:pgSz w:w="11906" w:h="16838"/>
      <w:pgMar w:top="1440" w:right="1800" w:bottom="1440" w:left="1800"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宋体-方正超大字符集"/>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11188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7974C58C">
    <w:pPr>
      <w:pStyle w:val="Footer"/>
    </w:pPr>
    <w:r>
      <mc:AlternateContent>
        <mc:Choice Requires="wps">
          <w:drawing>
            <wp:anchor distT="0" distB="0" distL="114300" distR="114300" simplePos="0" relativeHeight="251659264" behindDoc="0" locked="0" layoutInCell="1" allowOverlap="1">
              <wp:simplePos x="0" y="0"/>
              <wp:positionH relativeFrom="margin">
                <wp:posOffset>2632075</wp:posOffset>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15875">
                        <a:noFill/>
                      </a:ln>
                    </wps:spPr>
                    <wps:txbx>
                      <w:txbxContent>
                        <w:p>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11</w:t>
                          </w:r>
                          <w:r>
                            <w:rPr>
                              <w:rFonts w:hint="eastAsia"/>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2049" type="#_x0000_t202" style="width:2in;height:2in;margin-top:0;margin-left:207.25pt;mso-position-horizontal-relative:margin;mso-wrap-distance-bottom:0;mso-wrap-distance-left:9pt;mso-wrap-distance-right:9pt;mso-wrap-distance-top:0;mso-wrap-style:none;position:absolute;v-text-anchor:top;z-index:251658240" filled="f" fillcolor="this" stroked="f" strokeweight="1.25pt">
              <v:textbox style="mso-fit-shape-to-text:t" inset="0,0,0,0">
                <w:txbxContent>
                  <w:p w14:paraId="3277D735">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11</w:t>
                    </w:r>
                    <w:r>
                      <w:rPr>
                        <w:rFonts w:hint="eastAsia"/>
                        <w:szCs w:val="24"/>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BE256EE"/>
    <w:multiLevelType w:val="singleLevel"/>
    <w:tmpl w:val="EBE256EE"/>
    <w:lvl w:ilvl="0">
      <w:start w:val="13"/>
      <w:numFmt w:val="chineseCounting"/>
      <w:suff w:val="nothing"/>
      <w:lvlText w:val="%1、"/>
      <w:lvlJc w:val="left"/>
      <w:rPr>
        <w:rFonts w:hint="eastAsia"/>
      </w:rPr>
    </w:lvl>
  </w:abstractNum>
  <w:abstractNum w:abstractNumId="1">
    <w:nsid w:val="62CB79B7"/>
    <w:multiLevelType w:val="singleLevel"/>
    <w:tmpl w:val="62CB79B7"/>
    <w:lvl w:ilvl="0">
      <w:start w:val="3"/>
      <w:numFmt w:val="chineseCounting"/>
      <w:suff w:val="nothing"/>
      <w:lvlText w:val="（%1）"/>
      <w:lvlJc w:val="left"/>
    </w:lvl>
  </w:abstractNum>
  <w:abstractNum w:abstractNumId="2">
    <w:nsid w:val="62CB88B4"/>
    <w:multiLevelType w:val="singleLevel"/>
    <w:tmpl w:val="62CB88B4"/>
    <w:lvl w:ilvl="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1D802DB"/>
    <w:rsid w:val="BBFEB28B"/>
    <w:rsid w:val="D74FDF30"/>
    <w:rsid w:val="DEAEE68D"/>
    <w:rsid w:val="F7F97754"/>
    <w:rsid w:val="FB7FC3E7"/>
    <w:rsid w:val="FF3F61B6"/>
    <w:rsid w:val="FFC7ECE8"/>
    <w:rsid w:val="00015911"/>
    <w:rsid w:val="00046E1C"/>
    <w:rsid w:val="00053901"/>
    <w:rsid w:val="000864BF"/>
    <w:rsid w:val="00092AB8"/>
    <w:rsid w:val="000B4E39"/>
    <w:rsid w:val="00112C55"/>
    <w:rsid w:val="001179AF"/>
    <w:rsid w:val="0012059C"/>
    <w:rsid w:val="00124993"/>
    <w:rsid w:val="0012531C"/>
    <w:rsid w:val="00126E2D"/>
    <w:rsid w:val="001829A0"/>
    <w:rsid w:val="00186ED8"/>
    <w:rsid w:val="001F61CD"/>
    <w:rsid w:val="00241712"/>
    <w:rsid w:val="002532F7"/>
    <w:rsid w:val="002566ED"/>
    <w:rsid w:val="00257643"/>
    <w:rsid w:val="002912A7"/>
    <w:rsid w:val="002D2BBE"/>
    <w:rsid w:val="002E091E"/>
    <w:rsid w:val="002F00A9"/>
    <w:rsid w:val="003365DD"/>
    <w:rsid w:val="003714D5"/>
    <w:rsid w:val="00381206"/>
    <w:rsid w:val="0038216E"/>
    <w:rsid w:val="003942CD"/>
    <w:rsid w:val="003A4529"/>
    <w:rsid w:val="004040D1"/>
    <w:rsid w:val="00432D37"/>
    <w:rsid w:val="00464079"/>
    <w:rsid w:val="00465602"/>
    <w:rsid w:val="004918AD"/>
    <w:rsid w:val="004A1361"/>
    <w:rsid w:val="0050332F"/>
    <w:rsid w:val="00532C4C"/>
    <w:rsid w:val="00570354"/>
    <w:rsid w:val="005B60DB"/>
    <w:rsid w:val="005C22AF"/>
    <w:rsid w:val="005F2510"/>
    <w:rsid w:val="00676A5E"/>
    <w:rsid w:val="006A54BF"/>
    <w:rsid w:val="006D05B2"/>
    <w:rsid w:val="00727434"/>
    <w:rsid w:val="00734D29"/>
    <w:rsid w:val="0077787E"/>
    <w:rsid w:val="0079348B"/>
    <w:rsid w:val="007A3491"/>
    <w:rsid w:val="007B4B58"/>
    <w:rsid w:val="007F3679"/>
    <w:rsid w:val="007F448B"/>
    <w:rsid w:val="007F718E"/>
    <w:rsid w:val="00801B2B"/>
    <w:rsid w:val="00803B43"/>
    <w:rsid w:val="00817AE2"/>
    <w:rsid w:val="0085671E"/>
    <w:rsid w:val="00876FA4"/>
    <w:rsid w:val="00893EAC"/>
    <w:rsid w:val="008A6092"/>
    <w:rsid w:val="008C3474"/>
    <w:rsid w:val="008C677C"/>
    <w:rsid w:val="008D2605"/>
    <w:rsid w:val="008D64CE"/>
    <w:rsid w:val="009142B8"/>
    <w:rsid w:val="00915276"/>
    <w:rsid w:val="00936468"/>
    <w:rsid w:val="009371C3"/>
    <w:rsid w:val="0098387F"/>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A3A83"/>
    <w:rsid w:val="00DB0D2B"/>
    <w:rsid w:val="00DC0D31"/>
    <w:rsid w:val="00E21DD7"/>
    <w:rsid w:val="00E4337C"/>
    <w:rsid w:val="00E56EBF"/>
    <w:rsid w:val="00E56F06"/>
    <w:rsid w:val="00E576CC"/>
    <w:rsid w:val="00E8795B"/>
    <w:rsid w:val="00EB277E"/>
    <w:rsid w:val="00EB7B3B"/>
    <w:rsid w:val="00F14DB8"/>
    <w:rsid w:val="00F3454D"/>
    <w:rsid w:val="00F3737B"/>
    <w:rsid w:val="00F6315A"/>
    <w:rsid w:val="00FF6CDB"/>
    <w:rsid w:val="01582EB3"/>
    <w:rsid w:val="01D92F4B"/>
    <w:rsid w:val="021D09AE"/>
    <w:rsid w:val="02317CA1"/>
    <w:rsid w:val="02C26D17"/>
    <w:rsid w:val="0305419A"/>
    <w:rsid w:val="032B2B72"/>
    <w:rsid w:val="03633F1C"/>
    <w:rsid w:val="03877CF5"/>
    <w:rsid w:val="03971CD2"/>
    <w:rsid w:val="03A73B20"/>
    <w:rsid w:val="04D27C6A"/>
    <w:rsid w:val="04DA6E85"/>
    <w:rsid w:val="054E0E8D"/>
    <w:rsid w:val="05901C8F"/>
    <w:rsid w:val="059D199E"/>
    <w:rsid w:val="05FB2E04"/>
    <w:rsid w:val="06516202"/>
    <w:rsid w:val="065A73D7"/>
    <w:rsid w:val="068D56CD"/>
    <w:rsid w:val="068F1656"/>
    <w:rsid w:val="06CE3C39"/>
    <w:rsid w:val="070745F4"/>
    <w:rsid w:val="0750320D"/>
    <w:rsid w:val="080C427F"/>
    <w:rsid w:val="08496DC5"/>
    <w:rsid w:val="08601190"/>
    <w:rsid w:val="08610C17"/>
    <w:rsid w:val="08AB76E6"/>
    <w:rsid w:val="08B17C7F"/>
    <w:rsid w:val="09787FC2"/>
    <w:rsid w:val="09794F69"/>
    <w:rsid w:val="09BC7107"/>
    <w:rsid w:val="09C86481"/>
    <w:rsid w:val="09CD6F6A"/>
    <w:rsid w:val="0A884CB3"/>
    <w:rsid w:val="0ABD2EA9"/>
    <w:rsid w:val="0AF02B7A"/>
    <w:rsid w:val="0AF83DD3"/>
    <w:rsid w:val="0B0C0657"/>
    <w:rsid w:val="0B2F7E6E"/>
    <w:rsid w:val="0B7057C8"/>
    <w:rsid w:val="0BF51CAC"/>
    <w:rsid w:val="0C327E5C"/>
    <w:rsid w:val="0D66464C"/>
    <w:rsid w:val="0DCA24E7"/>
    <w:rsid w:val="0E1905E8"/>
    <w:rsid w:val="0E6B081A"/>
    <w:rsid w:val="0E812A35"/>
    <w:rsid w:val="0F3A7BBE"/>
    <w:rsid w:val="0FB146BC"/>
    <w:rsid w:val="10D0376E"/>
    <w:rsid w:val="11D75F2F"/>
    <w:rsid w:val="11D802DB"/>
    <w:rsid w:val="121401BA"/>
    <w:rsid w:val="122B009F"/>
    <w:rsid w:val="135D03D9"/>
    <w:rsid w:val="13A17616"/>
    <w:rsid w:val="149264E6"/>
    <w:rsid w:val="14F31DE2"/>
    <w:rsid w:val="15127621"/>
    <w:rsid w:val="156A2C3E"/>
    <w:rsid w:val="157A3189"/>
    <w:rsid w:val="15E37C52"/>
    <w:rsid w:val="169221B4"/>
    <w:rsid w:val="16EA0A1B"/>
    <w:rsid w:val="181D0AF6"/>
    <w:rsid w:val="18E12A26"/>
    <w:rsid w:val="1A2F34CF"/>
    <w:rsid w:val="1B0B6786"/>
    <w:rsid w:val="1C2E1750"/>
    <w:rsid w:val="1C8A5079"/>
    <w:rsid w:val="1D520C3E"/>
    <w:rsid w:val="1DA340AC"/>
    <w:rsid w:val="1E2F4E67"/>
    <w:rsid w:val="1E506972"/>
    <w:rsid w:val="1E8146FC"/>
    <w:rsid w:val="1EC8639D"/>
    <w:rsid w:val="1EC97805"/>
    <w:rsid w:val="1EFB07B0"/>
    <w:rsid w:val="1F6101B7"/>
    <w:rsid w:val="1FABD71D"/>
    <w:rsid w:val="20505929"/>
    <w:rsid w:val="2093268B"/>
    <w:rsid w:val="20C921EC"/>
    <w:rsid w:val="22792317"/>
    <w:rsid w:val="228770CD"/>
    <w:rsid w:val="22F75B35"/>
    <w:rsid w:val="236906A5"/>
    <w:rsid w:val="23BA0D09"/>
    <w:rsid w:val="24BA0C0F"/>
    <w:rsid w:val="250B61A3"/>
    <w:rsid w:val="259F5563"/>
    <w:rsid w:val="25A662F9"/>
    <w:rsid w:val="25AD749C"/>
    <w:rsid w:val="25AE4162"/>
    <w:rsid w:val="261B2634"/>
    <w:rsid w:val="26872640"/>
    <w:rsid w:val="26C653DA"/>
    <w:rsid w:val="26EC5D21"/>
    <w:rsid w:val="27615821"/>
    <w:rsid w:val="27A13E6E"/>
    <w:rsid w:val="2828594C"/>
    <w:rsid w:val="28863E70"/>
    <w:rsid w:val="288A6337"/>
    <w:rsid w:val="28994B2A"/>
    <w:rsid w:val="28CD1B01"/>
    <w:rsid w:val="290441D9"/>
    <w:rsid w:val="292E4395"/>
    <w:rsid w:val="29867FF5"/>
    <w:rsid w:val="29D72E63"/>
    <w:rsid w:val="29F01BC9"/>
    <w:rsid w:val="2A1248CB"/>
    <w:rsid w:val="2A24302B"/>
    <w:rsid w:val="2A7456B8"/>
    <w:rsid w:val="2AF92258"/>
    <w:rsid w:val="2C3B01C9"/>
    <w:rsid w:val="2CB024EC"/>
    <w:rsid w:val="2D2B1A30"/>
    <w:rsid w:val="2D5BB7F4"/>
    <w:rsid w:val="2DA87FE3"/>
    <w:rsid w:val="2DAB1C1C"/>
    <w:rsid w:val="2E6455AA"/>
    <w:rsid w:val="2E6E5875"/>
    <w:rsid w:val="2EAA1E45"/>
    <w:rsid w:val="2EBA2F30"/>
    <w:rsid w:val="2F8573F4"/>
    <w:rsid w:val="2FFC60D8"/>
    <w:rsid w:val="2FFD4B55"/>
    <w:rsid w:val="303E64C7"/>
    <w:rsid w:val="318D0FFE"/>
    <w:rsid w:val="31F32BCC"/>
    <w:rsid w:val="322D5537"/>
    <w:rsid w:val="3230050F"/>
    <w:rsid w:val="32500429"/>
    <w:rsid w:val="32B00783"/>
    <w:rsid w:val="33987EA4"/>
    <w:rsid w:val="33C03912"/>
    <w:rsid w:val="33E55770"/>
    <w:rsid w:val="343041E9"/>
    <w:rsid w:val="343E2C5A"/>
    <w:rsid w:val="34E404B6"/>
    <w:rsid w:val="353874A5"/>
    <w:rsid w:val="356C4B0F"/>
    <w:rsid w:val="357756D0"/>
    <w:rsid w:val="35F83418"/>
    <w:rsid w:val="35FA3DA7"/>
    <w:rsid w:val="360570F1"/>
    <w:rsid w:val="36433E0B"/>
    <w:rsid w:val="3685618C"/>
    <w:rsid w:val="36DF7E92"/>
    <w:rsid w:val="37210A48"/>
    <w:rsid w:val="37C605ED"/>
    <w:rsid w:val="37EC07D4"/>
    <w:rsid w:val="39054161"/>
    <w:rsid w:val="395157DA"/>
    <w:rsid w:val="39D81DB4"/>
    <w:rsid w:val="39DD1F63"/>
    <w:rsid w:val="3A875795"/>
    <w:rsid w:val="3B3A6848"/>
    <w:rsid w:val="3C7702D9"/>
    <w:rsid w:val="3C822FFF"/>
    <w:rsid w:val="3C987755"/>
    <w:rsid w:val="3D1712DB"/>
    <w:rsid w:val="3D6E4CFB"/>
    <w:rsid w:val="3DB948D9"/>
    <w:rsid w:val="3DED19CC"/>
    <w:rsid w:val="3E551C1D"/>
    <w:rsid w:val="3EAA16DD"/>
    <w:rsid w:val="3EE7006C"/>
    <w:rsid w:val="3F043070"/>
    <w:rsid w:val="3F397145"/>
    <w:rsid w:val="413E7CF9"/>
    <w:rsid w:val="419141BF"/>
    <w:rsid w:val="41C515FE"/>
    <w:rsid w:val="41F26234"/>
    <w:rsid w:val="42C52D12"/>
    <w:rsid w:val="42EA0B90"/>
    <w:rsid w:val="436E1D48"/>
    <w:rsid w:val="44211CC9"/>
    <w:rsid w:val="442221E6"/>
    <w:rsid w:val="44FC0AD9"/>
    <w:rsid w:val="45C66F5A"/>
    <w:rsid w:val="464311BD"/>
    <w:rsid w:val="46762869"/>
    <w:rsid w:val="46800ECA"/>
    <w:rsid w:val="46D65DFF"/>
    <w:rsid w:val="46ED43C8"/>
    <w:rsid w:val="47655748"/>
    <w:rsid w:val="481F5D29"/>
    <w:rsid w:val="485B08F6"/>
    <w:rsid w:val="48E65506"/>
    <w:rsid w:val="49A95325"/>
    <w:rsid w:val="49C60D15"/>
    <w:rsid w:val="4C72500A"/>
    <w:rsid w:val="4D2A2606"/>
    <w:rsid w:val="4E470451"/>
    <w:rsid w:val="4E5A4E46"/>
    <w:rsid w:val="4E776E4B"/>
    <w:rsid w:val="4EBE5040"/>
    <w:rsid w:val="4EC635D4"/>
    <w:rsid w:val="4EF42DDE"/>
    <w:rsid w:val="4EFE3A76"/>
    <w:rsid w:val="4F021DFD"/>
    <w:rsid w:val="4FA93361"/>
    <w:rsid w:val="50491464"/>
    <w:rsid w:val="50B055C9"/>
    <w:rsid w:val="50EB4351"/>
    <w:rsid w:val="513E3E14"/>
    <w:rsid w:val="516E5D30"/>
    <w:rsid w:val="519A61B8"/>
    <w:rsid w:val="51E25670"/>
    <w:rsid w:val="529328AD"/>
    <w:rsid w:val="52A26688"/>
    <w:rsid w:val="52C3106D"/>
    <w:rsid w:val="532D1C0A"/>
    <w:rsid w:val="53583E88"/>
    <w:rsid w:val="548F7836"/>
    <w:rsid w:val="54A42073"/>
    <w:rsid w:val="54D72BF4"/>
    <w:rsid w:val="54F6709D"/>
    <w:rsid w:val="566138B1"/>
    <w:rsid w:val="56832AE6"/>
    <w:rsid w:val="56F540E8"/>
    <w:rsid w:val="57814C22"/>
    <w:rsid w:val="579303E0"/>
    <w:rsid w:val="57BD125F"/>
    <w:rsid w:val="57DB4D69"/>
    <w:rsid w:val="57E83EF2"/>
    <w:rsid w:val="58B03A2E"/>
    <w:rsid w:val="59005937"/>
    <w:rsid w:val="596D5572"/>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3329A"/>
    <w:rsid w:val="5E3B56D9"/>
    <w:rsid w:val="5E7F01AB"/>
    <w:rsid w:val="5E910416"/>
    <w:rsid w:val="5FC652D8"/>
    <w:rsid w:val="6043407E"/>
    <w:rsid w:val="605F74B4"/>
    <w:rsid w:val="607B68FE"/>
    <w:rsid w:val="617007B5"/>
    <w:rsid w:val="61DC2C23"/>
    <w:rsid w:val="61E56E86"/>
    <w:rsid w:val="621870FC"/>
    <w:rsid w:val="62DA2A3D"/>
    <w:rsid w:val="637B3A8F"/>
    <w:rsid w:val="63A65E89"/>
    <w:rsid w:val="65737FA2"/>
    <w:rsid w:val="65AC27B5"/>
    <w:rsid w:val="65D920E1"/>
    <w:rsid w:val="65D9655D"/>
    <w:rsid w:val="6656630C"/>
    <w:rsid w:val="66EC0C69"/>
    <w:rsid w:val="67AD24B8"/>
    <w:rsid w:val="67F5DAB5"/>
    <w:rsid w:val="68261741"/>
    <w:rsid w:val="693E2FAD"/>
    <w:rsid w:val="698062FC"/>
    <w:rsid w:val="69BD5EE8"/>
    <w:rsid w:val="6A740B43"/>
    <w:rsid w:val="6ABD46BF"/>
    <w:rsid w:val="6AF730BD"/>
    <w:rsid w:val="6B617BE2"/>
    <w:rsid w:val="6BA66029"/>
    <w:rsid w:val="6CA041B2"/>
    <w:rsid w:val="6DDD5EBF"/>
    <w:rsid w:val="6DFC4CD2"/>
    <w:rsid w:val="6E2E2D6D"/>
    <w:rsid w:val="6E3F51B6"/>
    <w:rsid w:val="6E460B96"/>
    <w:rsid w:val="6EA82131"/>
    <w:rsid w:val="6F046708"/>
    <w:rsid w:val="6FB410D2"/>
    <w:rsid w:val="6FC54BEF"/>
    <w:rsid w:val="706921FA"/>
    <w:rsid w:val="70B22C23"/>
    <w:rsid w:val="71411B5D"/>
    <w:rsid w:val="719931E1"/>
    <w:rsid w:val="7240055A"/>
    <w:rsid w:val="728E0BA0"/>
    <w:rsid w:val="731001C6"/>
    <w:rsid w:val="73134A0E"/>
    <w:rsid w:val="736064A7"/>
    <w:rsid w:val="736159D6"/>
    <w:rsid w:val="73F71039"/>
    <w:rsid w:val="73F91498"/>
    <w:rsid w:val="74D5337C"/>
    <w:rsid w:val="74D975E2"/>
    <w:rsid w:val="756B7D6A"/>
    <w:rsid w:val="757C417D"/>
    <w:rsid w:val="759455DB"/>
    <w:rsid w:val="75D160D9"/>
    <w:rsid w:val="762914BB"/>
    <w:rsid w:val="773A73AB"/>
    <w:rsid w:val="775767BB"/>
    <w:rsid w:val="7779068F"/>
    <w:rsid w:val="77B92148"/>
    <w:rsid w:val="77FFE39F"/>
    <w:rsid w:val="781B1736"/>
    <w:rsid w:val="78F051A8"/>
    <w:rsid w:val="79EF18A6"/>
    <w:rsid w:val="7A903B21"/>
    <w:rsid w:val="7CF2196B"/>
    <w:rsid w:val="7D2E7430"/>
    <w:rsid w:val="7D993EC8"/>
    <w:rsid w:val="7D9A013D"/>
    <w:rsid w:val="7E9160CF"/>
    <w:rsid w:val="7EC677D3"/>
    <w:rsid w:val="7FDC2489"/>
    <w:rsid w:val="7FFDEEFD"/>
  </w:rsids>
  <w:docVars>
    <w:docVar w:name="commondata" w:val="eyJoZGlkIjoiZjFmZWIzNDg2MmIzZjExOTIzMmViNTBmYTMwYTk0ZWY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qFormat="1"/>
    <w:lsdException w:name="footer" w:semiHidden="0" w:uiPriority="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0"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1Char"/>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2Char"/>
    <w:uiPriority w:val="9"/>
    <w:unhideWhenUsed/>
    <w:qFormat/>
    <w:pPr>
      <w:keepNext/>
      <w:keepLines/>
      <w:spacing w:before="260" w:after="260" w:line="416" w:lineRule="atLeast"/>
      <w:outlineLvl w:val="1"/>
    </w:pPr>
    <w:rPr>
      <w:rFonts w:ascii="Cambria" w:eastAsia="宋体" w:hAnsi="Cambria" w:cs="Times New Roman"/>
      <w:b/>
      <w:bCs/>
      <w:sz w:val="32"/>
      <w:szCs w:val="32"/>
    </w:rPr>
  </w:style>
  <w:style w:type="paragraph" w:styleId="Heading3">
    <w:name w:val="heading 3"/>
    <w:basedOn w:val="Normal"/>
    <w:next w:val="Normal"/>
    <w:link w:val="3Char"/>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eastAsia="宋体" w:hAnsi="Calibri" w:cs="Times New Roman"/>
      <w:sz w:val="22"/>
      <w:szCs w:val="22"/>
    </w:rPr>
  </w:style>
  <w:style w:type="paragraph" w:styleId="BalloonText">
    <w:name w:val="Balloon Text"/>
    <w:basedOn w:val="Normal"/>
    <w:link w:val="Char"/>
    <w:uiPriority w:val="99"/>
    <w:unhideWhenUsed/>
    <w:qFormat/>
    <w:pPr>
      <w:spacing w:line="240" w:lineRule="auto"/>
    </w:pPr>
    <w:rPr>
      <w:sz w:val="18"/>
      <w:szCs w:val="18"/>
    </w:rPr>
  </w:style>
  <w:style w:type="paragraph" w:styleId="Footer">
    <w:name w:val="footer"/>
    <w:basedOn w:val="Normal"/>
    <w:link w:val="Char0"/>
    <w:unhideWhenUsed/>
    <w:qFormat/>
    <w:pPr>
      <w:tabs>
        <w:tab w:val="center" w:pos="4153"/>
        <w:tab w:val="right" w:pos="8306"/>
      </w:tabs>
      <w:snapToGrid w:val="0"/>
      <w:spacing w:line="240" w:lineRule="atLeast"/>
    </w:pPr>
    <w:rPr>
      <w:sz w:val="18"/>
      <w:szCs w:val="18"/>
    </w:rPr>
  </w:style>
  <w:style w:type="paragraph" w:styleId="Header">
    <w:name w:val="header"/>
    <w:basedOn w:val="Normal"/>
    <w:link w:val="Char1"/>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eastAsia="宋体" w:hAnsi="Calibri" w:cs="Times New Roman"/>
      <w:sz w:val="22"/>
      <w:szCs w:val="22"/>
    </w:rPr>
  </w:style>
  <w:style w:type="character" w:styleId="Hyperlink">
    <w:name w:val="Hyperlink"/>
    <w:uiPriority w:val="99"/>
    <w:unhideWhenUsed/>
    <w:qFormat/>
    <w:rPr>
      <w:color w:val="0000FF"/>
      <w:u w:val="single"/>
    </w:rPr>
  </w:style>
  <w:style w:type="character" w:customStyle="1" w:styleId="1Char">
    <w:name w:val="标题 1 Char"/>
    <w:link w:val="Heading1"/>
    <w:uiPriority w:val="9"/>
    <w:qFormat/>
    <w:rPr>
      <w:b/>
      <w:bCs/>
      <w:kern w:val="44"/>
      <w:sz w:val="44"/>
      <w:szCs w:val="44"/>
    </w:rPr>
  </w:style>
  <w:style w:type="character" w:customStyle="1" w:styleId="2Char">
    <w:name w:val="标题 2 Char"/>
    <w:link w:val="Heading2"/>
    <w:uiPriority w:val="9"/>
    <w:semiHidden/>
    <w:qFormat/>
    <w:rPr>
      <w:rFonts w:ascii="Cambria" w:eastAsia="宋体" w:hAnsi="Cambria" w:cs="Times New Roman"/>
      <w:b/>
      <w:bCs/>
      <w:sz w:val="32"/>
      <w:szCs w:val="32"/>
    </w:rPr>
  </w:style>
  <w:style w:type="character" w:customStyle="1" w:styleId="3Char">
    <w:name w:val="标题 3 Char"/>
    <w:link w:val="Heading3"/>
    <w:uiPriority w:val="9"/>
    <w:semiHidden/>
    <w:qFormat/>
    <w:rPr>
      <w:b/>
      <w:bCs/>
      <w:sz w:val="32"/>
      <w:szCs w:val="32"/>
    </w:rPr>
  </w:style>
  <w:style w:type="character" w:customStyle="1" w:styleId="Char">
    <w:name w:val="批注框文本 Char"/>
    <w:link w:val="BalloonText"/>
    <w:uiPriority w:val="99"/>
    <w:semiHidden/>
    <w:qFormat/>
    <w:rPr>
      <w:sz w:val="18"/>
      <w:szCs w:val="18"/>
    </w:rPr>
  </w:style>
  <w:style w:type="character" w:customStyle="1" w:styleId="Char0">
    <w:name w:val="页脚 Char"/>
    <w:link w:val="Footer"/>
    <w:semiHidden/>
    <w:qFormat/>
    <w:rPr>
      <w:sz w:val="18"/>
      <w:szCs w:val="18"/>
    </w:rPr>
  </w:style>
  <w:style w:type="character" w:customStyle="1" w:styleId="Char1">
    <w:name w:val="页眉 Char"/>
    <w:link w:val="Header"/>
    <w:semiHidden/>
    <w:qFormat/>
    <w:rPr>
      <w:sz w:val="18"/>
      <w:szCs w:val="18"/>
    </w:rPr>
  </w:style>
  <w:style w:type="paragraph" w:customStyle="1" w:styleId="TOC">
    <w:name w:val="TOC 标题"/>
    <w:basedOn w:val="Heading1"/>
    <w:next w:val="Normal"/>
    <w:uiPriority w:val="39"/>
    <w:unhideWhenUsed/>
    <w:qFormat/>
    <w:pPr>
      <w:widowControl/>
      <w:adjustRightInd/>
      <w:spacing w:before="480" w:after="0" w:line="276" w:lineRule="auto"/>
      <w:textAlignment w:val="auto"/>
      <w:outlineLvl w:val="9"/>
    </w:pPr>
    <w:rPr>
      <w:rFonts w:ascii="Cambria" w:eastAsia="宋体" w:hAnsi="Cambria" w:cs="Times New Roman"/>
      <w:color w:val="365F91"/>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TotalTime>2</TotalTime>
  <Pages>14</Pages>
  <Words>1524</Words>
  <Characters>1706</Characters>
  <Application>Microsoft Office Word</Application>
  <DocSecurity>0</DocSecurity>
  <Lines>60</Lines>
  <Paragraphs>16</Paragraphs>
  <ScaleCrop>false</ScaleCrop>
  <Company>Microsoft</Company>
  <LinksUpToDate>false</LinksUpToDate>
  <CharactersWithSpaces>1768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绫香~</cp:lastModifiedBy>
  <cp:revision>5</cp:revision>
  <cp:lastPrinted>2012-09-19T14:00:00Z</cp:lastPrinted>
  <dcterms:created xsi:type="dcterms:W3CDTF">2019-07-28T02:37:00Z</dcterms:created>
  <dcterms:modified xsi:type="dcterms:W3CDTF">2024-08-21T04:17:20Z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9337EA9B326C43D7BCD51FC2F8926154_13</vt:lpwstr>
  </property>
  <property fmtid="{D5CDD505-2E9C-101B-9397-08002B2CF9AE}" pid="3" name="KSOProductBuildVer">
    <vt:lpwstr>2052-12.1.0.17147</vt:lpwstr>
  </property>
</Properties>
</file>