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1.0 -->
  <w:background w:color="ffffff">
    <v:background id="_x0000_s1025" filled="t"/>
  </w:background>
  <w:body>
    <w:p w14:paraId="771A5F97">
      <w:pPr>
        <w:pageBreakBefore w:val="0"/>
        <w:kinsoku/>
        <w:wordWrap/>
        <w:overflowPunct/>
        <w:topLinePunct w:val="0"/>
        <w:autoSpaceDE/>
        <w:autoSpaceDN/>
        <w:bidi w:val="0"/>
        <w:snapToGrid/>
        <w:spacing w:line="240" w:lineRule="auto"/>
        <w:rPr>
          <w:rFonts w:ascii="黑体" w:eastAsia="黑体" w:hAnsi="黑体" w:cs="黑体" w:hint="default"/>
          <w:w w:val="95"/>
          <w:sz w:val="32"/>
          <w:szCs w:val="32"/>
          <w:highlight w:val="none"/>
          <w:lang w:val="en"/>
        </w:rPr>
      </w:pPr>
    </w:p>
    <w:p w14:paraId="47B8FD34">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2D3CB10">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51C4B0F">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7A7ADD0">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4E2FD57">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05DFB5D3">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6EC8359E">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B497553">
      <w:pPr>
        <w:pageBreakBefore w:val="0"/>
        <w:kinsoku/>
        <w:wordWrap/>
        <w:overflowPunct/>
        <w:topLinePunct w:val="0"/>
        <w:autoSpaceDE/>
        <w:autoSpaceDN/>
        <w:bidi w:val="0"/>
        <w:snapToGrid/>
        <w:spacing w:line="580" w:lineRule="exact"/>
        <w:jc w:val="center"/>
        <w:rPr>
          <w:rFonts w:eastAsia="黑体"/>
          <w:w w:val="95"/>
          <w:sz w:val="44"/>
          <w:szCs w:val="44"/>
          <w:highlight w:val="none"/>
        </w:rPr>
      </w:pPr>
    </w:p>
    <w:p w14:paraId="27F5E6F1">
      <w:pPr>
        <w:pageBreakBefore w:val="0"/>
        <w:kinsoku/>
        <w:wordWrap/>
        <w:overflowPunct/>
        <w:topLinePunct w:val="0"/>
        <w:autoSpaceDE/>
        <w:autoSpaceDN/>
        <w:bidi w:val="0"/>
        <w:snapToGrid/>
        <w:spacing w:line="240" w:lineRule="auto"/>
        <w:jc w:val="center"/>
        <w:rPr>
          <w:rFonts w:ascii="方正小标宋简体" w:eastAsia="方正小标宋简体" w:hAnsi="方正小标宋简体" w:cs="方正小标宋简体" w:hint="eastAsia"/>
          <w:sz w:val="48"/>
          <w:szCs w:val="48"/>
          <w:highlight w:val="none"/>
          <w:lang w:val="en-US" w:eastAsia="zh-CN"/>
        </w:rPr>
      </w:pPr>
      <w:r>
        <w:rPr>
          <w:rFonts w:ascii="方正小标宋简体" w:eastAsia="方正小标宋简体" w:hAnsi="方正小标宋简体" w:cs="方正小标宋简体" w:hint="eastAsia"/>
          <w:sz w:val="48"/>
          <w:szCs w:val="48"/>
          <w:highlight w:val="none"/>
          <w:lang w:val="en-US" w:eastAsia="zh-CN"/>
        </w:rPr>
        <w:t>天津市津南区住房和建设服务中心</w:t>
      </w:r>
    </w:p>
    <w:p w14:paraId="6C77533C">
      <w:pPr>
        <w:pageBreakBefore w:val="0"/>
        <w:kinsoku/>
        <w:wordWrap/>
        <w:overflowPunct/>
        <w:topLinePunct w:val="0"/>
        <w:autoSpaceDE/>
        <w:autoSpaceDN/>
        <w:bidi w:val="0"/>
        <w:snapToGrid/>
        <w:spacing w:line="240" w:lineRule="auto"/>
        <w:jc w:val="center"/>
        <w:rPr>
          <w:rFonts w:ascii="黑体" w:eastAsia="黑体" w:hint="eastAsia"/>
          <w:sz w:val="30"/>
          <w:szCs w:val="30"/>
          <w:highlight w:val="none"/>
        </w:rPr>
      </w:pPr>
      <w:r>
        <w:rPr>
          <w:rFonts w:ascii="方正小标宋简体" w:eastAsia="方正小标宋简体" w:hAnsi="方正小标宋简体" w:cs="方正小标宋简体" w:hint="eastAsia"/>
          <w:sz w:val="48"/>
          <w:szCs w:val="48"/>
          <w:highlight w:val="none"/>
          <w:lang w:eastAsia="zh-CN"/>
        </w:rPr>
        <w:t>202</w:t>
      </w:r>
      <w:r>
        <w:rPr>
          <w:rFonts w:ascii="方正小标宋简体" w:eastAsia="方正小标宋简体" w:hAnsi="方正小标宋简体" w:cs="方正小标宋简体" w:hint="eastAsia"/>
          <w:sz w:val="48"/>
          <w:szCs w:val="48"/>
          <w:highlight w:val="none"/>
          <w:lang w:val="en-US" w:eastAsia="zh-CN"/>
        </w:rPr>
        <w:t>3</w:t>
      </w:r>
      <w:r>
        <w:rPr>
          <w:rFonts w:ascii="方正小标宋简体" w:eastAsia="方正小标宋简体" w:hAnsi="方正小标宋简体" w:cs="方正小标宋简体" w:hint="eastAsia"/>
          <w:sz w:val="48"/>
          <w:szCs w:val="48"/>
          <w:highlight w:val="none"/>
        </w:rPr>
        <w:t>年度部门决算</w:t>
      </w:r>
    </w:p>
    <w:p w14:paraId="527484CF">
      <w:pPr>
        <w:pageBreakBefore w:val="0"/>
        <w:kinsoku/>
        <w:wordWrap/>
        <w:overflowPunct/>
        <w:topLinePunct w:val="0"/>
        <w:autoSpaceDE/>
        <w:autoSpaceDN/>
        <w:bidi w:val="0"/>
        <w:snapToGrid/>
        <w:spacing w:line="580" w:lineRule="exact"/>
        <w:jc w:val="center"/>
        <w:rPr>
          <w:rFonts w:ascii="黑体" w:eastAsia="黑体" w:hint="eastAsia"/>
          <w:sz w:val="44"/>
          <w:szCs w:val="44"/>
          <w:highlight w:val="none"/>
        </w:rPr>
      </w:pPr>
    </w:p>
    <w:p w14:paraId="5EF768AF">
      <w:pPr>
        <w:pageBreakBefore w:val="0"/>
        <w:kinsoku/>
        <w:wordWrap/>
        <w:overflowPunct/>
        <w:topLinePunct w:val="0"/>
        <w:autoSpaceDE/>
        <w:autoSpaceDN/>
        <w:bidi w:val="0"/>
        <w:snapToGrid/>
        <w:spacing w:line="600" w:lineRule="exact"/>
        <w:jc w:val="center"/>
        <w:rPr>
          <w:rFonts w:ascii="黑体" w:eastAsia="黑体" w:hint="eastAsia"/>
          <w:sz w:val="44"/>
          <w:szCs w:val="44"/>
          <w:highlight w:val="none"/>
        </w:rPr>
        <w:sectPr>
          <w:pgSz w:w="11906" w:h="16838"/>
          <w:pgMar w:top="1440" w:right="1800" w:bottom="1440" w:left="1800" w:header="851" w:footer="992" w:gutter="0"/>
          <w:pgNumType w:start="1"/>
          <w:cols w:num="1" w:space="720"/>
          <w:docGrid w:type="lines" w:linePitch="312" w:charSpace="0"/>
        </w:sectPr>
      </w:pPr>
    </w:p>
    <w:p w14:paraId="5FE03D61">
      <w:pPr>
        <w:pageBreakBefore w:val="0"/>
        <w:kinsoku/>
        <w:wordWrap/>
        <w:overflowPunct/>
        <w:topLinePunct w:val="0"/>
        <w:autoSpaceDE/>
        <w:autoSpaceDN/>
        <w:bidi w:val="0"/>
        <w:snapToGrid/>
        <w:spacing w:line="600" w:lineRule="exact"/>
        <w:jc w:val="center"/>
        <w:rPr>
          <w:rFonts w:ascii="黑体" w:eastAsia="黑体" w:hint="eastAsia"/>
          <w:sz w:val="44"/>
          <w:szCs w:val="44"/>
          <w:highlight w:val="none"/>
        </w:rPr>
      </w:pPr>
    </w:p>
    <w:p w14:paraId="340F20B9">
      <w:pPr>
        <w:pageBreakBefore w:val="0"/>
        <w:kinsoku/>
        <w:wordWrap/>
        <w:overflowPunct/>
        <w:topLinePunct w:val="0"/>
        <w:autoSpaceDE/>
        <w:autoSpaceDN/>
        <w:bidi w:val="0"/>
        <w:snapToGrid/>
        <w:spacing w:line="600" w:lineRule="exact"/>
        <w:jc w:val="center"/>
        <w:rPr>
          <w:rFonts w:ascii="黑体" w:eastAsia="黑体" w:hint="eastAsia"/>
          <w:sz w:val="44"/>
          <w:szCs w:val="44"/>
        </w:rPr>
      </w:pPr>
      <w:r>
        <w:rPr>
          <w:rFonts w:ascii="黑体" w:eastAsia="黑体" w:hint="eastAsia"/>
          <w:sz w:val="44"/>
          <w:szCs w:val="44"/>
        </w:rPr>
        <w:t>目   录</w:t>
      </w:r>
    </w:p>
    <w:p w14:paraId="37D8886D">
      <w:pPr>
        <w:pageBreakBefore w:val="0"/>
        <w:kinsoku/>
        <w:wordWrap/>
        <w:overflowPunct/>
        <w:topLinePunct w:val="0"/>
        <w:autoSpaceDE/>
        <w:autoSpaceDN/>
        <w:bidi w:val="0"/>
        <w:snapToGrid/>
        <w:spacing w:line="600" w:lineRule="exact"/>
        <w:rPr>
          <w:rFonts w:ascii="黑体" w:eastAsia="黑体" w:hint="eastAsia"/>
          <w:sz w:val="30"/>
          <w:szCs w:val="30"/>
          <w:highlight w:val="none"/>
        </w:rPr>
      </w:pPr>
    </w:p>
    <w:p w14:paraId="7A1C0097">
      <w:pPr>
        <w:pStyle w:val="TOC1"/>
        <w:pageBreakBefore w:val="0"/>
        <w:tabs>
          <w:tab w:val="clear" w:pos="8296"/>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r>
        <w:rPr>
          <w:rFonts w:ascii="Times New Roman" w:eastAsia="仿宋_GB2312" w:hAnsi="Times New Roman" w:cs="Times New Roman"/>
          <w:sz w:val="30"/>
          <w:szCs w:val="30"/>
          <w:highlight w:val="none"/>
        </w:rPr>
        <w:fldChar w:fldCharType="begin"/>
      </w:r>
      <w:r>
        <w:rPr>
          <w:rFonts w:ascii="Times New Roman" w:eastAsia="仿宋_GB2312" w:hAnsi="Times New Roman" w:cs="Times New Roman"/>
          <w:sz w:val="30"/>
          <w:szCs w:val="30"/>
          <w:highlight w:val="none"/>
        </w:rPr>
        <w:instrText xml:space="preserve"> TOC \o "1-3" \h \z \u </w:instrText>
      </w:r>
      <w:r>
        <w:rPr>
          <w:rFonts w:ascii="Times New Roman" w:eastAsia="仿宋_GB2312" w:hAnsi="Times New Roman" w:cs="Times New Roman"/>
          <w:sz w:val="30"/>
          <w:szCs w:val="30"/>
          <w:highlight w:val="none"/>
        </w:rPr>
        <w:fldChar w:fldCharType="separate"/>
      </w:r>
      <w:hyperlink w:anchor="_Toc7076" w:history="1">
        <w:r>
          <w:rPr>
            <w:rFonts w:ascii="方正小标宋简体" w:eastAsia="方正小标宋简体" w:hAnsi="方正小标宋简体" w:cs="方正小标宋简体" w:hint="eastAsia"/>
            <w:b w:val="0"/>
            <w:bCs w:val="0"/>
            <w:sz w:val="30"/>
            <w:szCs w:val="30"/>
            <w:highlight w:val="none"/>
          </w:rPr>
          <w:t>第一部分  概 况</w:t>
        </w:r>
        <w:r>
          <w:rPr>
            <w:rFonts w:ascii="方正小标宋简体" w:eastAsia="方正小标宋简体" w:hAnsi="方正小标宋简体" w:cs="方正小标宋简体" w:hint="eastAsia"/>
            <w:b w:val="0"/>
            <w:bCs w:val="0"/>
            <w:sz w:val="30"/>
            <w:szCs w:val="30"/>
          </w:rPr>
          <w:tab/>
        </w:r>
        <w:r>
          <w:rPr>
            <w:rFonts w:ascii="方正小标宋简体" w:eastAsia="方正小标宋简体" w:hAnsi="方正小标宋简体" w:cs="方正小标宋简体" w:hint="eastAsia"/>
            <w:b w:val="0"/>
            <w:bCs w:val="0"/>
            <w:sz w:val="30"/>
            <w:szCs w:val="30"/>
          </w:rPr>
          <w:fldChar w:fldCharType="begin"/>
        </w:r>
        <w:r>
          <w:rPr>
            <w:rFonts w:ascii="方正小标宋简体" w:eastAsia="方正小标宋简体" w:hAnsi="方正小标宋简体" w:cs="方正小标宋简体" w:hint="eastAsia"/>
            <w:b w:val="0"/>
            <w:bCs w:val="0"/>
            <w:sz w:val="30"/>
            <w:szCs w:val="30"/>
          </w:rPr>
          <w:instrText xml:space="preserve"> PAGEREF _Toc7076 </w:instrText>
        </w:r>
        <w:r>
          <w:rPr>
            <w:rFonts w:ascii="方正小标宋简体" w:eastAsia="方正小标宋简体" w:hAnsi="方正小标宋简体" w:cs="方正小标宋简体" w:hint="eastAsia"/>
            <w:b w:val="0"/>
            <w:bCs w:val="0"/>
            <w:sz w:val="30"/>
            <w:szCs w:val="30"/>
          </w:rPr>
          <w:fldChar w:fldCharType="separate"/>
        </w:r>
        <w:r>
          <w:rPr>
            <w:rFonts w:ascii="方正小标宋简体" w:eastAsia="方正小标宋简体" w:hAnsi="方正小标宋简体" w:cs="方正小标宋简体" w:hint="eastAsia"/>
            <w:b w:val="0"/>
            <w:bCs w:val="0"/>
            <w:sz w:val="30"/>
            <w:szCs w:val="30"/>
          </w:rPr>
          <w:t>1</w:t>
        </w:r>
        <w:r>
          <w:rPr>
            <w:rFonts w:ascii="方正小标宋简体" w:eastAsia="方正小标宋简体" w:hAnsi="方正小标宋简体" w:cs="方正小标宋简体" w:hint="eastAsia"/>
            <w:b w:val="0"/>
            <w:bCs w:val="0"/>
            <w:sz w:val="30"/>
            <w:szCs w:val="30"/>
          </w:rPr>
          <w:fldChar w:fldCharType="end"/>
        </w:r>
      </w:hyperlink>
    </w:p>
    <w:p w14:paraId="255B2CE3">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809" w:history="1">
        <w:r>
          <w:rPr>
            <w:rFonts w:ascii="仿宋_GB2312" w:eastAsia="仿宋_GB2312" w:hAnsi="仿宋_GB2312" w:cs="仿宋_GB2312" w:hint="eastAsia"/>
            <w:bCs w:val="0"/>
            <w:sz w:val="30"/>
            <w:szCs w:val="30"/>
            <w:highlight w:val="none"/>
          </w:rPr>
          <w:t>一、主要职责</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_Toc13809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fldChar w:fldCharType="end"/>
        </w:r>
      </w:hyperlink>
    </w:p>
    <w:p w14:paraId="3CEA7295">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0426" w:history="1">
        <w:r>
          <w:rPr>
            <w:rFonts w:ascii="仿宋_GB2312" w:eastAsia="仿宋_GB2312" w:hAnsi="仿宋_GB2312" w:cs="仿宋_GB2312" w:hint="eastAsia"/>
            <w:bCs w:val="0"/>
            <w:sz w:val="30"/>
            <w:szCs w:val="30"/>
            <w:highlight w:val="none"/>
          </w:rPr>
          <w:t>二、机构设置</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_Toc20426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w:t>
        </w:r>
        <w:r>
          <w:rPr>
            <w:rFonts w:ascii="仿宋_GB2312" w:eastAsia="仿宋_GB2312" w:hAnsi="仿宋_GB2312" w:cs="仿宋_GB2312" w:hint="eastAsia"/>
            <w:sz w:val="30"/>
            <w:szCs w:val="30"/>
          </w:rPr>
          <w:fldChar w:fldCharType="end"/>
        </w:r>
      </w:hyperlink>
    </w:p>
    <w:p w14:paraId="63E6C9E8">
      <w:pPr>
        <w:pStyle w:val="TOC1"/>
        <w:pageBreakBefore w:val="0"/>
        <w:tabs>
          <w:tab w:val="clear" w:pos="8296"/>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5731" w:history="1">
        <w:r>
          <w:rPr>
            <w:rFonts w:ascii="方正小标宋简体" w:eastAsia="方正小标宋简体" w:hAnsi="方正小标宋简体" w:cs="方正小标宋简体" w:hint="eastAsia"/>
            <w:b w:val="0"/>
            <w:bCs w:val="0"/>
            <w:sz w:val="30"/>
            <w:szCs w:val="30"/>
            <w:highlight w:val="none"/>
          </w:rPr>
          <w:t xml:space="preserve">第二部分  </w:t>
        </w:r>
        <w:r>
          <w:rPr>
            <w:rFonts w:ascii="方正小标宋简体" w:eastAsia="方正小标宋简体" w:hAnsi="方正小标宋简体" w:cs="方正小标宋简体" w:hint="eastAsia"/>
            <w:b w:val="0"/>
            <w:bCs w:val="0"/>
            <w:sz w:val="30"/>
            <w:szCs w:val="30"/>
            <w:highlight w:val="none"/>
            <w:lang w:eastAsia="zh-CN"/>
          </w:rPr>
          <w:t>202</w:t>
        </w:r>
        <w:r>
          <w:rPr>
            <w:rFonts w:ascii="方正小标宋简体" w:eastAsia="方正小标宋简体" w:hAnsi="方正小标宋简体" w:cs="方正小标宋简体" w:hint="eastAsia"/>
            <w:b w:val="0"/>
            <w:bCs w:val="0"/>
            <w:sz w:val="30"/>
            <w:szCs w:val="30"/>
            <w:highlight w:val="none"/>
            <w:lang w:val="en-US" w:eastAsia="zh-CN"/>
          </w:rPr>
          <w:t>3</w:t>
        </w:r>
        <w:r>
          <w:rPr>
            <w:rFonts w:ascii="方正小标宋简体" w:eastAsia="方正小标宋简体" w:hAnsi="方正小标宋简体" w:cs="方正小标宋简体" w:hint="eastAsia"/>
            <w:b w:val="0"/>
            <w:bCs w:val="0"/>
            <w:sz w:val="30"/>
            <w:szCs w:val="30"/>
            <w:highlight w:val="none"/>
          </w:rPr>
          <w:t>年度部门决算表</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_Toc15731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2</w:t>
        </w:r>
        <w:r>
          <w:rPr>
            <w:rFonts w:ascii="方正小标宋简体" w:eastAsia="方正小标宋简体" w:hAnsi="方正小标宋简体" w:cs="方正小标宋简体" w:hint="eastAsia"/>
            <w:b w:val="0"/>
            <w:bCs w:val="0"/>
            <w:sz w:val="30"/>
            <w:szCs w:val="30"/>
            <w:highlight w:val="none"/>
          </w:rPr>
          <w:fldChar w:fldCharType="end"/>
        </w:r>
      </w:hyperlink>
    </w:p>
    <w:p w14:paraId="5745C42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8843" w:history="1">
        <w:r>
          <w:rPr>
            <w:rFonts w:ascii="仿宋_GB2312" w:eastAsia="仿宋_GB2312" w:hAnsi="仿宋_GB2312" w:cs="仿宋_GB2312" w:hint="eastAsia"/>
            <w:sz w:val="30"/>
            <w:szCs w:val="30"/>
            <w:highlight w:val="none"/>
          </w:rPr>
          <w:t>一、《收入支出决算总表》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_Toc8843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3CE3AED2">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552" w:history="1">
        <w:r>
          <w:rPr>
            <w:rFonts w:ascii="仿宋_GB2312" w:eastAsia="仿宋_GB2312" w:hAnsi="仿宋_GB2312" w:cs="仿宋_GB2312" w:hint="eastAsia"/>
            <w:sz w:val="30"/>
            <w:szCs w:val="30"/>
            <w:highlight w:val="none"/>
          </w:rPr>
          <w:t>二、《收入决算表（按功能分类列示）》</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_Toc2552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2C7371C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7841" w:history="1">
        <w:r>
          <w:rPr>
            <w:rFonts w:ascii="仿宋_GB2312" w:eastAsia="仿宋_GB2312" w:hAnsi="仿宋_GB2312" w:cs="仿宋_GB2312" w:hint="eastAsia"/>
            <w:sz w:val="30"/>
            <w:szCs w:val="30"/>
            <w:highlight w:val="none"/>
          </w:rPr>
          <w:t>三、《收入决算表（按单位列示）》</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_Toc27841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5257E23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8617" w:history="1">
        <w:r>
          <w:rPr>
            <w:rFonts w:ascii="仿宋_GB2312" w:eastAsia="仿宋_GB2312" w:hAnsi="仿宋_GB2312" w:cs="仿宋_GB2312" w:hint="eastAsia"/>
            <w:sz w:val="30"/>
            <w:szCs w:val="30"/>
            <w:highlight w:val="none"/>
          </w:rPr>
          <w:t>四、《支出决算表》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_Toc8617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25B1ED0C">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763" w:history="1">
        <w:r>
          <w:rPr>
            <w:rFonts w:ascii="仿宋_GB2312" w:eastAsia="仿宋_GB2312" w:hAnsi="仿宋_GB2312" w:cs="仿宋_GB2312" w:hint="eastAsia"/>
            <w:sz w:val="30"/>
            <w:szCs w:val="30"/>
            <w:highlight w:val="none"/>
          </w:rPr>
          <w:t>五、《财政拨款收入支出决算总表》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_Toc12763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71C6C4D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4693" w:history="1">
        <w:r>
          <w:rPr>
            <w:rFonts w:ascii="仿宋_GB2312" w:eastAsia="仿宋_GB2312" w:hAnsi="仿宋_GB2312" w:cs="仿宋_GB2312" w:hint="eastAsia"/>
            <w:sz w:val="30"/>
            <w:szCs w:val="30"/>
            <w:highlight w:val="none"/>
          </w:rPr>
          <w:t>六、《一般公共预算财政拨款支出决算表》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_Toc24693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5C8D7AA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125" w:history="1">
        <w:r>
          <w:rPr>
            <w:rFonts w:ascii="仿宋_GB2312" w:eastAsia="仿宋_GB2312" w:hAnsi="仿宋_GB2312" w:cs="仿宋_GB2312" w:hint="eastAsia"/>
            <w:sz w:val="30"/>
            <w:szCs w:val="30"/>
            <w:highlight w:val="none"/>
          </w:rPr>
          <w:t>七、《一般公共预算财政拨款基本支出决算表》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_Toc13125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22271CE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7248" w:history="1">
        <w:r>
          <w:rPr>
            <w:rFonts w:ascii="仿宋_GB2312" w:eastAsia="仿宋_GB2312" w:hAnsi="仿宋_GB2312" w:cs="仿宋_GB2312" w:hint="eastAsia"/>
            <w:sz w:val="30"/>
            <w:szCs w:val="30"/>
            <w:highlight w:val="none"/>
            <w:lang w:eastAsia="zh-CN"/>
          </w:rPr>
          <w:t>八</w:t>
        </w:r>
        <w:r>
          <w:rPr>
            <w:rFonts w:ascii="仿宋_GB2312" w:eastAsia="仿宋_GB2312" w:hAnsi="仿宋_GB2312" w:cs="仿宋_GB2312" w:hint="eastAsia"/>
            <w:sz w:val="30"/>
            <w:szCs w:val="30"/>
            <w:highlight w:val="none"/>
          </w:rPr>
          <w:t>、《政府性基金预算财政拨款收入支出决算表》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_Toc27248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1ECC3FF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5066" w:history="1">
        <w:r>
          <w:rPr>
            <w:rFonts w:ascii="仿宋_GB2312" w:eastAsia="仿宋_GB2312" w:hAnsi="仿宋_GB2312" w:cs="仿宋_GB2312" w:hint="eastAsia"/>
            <w:sz w:val="30"/>
            <w:szCs w:val="30"/>
            <w:highlight w:val="none"/>
            <w:lang w:eastAsia="zh-CN"/>
          </w:rPr>
          <w:t>九</w:t>
        </w:r>
        <w:r>
          <w:rPr>
            <w:rFonts w:ascii="仿宋_GB2312" w:eastAsia="仿宋_GB2312" w:hAnsi="仿宋_GB2312" w:cs="仿宋_GB2312" w:hint="eastAsia"/>
            <w:sz w:val="30"/>
            <w:szCs w:val="30"/>
            <w:highlight w:val="none"/>
          </w:rPr>
          <w:t>、《国有资本经营预算财政拨款收入支出决算表》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_Toc5066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3C5F80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1014" w:history="1">
        <w:r>
          <w:rPr>
            <w:rFonts w:ascii="仿宋_GB2312" w:eastAsia="仿宋_GB2312" w:hAnsi="仿宋_GB2312" w:cs="仿宋_GB2312" w:hint="eastAsia"/>
            <w:sz w:val="30"/>
            <w:szCs w:val="30"/>
            <w:highlight w:val="none"/>
            <w:lang w:eastAsia="zh-CN"/>
          </w:rPr>
          <w:t>十</w:t>
        </w:r>
        <w:r>
          <w:rPr>
            <w:rFonts w:ascii="仿宋_GB2312" w:eastAsia="仿宋_GB2312" w:hAnsi="仿宋_GB2312" w:cs="仿宋_GB2312" w:hint="eastAsia"/>
            <w:sz w:val="30"/>
            <w:szCs w:val="30"/>
            <w:highlight w:val="none"/>
          </w:rPr>
          <w:t>、《财政拨款“三公”经费支出决算表》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_Toc21014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717DD5B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3144"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一</w:t>
        </w:r>
        <w:r>
          <w:rPr>
            <w:rFonts w:ascii="仿宋_GB2312" w:eastAsia="仿宋_GB2312" w:hAnsi="仿宋_GB2312" w:cs="仿宋_GB2312" w:hint="eastAsia"/>
            <w:sz w:val="30"/>
            <w:szCs w:val="30"/>
            <w:highlight w:val="none"/>
          </w:rPr>
          <w:t>、《项目支出决算表》</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_Toc13144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2</w:t>
        </w:r>
        <w:r>
          <w:rPr>
            <w:rFonts w:ascii="仿宋_GB2312" w:eastAsia="仿宋_GB2312" w:hAnsi="仿宋_GB2312" w:cs="仿宋_GB2312" w:hint="eastAsia"/>
            <w:sz w:val="30"/>
            <w:szCs w:val="30"/>
          </w:rPr>
          <w:fldChar w:fldCharType="end"/>
        </w:r>
      </w:hyperlink>
    </w:p>
    <w:p w14:paraId="49A43F59">
      <w:pPr>
        <w:pStyle w:val="TOC1"/>
        <w:pageBreakBefore w:val="0"/>
        <w:tabs>
          <w:tab w:val="clear" w:pos="8296"/>
          <w:tab w:val="right" w:leader="dot" w:pos="8306"/>
        </w:tabs>
        <w:kinsoku/>
        <w:wordWrap/>
        <w:overflowPunct/>
        <w:topLinePunct w:val="0"/>
        <w:autoSpaceDE/>
        <w:autoSpaceDN/>
        <w:bidi w:val="0"/>
        <w:snapToGrid/>
        <w:spacing w:after="0"/>
        <w:rPr>
          <w:rFonts w:ascii="方正小标宋简体" w:eastAsia="方正小标宋简体" w:hAnsi="方正小标宋简体" w:cs="方正小标宋简体" w:hint="eastAsia"/>
          <w:b w:val="0"/>
          <w:bCs w:val="0"/>
          <w:sz w:val="30"/>
          <w:szCs w:val="30"/>
          <w:highlight w:val="none"/>
        </w:rPr>
      </w:pPr>
      <w:hyperlink w:anchor="_Toc6548" w:history="1">
        <w:r>
          <w:rPr>
            <w:rFonts w:ascii="方正小标宋简体" w:eastAsia="方正小标宋简体" w:hAnsi="方正小标宋简体" w:cs="方正小标宋简体" w:hint="eastAsia"/>
            <w:b w:val="0"/>
            <w:bCs w:val="0"/>
            <w:sz w:val="30"/>
            <w:szCs w:val="30"/>
            <w:highlight w:val="none"/>
          </w:rPr>
          <w:t xml:space="preserve">第三部分  </w:t>
        </w:r>
        <w:r>
          <w:rPr>
            <w:rFonts w:ascii="方正小标宋简体" w:eastAsia="方正小标宋简体" w:hAnsi="方正小标宋简体" w:cs="方正小标宋简体" w:hint="eastAsia"/>
            <w:b w:val="0"/>
            <w:bCs w:val="0"/>
            <w:sz w:val="30"/>
            <w:szCs w:val="30"/>
            <w:highlight w:val="none"/>
            <w:lang w:eastAsia="zh-CN"/>
          </w:rPr>
          <w:t>202</w:t>
        </w:r>
        <w:r>
          <w:rPr>
            <w:rFonts w:ascii="方正小标宋简体" w:eastAsia="方正小标宋简体" w:hAnsi="方正小标宋简体" w:cs="方正小标宋简体" w:hint="eastAsia"/>
            <w:b w:val="0"/>
            <w:bCs w:val="0"/>
            <w:sz w:val="30"/>
            <w:szCs w:val="30"/>
            <w:highlight w:val="none"/>
            <w:lang w:val="en-US" w:eastAsia="zh-CN"/>
          </w:rPr>
          <w:t>3</w:t>
        </w:r>
        <w:r>
          <w:rPr>
            <w:rFonts w:ascii="方正小标宋简体" w:eastAsia="方正小标宋简体" w:hAnsi="方正小标宋简体" w:cs="方正小标宋简体" w:hint="eastAsia"/>
            <w:b w:val="0"/>
            <w:bCs w:val="0"/>
            <w:sz w:val="30"/>
            <w:szCs w:val="30"/>
            <w:highlight w:val="none"/>
          </w:rPr>
          <w:t>年度部门决算情况说明</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_Toc6548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3</w:t>
        </w:r>
        <w:r>
          <w:rPr>
            <w:rFonts w:ascii="方正小标宋简体" w:eastAsia="方正小标宋简体" w:hAnsi="方正小标宋简体" w:cs="方正小标宋简体" w:hint="eastAsia"/>
            <w:b w:val="0"/>
            <w:bCs w:val="0"/>
            <w:sz w:val="30"/>
            <w:szCs w:val="30"/>
            <w:highlight w:val="none"/>
          </w:rPr>
          <w:fldChar w:fldCharType="end"/>
        </w:r>
      </w:hyperlink>
    </w:p>
    <w:p w14:paraId="6665115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044" w:history="1">
        <w:r>
          <w:rPr>
            <w:rFonts w:ascii="仿宋_GB2312" w:eastAsia="仿宋_GB2312" w:hAnsi="仿宋_GB2312" w:cs="仿宋_GB2312" w:hint="eastAsia"/>
            <w:sz w:val="30"/>
            <w:szCs w:val="30"/>
            <w:highlight w:val="none"/>
          </w:rPr>
          <w:t>一、收入支出决算总体情况说明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_Toc28044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73EF27B3">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176" w:history="1">
        <w:r>
          <w:rPr>
            <w:rFonts w:ascii="仿宋_GB2312" w:eastAsia="仿宋_GB2312" w:hAnsi="仿宋_GB2312" w:cs="仿宋_GB2312" w:hint="eastAsia"/>
            <w:sz w:val="30"/>
            <w:szCs w:val="30"/>
            <w:highlight w:val="none"/>
          </w:rPr>
          <w:t>二、收入决算情况说明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_Toc12176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7B1F54F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1212" w:history="1">
        <w:r>
          <w:rPr>
            <w:rFonts w:ascii="仿宋_GB2312" w:eastAsia="仿宋_GB2312" w:hAnsi="仿宋_GB2312" w:cs="仿宋_GB2312" w:hint="eastAsia"/>
            <w:sz w:val="30"/>
            <w:szCs w:val="30"/>
            <w:highlight w:val="none"/>
          </w:rPr>
          <w:t>三、支出决算情况说明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_Toc31212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08C2ECD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9211" w:history="1">
        <w:r>
          <w:rPr>
            <w:rFonts w:ascii="仿宋_GB2312" w:eastAsia="仿宋_GB2312" w:hAnsi="仿宋_GB2312" w:cs="仿宋_GB2312" w:hint="eastAsia"/>
            <w:sz w:val="30"/>
            <w:szCs w:val="30"/>
            <w:highlight w:val="none"/>
          </w:rPr>
          <w:t>四、财政拨款收支决算总体情况说明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_Toc19211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3</w:t>
        </w:r>
        <w:r>
          <w:rPr>
            <w:rFonts w:ascii="仿宋_GB2312" w:eastAsia="仿宋_GB2312" w:hAnsi="仿宋_GB2312" w:cs="仿宋_GB2312" w:hint="eastAsia"/>
            <w:sz w:val="30"/>
            <w:szCs w:val="30"/>
          </w:rPr>
          <w:fldChar w:fldCharType="end"/>
        </w:r>
      </w:hyperlink>
    </w:p>
    <w:p w14:paraId="5005F8A0">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5286" w:history="1">
        <w:r>
          <w:rPr>
            <w:rFonts w:ascii="仿宋_GB2312" w:eastAsia="仿宋_GB2312" w:hAnsi="仿宋_GB2312" w:cs="仿宋_GB2312" w:hint="eastAsia"/>
            <w:sz w:val="30"/>
            <w:szCs w:val="30"/>
            <w:highlight w:val="none"/>
          </w:rPr>
          <w:t>五、一般公共预算财政拨款支出决算情况说明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_Toc25286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4</w:t>
        </w:r>
        <w:r>
          <w:rPr>
            <w:rFonts w:ascii="仿宋_GB2312" w:eastAsia="仿宋_GB2312" w:hAnsi="仿宋_GB2312" w:cs="仿宋_GB2312" w:hint="eastAsia"/>
            <w:sz w:val="30"/>
            <w:szCs w:val="30"/>
          </w:rPr>
          <w:fldChar w:fldCharType="end"/>
        </w:r>
      </w:hyperlink>
    </w:p>
    <w:p w14:paraId="002A0E14">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6433" w:history="1">
        <w:r>
          <w:rPr>
            <w:rFonts w:ascii="仿宋_GB2312" w:eastAsia="仿宋_GB2312" w:hAnsi="仿宋_GB2312" w:cs="仿宋_GB2312" w:hint="eastAsia"/>
            <w:sz w:val="30"/>
            <w:szCs w:val="30"/>
            <w:highlight w:val="none"/>
          </w:rPr>
          <w:t>六、一般公共预算财政拨款基本支出决算情况</w:t>
        </w:r>
        <w:r>
          <w:rPr>
            <w:rFonts w:ascii="仿宋_GB2312" w:eastAsia="仿宋_GB2312" w:hAnsi="仿宋_GB2312" w:cs="仿宋_GB2312" w:hint="eastAsia"/>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_Toc26433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6</w:t>
        </w:r>
        <w:r>
          <w:rPr>
            <w:rFonts w:ascii="仿宋_GB2312" w:eastAsia="仿宋_GB2312" w:hAnsi="仿宋_GB2312" w:cs="仿宋_GB2312" w:hint="eastAsia"/>
            <w:sz w:val="30"/>
            <w:szCs w:val="30"/>
          </w:rPr>
          <w:fldChar w:fldCharType="end"/>
        </w:r>
      </w:hyperlink>
    </w:p>
    <w:p w14:paraId="4B2BEC7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665" w:history="1">
        <w:r>
          <w:rPr>
            <w:rFonts w:ascii="仿宋_GB2312" w:eastAsia="仿宋_GB2312" w:hAnsi="仿宋_GB2312" w:cs="仿宋_GB2312" w:hint="eastAsia"/>
            <w:sz w:val="30"/>
            <w:szCs w:val="30"/>
            <w:highlight w:val="none"/>
            <w:lang w:eastAsia="zh-CN"/>
          </w:rPr>
          <w:t>七</w:t>
        </w:r>
        <w:r>
          <w:rPr>
            <w:rFonts w:ascii="仿宋_GB2312" w:eastAsia="仿宋_GB2312" w:hAnsi="仿宋_GB2312" w:cs="仿宋_GB2312" w:hint="eastAsia"/>
            <w:sz w:val="30"/>
            <w:szCs w:val="30"/>
            <w:highlight w:val="none"/>
          </w:rPr>
          <w:t>、政府性基金预算财政拨款收支决算情况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_Toc28665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fldChar w:fldCharType="end"/>
        </w:r>
      </w:hyperlink>
    </w:p>
    <w:p w14:paraId="49D078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6562" w:history="1">
        <w:r>
          <w:rPr>
            <w:rFonts w:ascii="仿宋_GB2312" w:eastAsia="仿宋_GB2312" w:hAnsi="仿宋_GB2312" w:cs="仿宋_GB2312" w:hint="eastAsia"/>
            <w:sz w:val="30"/>
            <w:szCs w:val="30"/>
            <w:highlight w:val="none"/>
            <w:lang w:eastAsia="zh-CN"/>
          </w:rPr>
          <w:t>八</w:t>
        </w:r>
        <w:r>
          <w:rPr>
            <w:rFonts w:ascii="仿宋_GB2312" w:eastAsia="仿宋_GB2312" w:hAnsi="仿宋_GB2312" w:cs="仿宋_GB2312" w:hint="eastAsia"/>
            <w:sz w:val="30"/>
            <w:szCs w:val="30"/>
            <w:highlight w:val="none"/>
          </w:rPr>
          <w:t>、国有资本经营预算财政拨款收支决算情况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_Toc26562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fldChar w:fldCharType="end"/>
        </w:r>
      </w:hyperlink>
    </w:p>
    <w:p w14:paraId="15B010B8">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397" w:history="1">
        <w:r>
          <w:rPr>
            <w:rFonts w:ascii="仿宋_GB2312" w:eastAsia="仿宋_GB2312" w:hAnsi="仿宋_GB2312" w:cs="仿宋_GB2312" w:hint="eastAsia"/>
            <w:sz w:val="30"/>
            <w:szCs w:val="30"/>
            <w:highlight w:val="none"/>
            <w:lang w:eastAsia="zh-CN"/>
          </w:rPr>
          <w:t>九</w:t>
        </w:r>
        <w:r>
          <w:rPr>
            <w:rFonts w:ascii="仿宋_GB2312" w:eastAsia="仿宋_GB2312" w:hAnsi="仿宋_GB2312" w:cs="仿宋_GB2312" w:hint="eastAsia"/>
            <w:sz w:val="30"/>
            <w:szCs w:val="30"/>
            <w:highlight w:val="none"/>
          </w:rPr>
          <w:t>、财政拨款“三公”经费支出决算情况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_Toc3397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7</w:t>
        </w:r>
        <w:r>
          <w:rPr>
            <w:rFonts w:ascii="仿宋_GB2312" w:eastAsia="仿宋_GB2312" w:hAnsi="仿宋_GB2312" w:cs="仿宋_GB2312" w:hint="eastAsia"/>
            <w:sz w:val="30"/>
            <w:szCs w:val="30"/>
          </w:rPr>
          <w:fldChar w:fldCharType="end"/>
        </w:r>
      </w:hyperlink>
    </w:p>
    <w:p w14:paraId="07A03F7B">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28180" w:history="1">
        <w:r>
          <w:rPr>
            <w:rFonts w:ascii="仿宋_GB2312" w:eastAsia="仿宋_GB2312" w:hAnsi="仿宋_GB2312" w:cs="仿宋_GB2312" w:hint="eastAsia"/>
            <w:sz w:val="30"/>
            <w:szCs w:val="30"/>
            <w:highlight w:val="none"/>
          </w:rPr>
          <w:t>十、机关运行经费支出情况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_Toc28180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fldChar w:fldCharType="end"/>
        </w:r>
      </w:hyperlink>
    </w:p>
    <w:p w14:paraId="3A140E9D">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238"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一</w:t>
        </w:r>
        <w:r>
          <w:rPr>
            <w:rFonts w:ascii="仿宋_GB2312" w:eastAsia="仿宋_GB2312" w:hAnsi="仿宋_GB2312" w:cs="仿宋_GB2312" w:hint="eastAsia"/>
            <w:sz w:val="30"/>
            <w:szCs w:val="30"/>
            <w:highlight w:val="none"/>
          </w:rPr>
          <w:t>、政府采购支出情况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_Toc12238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fldChar w:fldCharType="end"/>
        </w:r>
      </w:hyperlink>
    </w:p>
    <w:p w14:paraId="4196E11C">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30109" w:history="1">
        <w:r>
          <w:rPr>
            <w:rFonts w:ascii="仿宋_GB2312" w:eastAsia="仿宋_GB2312" w:hAnsi="仿宋_GB2312" w:cs="仿宋_GB2312" w:hint="eastAsia"/>
            <w:sz w:val="30"/>
            <w:szCs w:val="30"/>
            <w:highlight w:val="none"/>
          </w:rPr>
          <w:t>十</w:t>
        </w:r>
        <w:r>
          <w:rPr>
            <w:rFonts w:ascii="仿宋_GB2312" w:eastAsia="仿宋_GB2312" w:hAnsi="仿宋_GB2312" w:cs="仿宋_GB2312" w:hint="eastAsia"/>
            <w:sz w:val="30"/>
            <w:szCs w:val="30"/>
            <w:highlight w:val="none"/>
            <w:lang w:eastAsia="zh-CN"/>
          </w:rPr>
          <w:t>二</w:t>
        </w:r>
        <w:r>
          <w:rPr>
            <w:rFonts w:ascii="仿宋_GB2312" w:eastAsia="仿宋_GB2312" w:hAnsi="仿宋_GB2312" w:cs="仿宋_GB2312" w:hint="eastAsia"/>
            <w:sz w:val="30"/>
            <w:szCs w:val="30"/>
            <w:highlight w:val="none"/>
          </w:rPr>
          <w:t>、国有资产占有使用情况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_Toc30109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fldChar w:fldCharType="end"/>
        </w:r>
      </w:hyperlink>
    </w:p>
    <w:p w14:paraId="46681121">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7408" w:history="1">
        <w:r>
          <w:rPr>
            <w:rFonts w:ascii="仿宋_GB2312" w:eastAsia="仿宋_GB2312" w:hAnsi="仿宋_GB2312" w:cs="仿宋_GB2312" w:hint="eastAsia"/>
            <w:bCs w:val="0"/>
            <w:sz w:val="30"/>
            <w:szCs w:val="30"/>
          </w:rPr>
          <w:t xml:space="preserve">十三、 </w:t>
        </w:r>
        <w:r>
          <w:rPr>
            <w:rFonts w:ascii="仿宋_GB2312" w:eastAsia="仿宋_GB2312" w:hAnsi="仿宋_GB2312" w:cs="仿宋_GB2312" w:hint="eastAsia"/>
            <w:bCs w:val="0"/>
            <w:sz w:val="30"/>
            <w:szCs w:val="30"/>
            <w:highlight w:val="none"/>
          </w:rPr>
          <w:t>预算绩效情况说明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_Toc7408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fldChar w:fldCharType="end"/>
        </w:r>
      </w:hyperlink>
    </w:p>
    <w:p w14:paraId="163A91FA">
      <w:pPr>
        <w:pStyle w:val="TOC2"/>
        <w:pageBreakBefore w:val="0"/>
        <w:tabs>
          <w:tab w:val="right" w:leader="dot" w:pos="8306"/>
        </w:tabs>
        <w:kinsoku/>
        <w:wordWrap/>
        <w:overflowPunct/>
        <w:topLinePunct w:val="0"/>
        <w:autoSpaceDE/>
        <w:autoSpaceDN/>
        <w:bidi w:val="0"/>
        <w:snapToGrid/>
        <w:spacing w:after="0"/>
        <w:rPr>
          <w:rFonts w:ascii="仿宋_GB2312" w:eastAsia="仿宋_GB2312" w:hAnsi="仿宋_GB2312" w:cs="仿宋_GB2312" w:hint="eastAsia"/>
          <w:sz w:val="30"/>
          <w:szCs w:val="30"/>
        </w:rPr>
      </w:pPr>
      <w:hyperlink w:anchor="_Toc12198" w:history="1">
        <w:r>
          <w:rPr>
            <w:rFonts w:ascii="仿宋_GB2312" w:eastAsia="仿宋_GB2312" w:hAnsi="仿宋_GB2312" w:cs="仿宋_GB2312" w:hint="eastAsia"/>
            <w:bCs w:val="0"/>
            <w:sz w:val="30"/>
            <w:szCs w:val="30"/>
          </w:rPr>
          <w:t xml:space="preserve">十四、 </w:t>
        </w:r>
        <w:r>
          <w:rPr>
            <w:rFonts w:ascii="仿宋_GB2312" w:eastAsia="仿宋_GB2312" w:hAnsi="仿宋_GB2312" w:cs="仿宋_GB2312" w:hint="eastAsia"/>
            <w:bCs w:val="0"/>
            <w:sz w:val="30"/>
            <w:szCs w:val="30"/>
            <w:highlight w:val="none"/>
          </w:rPr>
          <w:t>教育、医疗卫生、社会保障和就业、住房保障、涉农补贴等民生支出情况</w:t>
        </w:r>
        <w:r>
          <w:rPr>
            <w:rFonts w:ascii="仿宋_GB2312" w:eastAsia="仿宋_GB2312" w:hAnsi="仿宋_GB2312" w:cs="仿宋_GB2312" w:hint="eastAsia"/>
            <w:bCs w:val="0"/>
            <w:sz w:val="30"/>
            <w:szCs w:val="30"/>
            <w:highlight w:val="none"/>
            <w:lang w:eastAsia="zh-CN"/>
          </w:rPr>
          <w:t>说明</w:t>
        </w:r>
        <w:r>
          <w:rPr>
            <w:rFonts w:ascii="仿宋_GB2312" w:eastAsia="仿宋_GB2312" w:hAnsi="仿宋_GB2312" w:cs="仿宋_GB2312" w:hint="eastAsia"/>
            <w:sz w:val="30"/>
            <w:szCs w:val="30"/>
          </w:rPr>
          <w:tab/>
        </w:r>
        <w:r>
          <w:rPr>
            <w:rFonts w:ascii="仿宋_GB2312" w:eastAsia="仿宋_GB2312" w:hAnsi="仿宋_GB2312" w:cs="仿宋_GB2312" w:hint="eastAsia"/>
            <w:sz w:val="30"/>
            <w:szCs w:val="30"/>
          </w:rPr>
          <w:fldChar w:fldCharType="begin"/>
        </w:r>
        <w:r>
          <w:rPr>
            <w:rFonts w:ascii="仿宋_GB2312" w:eastAsia="仿宋_GB2312" w:hAnsi="仿宋_GB2312" w:cs="仿宋_GB2312" w:hint="eastAsia"/>
            <w:sz w:val="30"/>
            <w:szCs w:val="30"/>
          </w:rPr>
          <w:instrText xml:space="preserve"> PAGEREF _Toc12198 </w:instrText>
        </w:r>
        <w:r>
          <w:rPr>
            <w:rFonts w:ascii="仿宋_GB2312" w:eastAsia="仿宋_GB2312" w:hAnsi="仿宋_GB2312" w:cs="仿宋_GB2312" w:hint="eastAsia"/>
            <w:sz w:val="30"/>
            <w:szCs w:val="30"/>
          </w:rPr>
          <w:fldChar w:fldCharType="separate"/>
        </w:r>
        <w:r>
          <w:rPr>
            <w:rFonts w:ascii="仿宋_GB2312" w:eastAsia="仿宋_GB2312" w:hAnsi="仿宋_GB2312" w:cs="仿宋_GB2312" w:hint="eastAsia"/>
            <w:sz w:val="30"/>
            <w:szCs w:val="30"/>
          </w:rPr>
          <w:t>10</w:t>
        </w:r>
        <w:r>
          <w:rPr>
            <w:rFonts w:ascii="仿宋_GB2312" w:eastAsia="仿宋_GB2312" w:hAnsi="仿宋_GB2312" w:cs="仿宋_GB2312" w:hint="eastAsia"/>
            <w:sz w:val="30"/>
            <w:szCs w:val="30"/>
          </w:rPr>
          <w:fldChar w:fldCharType="end"/>
        </w:r>
      </w:hyperlink>
    </w:p>
    <w:p w14:paraId="4A8E55AA">
      <w:pPr>
        <w:pStyle w:val="TOC1"/>
        <w:pageBreakBefore w:val="0"/>
        <w:tabs>
          <w:tab w:val="clear" w:pos="8296"/>
          <w:tab w:val="right" w:leader="dot" w:pos="8306"/>
        </w:tabs>
        <w:kinsoku/>
        <w:wordWrap/>
        <w:overflowPunct/>
        <w:topLinePunct w:val="0"/>
        <w:autoSpaceDE/>
        <w:autoSpaceDN/>
        <w:bidi w:val="0"/>
        <w:snapToGrid/>
        <w:spacing w:after="0"/>
        <w:rPr>
          <w:rFonts w:ascii="方正小标宋简体" w:eastAsia="方正小标宋简体" w:hAnsi="方正小标宋简体" w:cs="方正小标宋简体" w:hint="eastAsia"/>
          <w:b w:val="0"/>
          <w:bCs w:val="0"/>
          <w:sz w:val="30"/>
          <w:szCs w:val="30"/>
          <w:highlight w:val="none"/>
        </w:rPr>
      </w:pPr>
      <w:hyperlink w:anchor="_Toc17573" w:history="1">
        <w:r>
          <w:rPr>
            <w:rFonts w:ascii="方正小标宋简体" w:eastAsia="方正小标宋简体" w:hAnsi="方正小标宋简体" w:cs="方正小标宋简体" w:hint="eastAsia"/>
            <w:b w:val="0"/>
            <w:bCs w:val="0"/>
            <w:sz w:val="30"/>
            <w:szCs w:val="30"/>
            <w:highlight w:val="none"/>
          </w:rPr>
          <w:t>第四部分  名词解释</w:t>
        </w:r>
        <w:r>
          <w:rPr>
            <w:rFonts w:ascii="方正小标宋简体" w:eastAsia="方正小标宋简体" w:hAnsi="方正小标宋简体" w:cs="方正小标宋简体" w:hint="eastAsia"/>
            <w:b w:val="0"/>
            <w:bCs w:val="0"/>
            <w:sz w:val="30"/>
            <w:szCs w:val="30"/>
            <w:highlight w:val="none"/>
          </w:rPr>
          <w:tab/>
        </w:r>
        <w:r>
          <w:rPr>
            <w:rFonts w:ascii="方正小标宋简体" w:eastAsia="方正小标宋简体" w:hAnsi="方正小标宋简体" w:cs="方正小标宋简体" w:hint="eastAsia"/>
            <w:b w:val="0"/>
            <w:bCs w:val="0"/>
            <w:sz w:val="30"/>
            <w:szCs w:val="30"/>
            <w:highlight w:val="none"/>
          </w:rPr>
          <w:fldChar w:fldCharType="begin"/>
        </w:r>
        <w:r>
          <w:rPr>
            <w:rFonts w:ascii="方正小标宋简体" w:eastAsia="方正小标宋简体" w:hAnsi="方正小标宋简体" w:cs="方正小标宋简体" w:hint="eastAsia"/>
            <w:b w:val="0"/>
            <w:bCs w:val="0"/>
            <w:sz w:val="30"/>
            <w:szCs w:val="30"/>
            <w:highlight w:val="none"/>
          </w:rPr>
          <w:instrText xml:space="preserve"> PAGEREF _Toc17573 </w:instrText>
        </w:r>
        <w:r>
          <w:rPr>
            <w:rFonts w:ascii="方正小标宋简体" w:eastAsia="方正小标宋简体" w:hAnsi="方正小标宋简体" w:cs="方正小标宋简体" w:hint="eastAsia"/>
            <w:b w:val="0"/>
            <w:bCs w:val="0"/>
            <w:sz w:val="30"/>
            <w:szCs w:val="30"/>
            <w:highlight w:val="none"/>
          </w:rPr>
          <w:fldChar w:fldCharType="separate"/>
        </w:r>
        <w:r>
          <w:rPr>
            <w:rFonts w:ascii="方正小标宋简体" w:eastAsia="方正小标宋简体" w:hAnsi="方正小标宋简体" w:cs="方正小标宋简体" w:hint="eastAsia"/>
            <w:b w:val="0"/>
            <w:bCs w:val="0"/>
            <w:sz w:val="30"/>
            <w:szCs w:val="30"/>
            <w:highlight w:val="none"/>
          </w:rPr>
          <w:t>11</w:t>
        </w:r>
        <w:r>
          <w:rPr>
            <w:rFonts w:ascii="方正小标宋简体" w:eastAsia="方正小标宋简体" w:hAnsi="方正小标宋简体" w:cs="方正小标宋简体" w:hint="eastAsia"/>
            <w:b w:val="0"/>
            <w:bCs w:val="0"/>
            <w:sz w:val="30"/>
            <w:szCs w:val="30"/>
            <w:highlight w:val="none"/>
          </w:rPr>
          <w:fldChar w:fldCharType="end"/>
        </w:r>
      </w:hyperlink>
    </w:p>
    <w:p w14:paraId="076A79FC">
      <w:pPr>
        <w:pStyle w:val="TOC2"/>
        <w:pageBreakBefore w:val="0"/>
        <w:tabs>
          <w:tab w:val="right" w:leader="dot" w:pos="8296"/>
        </w:tabs>
        <w:kinsoku/>
        <w:wordWrap/>
        <w:overflowPunct/>
        <w:topLinePunct w:val="0"/>
        <w:autoSpaceDE/>
        <w:autoSpaceDN/>
        <w:bidi w:val="0"/>
        <w:snapToGrid/>
        <w:spacing w:after="0" w:line="600" w:lineRule="exact"/>
        <w:rPr>
          <w:rFonts w:ascii="Times New Roman" w:eastAsia="仿宋_GB2312" w:hAnsi="Times New Roman"/>
          <w:sz w:val="32"/>
          <w:szCs w:val="32"/>
          <w:highlight w:val="none"/>
        </w:rPr>
        <w:sectPr>
          <w:footerReference w:type="default" r:id="rId5"/>
          <w:pgSz w:w="11906" w:h="16838"/>
          <w:pgMar w:top="1440" w:right="1800" w:bottom="1440" w:left="1800" w:header="851" w:footer="992" w:gutter="0"/>
          <w:pgNumType w:start="1"/>
          <w:cols w:num="1" w:space="720"/>
          <w:docGrid w:type="lines" w:linePitch="312" w:charSpace="0"/>
        </w:sectPr>
      </w:pPr>
      <w:r>
        <w:rPr>
          <w:rFonts w:ascii="Times New Roman" w:eastAsia="仿宋_GB2312" w:hAnsi="Times New Roman"/>
          <w:szCs w:val="30"/>
          <w:highlight w:val="none"/>
        </w:rPr>
        <w:fldChar w:fldCharType="end"/>
      </w:r>
    </w:p>
    <w:p w14:paraId="5A5B8137">
      <w:pPr>
        <w:pageBreakBefore w:val="0"/>
        <w:kinsoku/>
        <w:wordWrap/>
        <w:overflowPunct/>
        <w:topLinePunct w:val="0"/>
        <w:autoSpaceDE/>
        <w:autoSpaceDN/>
        <w:bidi w:val="0"/>
        <w:snapToGrid/>
        <w:rPr>
          <w:rFonts w:hint="eastAsia"/>
          <w:highlight w:val="none"/>
        </w:rPr>
      </w:pPr>
    </w:p>
    <w:p w14:paraId="56223CF8">
      <w:pPr>
        <w:pageBreakBefore w:val="0"/>
        <w:kinsoku/>
        <w:wordWrap/>
        <w:overflowPunct/>
        <w:topLinePunct w:val="0"/>
        <w:autoSpaceDE/>
        <w:autoSpaceDN/>
        <w:bidi w:val="0"/>
        <w:snapToGrid/>
        <w:rPr>
          <w:rFonts w:hint="eastAsia"/>
        </w:rPr>
      </w:pPr>
    </w:p>
    <w:p w14:paraId="43A021BA">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b w:val="0"/>
          <w:sz w:val="44"/>
          <w:szCs w:val="44"/>
          <w:highlight w:val="none"/>
        </w:rPr>
      </w:pPr>
      <w:bookmarkStart w:id="0" w:name="_Toc7076"/>
      <w:r>
        <w:rPr>
          <w:rFonts w:ascii="方正小标宋简体" w:eastAsia="方正小标宋简体" w:hAnsi="方正小标宋简体" w:cs="方正小标宋简体" w:hint="eastAsia"/>
          <w:b w:val="0"/>
          <w:sz w:val="44"/>
          <w:szCs w:val="44"/>
          <w:highlight w:val="none"/>
        </w:rPr>
        <w:t>第一部分  概 况</w:t>
      </w:r>
      <w:bookmarkEnd w:id="0"/>
    </w:p>
    <w:p w14:paraId="4397E50D">
      <w:pPr>
        <w:pageBreakBefore w:val="0"/>
        <w:kinsoku/>
        <w:wordWrap/>
        <w:overflowPunct/>
        <w:topLinePunct w:val="0"/>
        <w:autoSpaceDE/>
        <w:autoSpaceDN/>
        <w:bidi w:val="0"/>
        <w:snapToGrid/>
        <w:spacing w:line="600" w:lineRule="exact"/>
        <w:rPr>
          <w:rFonts w:hint="eastAsia"/>
          <w:highlight w:val="none"/>
        </w:rPr>
      </w:pPr>
    </w:p>
    <w:p w14:paraId="6874DB43">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bCs w:val="0"/>
          <w:sz w:val="30"/>
          <w:szCs w:val="30"/>
          <w:highlight w:val="none"/>
        </w:rPr>
      </w:pPr>
      <w:bookmarkStart w:id="1" w:name="_Toc13809"/>
      <w:r>
        <w:rPr>
          <w:rFonts w:ascii="黑体" w:eastAsia="黑体" w:hAnsi="黑体" w:hint="eastAsia"/>
          <w:b w:val="0"/>
          <w:bCs w:val="0"/>
          <w:sz w:val="30"/>
          <w:szCs w:val="30"/>
          <w:highlight w:val="none"/>
        </w:rPr>
        <w:t>一、主要职责</w:t>
      </w:r>
      <w:bookmarkEnd w:id="1"/>
    </w:p>
    <w:p w14:paraId="2E5C27EE">
      <w:pPr>
        <w:pageBreakBefore w:val="0"/>
        <w:kinsoku/>
        <w:wordWrap/>
        <w:overflowPunct/>
        <w:topLinePunct w:val="0"/>
        <w:autoSpaceDE/>
        <w:autoSpaceDN/>
        <w:bidi w:val="0"/>
        <w:snapToGrid/>
        <w:spacing w:line="600" w:lineRule="exact"/>
        <w:ind w:firstLine="600" w:firstLineChars="200"/>
        <w:jc w:val="both"/>
        <w:rPr>
          <w:rFonts w:ascii="仿宋_GB2312" w:eastAsia="仿宋_GB2312" w:hint="default"/>
          <w:sz w:val="30"/>
          <w:szCs w:val="30"/>
          <w:highlight w:val="none"/>
          <w:lang w:val="en-US" w:eastAsia="zh-CN"/>
        </w:rPr>
      </w:pPr>
      <w:r>
        <w:rPr>
          <w:rFonts w:ascii="仿宋_GB2312" w:eastAsia="仿宋_GB2312" w:hint="eastAsia"/>
          <w:sz w:val="30"/>
          <w:szCs w:val="30"/>
          <w:highlight w:val="none"/>
          <w:lang w:val="en-US" w:eastAsia="zh-CN"/>
        </w:rPr>
        <w:t>我中心主要职责是负责全区工程建设、房屋保障、房地产服务、房屋征收、资金监管等事务性工作。</w:t>
      </w:r>
    </w:p>
    <w:p w14:paraId="643966F6">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bCs w:val="0"/>
          <w:sz w:val="30"/>
          <w:szCs w:val="30"/>
          <w:highlight w:val="none"/>
        </w:rPr>
      </w:pPr>
      <w:bookmarkStart w:id="2" w:name="_Toc20426"/>
      <w:r>
        <w:rPr>
          <w:rFonts w:ascii="黑体" w:eastAsia="黑体" w:hAnsi="黑体" w:hint="eastAsia"/>
          <w:b w:val="0"/>
          <w:bCs w:val="0"/>
          <w:sz w:val="30"/>
          <w:szCs w:val="30"/>
          <w:highlight w:val="none"/>
        </w:rPr>
        <w:t>二、机构设置</w:t>
      </w:r>
      <w:bookmarkEnd w:id="2"/>
    </w:p>
    <w:p w14:paraId="0E316961">
      <w:pPr>
        <w:pageBreakBefore w:val="0"/>
        <w:numPr>
          <w:ilvl w:val="0"/>
          <w:numId w:val="0"/>
        </w:numPr>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Times New Roman" w:cs="Times New Roman" w:hint="eastAsia"/>
          <w:sz w:val="30"/>
          <w:szCs w:val="30"/>
          <w:highlight w:val="none"/>
          <w:lang w:val="en-US" w:eastAsia="zh-CN"/>
        </w:rPr>
        <w:t>天津市津南区住房和建设服务中心内设6个职能</w:t>
      </w:r>
      <w:r>
        <w:rPr>
          <w:rFonts w:ascii="仿宋_GB2312" w:eastAsia="仿宋_GB2312" w:cs="Times New Roman" w:hint="eastAsia"/>
          <w:sz w:val="30"/>
          <w:szCs w:val="30"/>
          <w:highlight w:val="none"/>
          <w:lang w:val="en-US" w:eastAsia="zh-CN"/>
        </w:rPr>
        <w:t>科</w:t>
      </w:r>
      <w:r>
        <w:rPr>
          <w:rFonts w:ascii="仿宋_GB2312" w:eastAsia="仿宋_GB2312" w:hAnsi="Times New Roman" w:cs="Times New Roman" w:hint="eastAsia"/>
          <w:sz w:val="30"/>
          <w:szCs w:val="30"/>
          <w:highlight w:val="none"/>
          <w:lang w:val="en-US" w:eastAsia="zh-CN"/>
        </w:rPr>
        <w:t xml:space="preserve">室。 </w:t>
      </w:r>
      <w:r>
        <w:rPr>
          <w:rFonts w:eastAsia="楷体_GB2312"/>
          <w:b/>
          <w:sz w:val="30"/>
          <w:szCs w:val="30"/>
          <w:highlight w:val="none"/>
        </w:rPr>
        <w:br w:type="page"/>
      </w:r>
    </w:p>
    <w:p w14:paraId="671C2795">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hint="eastAsia"/>
          <w:b w:val="0"/>
          <w:sz w:val="44"/>
          <w:szCs w:val="44"/>
          <w:highlight w:val="none"/>
        </w:rPr>
      </w:pPr>
      <w:bookmarkStart w:id="3" w:name="_Toc15731"/>
      <w:r>
        <w:rPr>
          <w:rFonts w:ascii="方正小标宋简体" w:eastAsia="方正小标宋简体" w:hAnsi="方正小标宋简体" w:cs="方正小标宋简体"/>
          <w:b w:val="0"/>
          <w:sz w:val="44"/>
          <w:szCs w:val="44"/>
          <w:highlight w:val="none"/>
        </w:rPr>
        <w:t>第</w:t>
      </w:r>
      <w:r>
        <w:rPr>
          <w:rFonts w:ascii="方正小标宋简体" w:eastAsia="方正小标宋简体" w:hAnsi="方正小标宋简体" w:cs="方正小标宋简体" w:hint="eastAsia"/>
          <w:b w:val="0"/>
          <w:sz w:val="44"/>
          <w:szCs w:val="44"/>
          <w:highlight w:val="none"/>
        </w:rPr>
        <w:t>二</w:t>
      </w:r>
      <w:r>
        <w:rPr>
          <w:rFonts w:ascii="方正小标宋简体" w:eastAsia="方正小标宋简体" w:hAnsi="方正小标宋简体" w:cs="方正小标宋简体"/>
          <w:b w:val="0"/>
          <w:sz w:val="44"/>
          <w:szCs w:val="44"/>
          <w:highlight w:val="none"/>
        </w:rPr>
        <w:t xml:space="preserve">部分  </w:t>
      </w:r>
      <w:r>
        <w:rPr>
          <w:rFonts w:ascii="方正小标宋简体" w:eastAsia="方正小标宋简体" w:hAnsi="方正小标宋简体" w:cs="方正小标宋简体" w:hint="eastAsia"/>
          <w:b w:val="0"/>
          <w:sz w:val="44"/>
          <w:szCs w:val="44"/>
          <w:highlight w:val="none"/>
          <w:lang w:eastAsia="zh-CN"/>
        </w:rPr>
        <w:t>202</w:t>
      </w:r>
      <w:r>
        <w:rPr>
          <w:rFonts w:ascii="方正小标宋简体" w:eastAsia="方正小标宋简体" w:hAnsi="方正小标宋简体" w:cs="方正小标宋简体" w:hint="eastAsia"/>
          <w:b w:val="0"/>
          <w:sz w:val="44"/>
          <w:szCs w:val="44"/>
          <w:highlight w:val="none"/>
          <w:lang w:val="en-US" w:eastAsia="zh-CN"/>
        </w:rPr>
        <w:t>3</w:t>
      </w:r>
      <w:r>
        <w:rPr>
          <w:rFonts w:ascii="方正小标宋简体" w:eastAsia="方正小标宋简体" w:hAnsi="方正小标宋简体" w:cs="方正小标宋简体"/>
          <w:b w:val="0"/>
          <w:sz w:val="44"/>
          <w:szCs w:val="44"/>
          <w:highlight w:val="none"/>
        </w:rPr>
        <w:t>年度部门决算</w:t>
      </w:r>
      <w:r>
        <w:rPr>
          <w:rFonts w:ascii="方正小标宋简体" w:eastAsia="方正小标宋简体" w:hAnsi="方正小标宋简体" w:cs="方正小标宋简体" w:hint="eastAsia"/>
          <w:b w:val="0"/>
          <w:sz w:val="44"/>
          <w:szCs w:val="44"/>
          <w:highlight w:val="none"/>
        </w:rPr>
        <w:t>表</w:t>
      </w:r>
      <w:bookmarkEnd w:id="3"/>
    </w:p>
    <w:p w14:paraId="78377056">
      <w:pPr>
        <w:pageBreakBefore w:val="0"/>
        <w:kinsoku/>
        <w:wordWrap/>
        <w:overflowPunct/>
        <w:topLinePunct w:val="0"/>
        <w:autoSpaceDE/>
        <w:autoSpaceDN/>
        <w:bidi w:val="0"/>
        <w:snapToGrid/>
        <w:spacing w:line="600" w:lineRule="exact"/>
        <w:rPr>
          <w:rFonts w:hint="eastAsia"/>
          <w:highlight w:val="none"/>
        </w:rPr>
      </w:pPr>
    </w:p>
    <w:p w14:paraId="2A765E7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4" w:name="_Toc8843"/>
      <w:r>
        <w:rPr>
          <w:rFonts w:ascii="黑体" w:eastAsia="黑体" w:hAnsi="黑体"/>
          <w:b w:val="0"/>
          <w:sz w:val="30"/>
          <w:szCs w:val="30"/>
          <w:highlight w:val="none"/>
        </w:rPr>
        <w:t>一</w:t>
      </w:r>
      <w:r>
        <w:rPr>
          <w:rFonts w:ascii="黑体" w:eastAsia="黑体" w:hAnsi="黑体" w:hint="eastAsia"/>
          <w:b w:val="0"/>
          <w:sz w:val="30"/>
          <w:szCs w:val="30"/>
          <w:highlight w:val="none"/>
        </w:rPr>
        <w:t>、</w:t>
      </w:r>
      <w:r>
        <w:rPr>
          <w:rFonts w:ascii="黑体" w:eastAsia="黑体" w:hAnsi="黑体"/>
          <w:b w:val="0"/>
          <w:sz w:val="30"/>
          <w:szCs w:val="30"/>
          <w:highlight w:val="none"/>
        </w:rPr>
        <w:t>《</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决算总</w:t>
      </w:r>
      <w:r>
        <w:rPr>
          <w:rFonts w:ascii="黑体" w:eastAsia="黑体" w:hAnsi="黑体"/>
          <w:b w:val="0"/>
          <w:sz w:val="30"/>
          <w:szCs w:val="30"/>
          <w:highlight w:val="none"/>
        </w:rPr>
        <w:t>表》</w:t>
      </w:r>
      <w:bookmarkEnd w:id="4"/>
    </w:p>
    <w:p w14:paraId="464FD58B">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5" w:name="_Toc2552"/>
      <w:r>
        <w:rPr>
          <w:rFonts w:ascii="黑体" w:eastAsia="黑体" w:hAnsi="黑体"/>
          <w:b w:val="0"/>
          <w:sz w:val="30"/>
          <w:szCs w:val="30"/>
          <w:highlight w:val="none"/>
        </w:rPr>
        <w:t>二、《收入</w:t>
      </w:r>
      <w:r>
        <w:rPr>
          <w:rFonts w:ascii="黑体" w:eastAsia="黑体" w:hAnsi="黑体" w:hint="eastAsia"/>
          <w:b w:val="0"/>
          <w:sz w:val="30"/>
          <w:szCs w:val="30"/>
          <w:highlight w:val="none"/>
        </w:rPr>
        <w:t>决算</w:t>
      </w:r>
      <w:r>
        <w:rPr>
          <w:rFonts w:ascii="黑体" w:eastAsia="黑体" w:hAnsi="黑体"/>
          <w:b w:val="0"/>
          <w:sz w:val="30"/>
          <w:szCs w:val="30"/>
          <w:highlight w:val="none"/>
        </w:rPr>
        <w:t>表</w:t>
      </w:r>
      <w:r>
        <w:rPr>
          <w:rFonts w:ascii="黑体" w:eastAsia="黑体" w:hAnsi="黑体" w:hint="eastAsia"/>
          <w:b w:val="0"/>
          <w:sz w:val="30"/>
          <w:szCs w:val="30"/>
          <w:highlight w:val="none"/>
        </w:rPr>
        <w:t>（按功能分类列示）</w:t>
      </w:r>
      <w:r>
        <w:rPr>
          <w:rFonts w:ascii="黑体" w:eastAsia="黑体" w:hAnsi="黑体"/>
          <w:b w:val="0"/>
          <w:sz w:val="30"/>
          <w:szCs w:val="30"/>
          <w:highlight w:val="none"/>
        </w:rPr>
        <w:t>》</w:t>
      </w:r>
      <w:bookmarkEnd w:id="5"/>
    </w:p>
    <w:p w14:paraId="426CA08B">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6" w:name="_Toc27841"/>
      <w:r>
        <w:rPr>
          <w:rFonts w:ascii="黑体" w:eastAsia="黑体" w:hAnsi="黑体" w:hint="eastAsia"/>
          <w:b w:val="0"/>
          <w:sz w:val="30"/>
          <w:szCs w:val="30"/>
          <w:highlight w:val="none"/>
        </w:rPr>
        <w:t>三</w:t>
      </w:r>
      <w:r>
        <w:rPr>
          <w:rFonts w:ascii="黑体" w:eastAsia="黑体" w:hAnsi="黑体"/>
          <w:b w:val="0"/>
          <w:sz w:val="30"/>
          <w:szCs w:val="30"/>
          <w:highlight w:val="none"/>
        </w:rPr>
        <w:t>、《收入</w:t>
      </w:r>
      <w:r>
        <w:rPr>
          <w:rFonts w:ascii="黑体" w:eastAsia="黑体" w:hAnsi="黑体" w:hint="eastAsia"/>
          <w:b w:val="0"/>
          <w:sz w:val="30"/>
          <w:szCs w:val="30"/>
          <w:highlight w:val="none"/>
        </w:rPr>
        <w:t>决算</w:t>
      </w:r>
      <w:r>
        <w:rPr>
          <w:rFonts w:ascii="黑体" w:eastAsia="黑体" w:hAnsi="黑体"/>
          <w:b w:val="0"/>
          <w:sz w:val="30"/>
          <w:szCs w:val="30"/>
          <w:highlight w:val="none"/>
        </w:rPr>
        <w:t>表</w:t>
      </w:r>
      <w:r>
        <w:rPr>
          <w:rFonts w:ascii="黑体" w:eastAsia="黑体" w:hAnsi="黑体" w:hint="eastAsia"/>
          <w:b w:val="0"/>
          <w:sz w:val="30"/>
          <w:szCs w:val="30"/>
          <w:highlight w:val="none"/>
        </w:rPr>
        <w:t>（按单位列示）</w:t>
      </w:r>
      <w:r>
        <w:rPr>
          <w:rFonts w:ascii="黑体" w:eastAsia="黑体" w:hAnsi="黑体"/>
          <w:b w:val="0"/>
          <w:sz w:val="30"/>
          <w:szCs w:val="30"/>
          <w:highlight w:val="none"/>
        </w:rPr>
        <w:t>》</w:t>
      </w:r>
      <w:bookmarkEnd w:id="6"/>
    </w:p>
    <w:p w14:paraId="475FBA8F">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7" w:name="_Toc8617"/>
      <w:r>
        <w:rPr>
          <w:rFonts w:ascii="黑体" w:eastAsia="黑体" w:hAnsi="黑体" w:hint="eastAsia"/>
          <w:b w:val="0"/>
          <w:sz w:val="30"/>
          <w:szCs w:val="30"/>
          <w:highlight w:val="none"/>
        </w:rPr>
        <w:t>四、</w:t>
      </w:r>
      <w:r>
        <w:rPr>
          <w:rFonts w:ascii="黑体" w:eastAsia="黑体" w:hAnsi="黑体"/>
          <w:b w:val="0"/>
          <w:sz w:val="30"/>
          <w:szCs w:val="30"/>
          <w:highlight w:val="none"/>
        </w:rPr>
        <w:t>《支出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7"/>
    </w:p>
    <w:p w14:paraId="270015D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8" w:name="_Toc12763"/>
      <w:r>
        <w:rPr>
          <w:rFonts w:ascii="黑体" w:eastAsia="黑体" w:hAnsi="黑体"/>
          <w:b w:val="0"/>
          <w:sz w:val="30"/>
          <w:szCs w:val="30"/>
          <w:highlight w:val="none"/>
        </w:rPr>
        <w:t>五</w:t>
      </w:r>
      <w:r>
        <w:rPr>
          <w:rFonts w:ascii="黑体" w:eastAsia="黑体" w:hAnsi="黑体" w:hint="eastAsia"/>
          <w:b w:val="0"/>
          <w:sz w:val="30"/>
          <w:szCs w:val="30"/>
          <w:highlight w:val="none"/>
        </w:rPr>
        <w:t>、</w:t>
      </w:r>
      <w:r>
        <w:rPr>
          <w:rFonts w:ascii="黑体" w:eastAsia="黑体" w:hAnsi="黑体"/>
          <w:b w:val="0"/>
          <w:sz w:val="30"/>
          <w:szCs w:val="30"/>
          <w:highlight w:val="none"/>
        </w:rPr>
        <w:t>《财政拨款</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决算总</w:t>
      </w:r>
      <w:r>
        <w:rPr>
          <w:rFonts w:ascii="黑体" w:eastAsia="黑体" w:hAnsi="黑体"/>
          <w:b w:val="0"/>
          <w:sz w:val="30"/>
          <w:szCs w:val="30"/>
          <w:highlight w:val="none"/>
        </w:rPr>
        <w:t>表》</w:t>
      </w:r>
      <w:bookmarkEnd w:id="8"/>
    </w:p>
    <w:p w14:paraId="0EC24594">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9" w:name="_Toc24693"/>
      <w:r>
        <w:rPr>
          <w:rFonts w:ascii="黑体" w:eastAsia="黑体" w:hAnsi="黑体"/>
          <w:b w:val="0"/>
          <w:sz w:val="30"/>
          <w:szCs w:val="30"/>
          <w:highlight w:val="none"/>
        </w:rPr>
        <w:t>六</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9"/>
    </w:p>
    <w:p w14:paraId="4AD9931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b w:val="0"/>
          <w:sz w:val="30"/>
          <w:szCs w:val="30"/>
          <w:highlight w:val="none"/>
        </w:rPr>
      </w:pPr>
      <w:bookmarkStart w:id="10" w:name="_Toc13125"/>
      <w:r>
        <w:rPr>
          <w:rFonts w:ascii="黑体" w:eastAsia="黑体" w:hAnsi="黑体"/>
          <w:b w:val="0"/>
          <w:sz w:val="30"/>
          <w:szCs w:val="30"/>
          <w:highlight w:val="none"/>
        </w:rPr>
        <w:t>七</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《一般公共预算财政拨款基本支出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0"/>
    </w:p>
    <w:p w14:paraId="7B7351B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1" w:name="_Toc27248"/>
      <w:r>
        <w:rPr>
          <w:rFonts w:ascii="黑体" w:eastAsia="黑体" w:hAnsi="黑体" w:hint="eastAsia"/>
          <w:b w:val="0"/>
          <w:sz w:val="30"/>
          <w:szCs w:val="30"/>
          <w:highlight w:val="none"/>
          <w:lang w:eastAsia="zh-CN"/>
        </w:rPr>
        <w:t>八</w:t>
      </w:r>
      <w:r>
        <w:rPr>
          <w:rFonts w:ascii="黑体" w:eastAsia="黑体" w:hAnsi="黑体" w:hint="eastAsia"/>
          <w:b w:val="0"/>
          <w:sz w:val="30"/>
          <w:szCs w:val="30"/>
          <w:highlight w:val="none"/>
        </w:rPr>
        <w:t>、</w:t>
      </w:r>
      <w:r>
        <w:rPr>
          <w:rFonts w:ascii="黑体" w:eastAsia="黑体" w:hAnsi="黑体"/>
          <w:b w:val="0"/>
          <w:sz w:val="30"/>
          <w:szCs w:val="30"/>
          <w:highlight w:val="none"/>
        </w:rPr>
        <w:t>《政府性基金预算财政拨款</w:t>
      </w:r>
      <w:r>
        <w:rPr>
          <w:rFonts w:ascii="黑体" w:eastAsia="黑体" w:hAnsi="黑体" w:hint="eastAsia"/>
          <w:b w:val="0"/>
          <w:sz w:val="30"/>
          <w:szCs w:val="30"/>
          <w:highlight w:val="none"/>
        </w:rPr>
        <w:t>收入</w:t>
      </w:r>
      <w:r>
        <w:rPr>
          <w:rFonts w:ascii="黑体" w:eastAsia="黑体" w:hAnsi="黑体"/>
          <w:b w:val="0"/>
          <w:sz w:val="30"/>
          <w:szCs w:val="30"/>
          <w:highlight w:val="none"/>
        </w:rPr>
        <w:t>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1"/>
    </w:p>
    <w:p w14:paraId="583F435C">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2" w:name="_Toc5066"/>
      <w:r>
        <w:rPr>
          <w:rFonts w:ascii="黑体" w:eastAsia="黑体" w:hAnsi="黑体" w:hint="eastAsia"/>
          <w:b w:val="0"/>
          <w:sz w:val="30"/>
          <w:szCs w:val="30"/>
          <w:highlight w:val="none"/>
          <w:lang w:eastAsia="zh-CN"/>
        </w:rPr>
        <w:t>九</w:t>
      </w:r>
      <w:r>
        <w:rPr>
          <w:rFonts w:ascii="黑体" w:eastAsia="黑体" w:hAnsi="黑体" w:hint="eastAsia"/>
          <w:b w:val="0"/>
          <w:sz w:val="30"/>
          <w:szCs w:val="30"/>
          <w:highlight w:val="none"/>
        </w:rPr>
        <w:t>、</w:t>
      </w:r>
      <w:r>
        <w:rPr>
          <w:rFonts w:ascii="黑体" w:eastAsia="黑体" w:hAnsi="黑体"/>
          <w:b w:val="0"/>
          <w:sz w:val="30"/>
          <w:szCs w:val="30"/>
          <w:highlight w:val="none"/>
        </w:rPr>
        <w:t>《国有资本经营预算财政拨款</w:t>
      </w:r>
      <w:r>
        <w:rPr>
          <w:rFonts w:ascii="黑体" w:eastAsia="黑体" w:hAnsi="黑体" w:hint="eastAsia"/>
          <w:b w:val="0"/>
          <w:sz w:val="30"/>
          <w:szCs w:val="30"/>
          <w:highlight w:val="none"/>
        </w:rPr>
        <w:t>收入支出决算</w:t>
      </w:r>
      <w:r>
        <w:rPr>
          <w:rFonts w:ascii="黑体" w:eastAsia="黑体" w:hAnsi="黑体"/>
          <w:b w:val="0"/>
          <w:sz w:val="30"/>
          <w:szCs w:val="30"/>
          <w:highlight w:val="none"/>
        </w:rPr>
        <w:t>表》</w:t>
      </w:r>
      <w:bookmarkEnd w:id="12"/>
    </w:p>
    <w:p w14:paraId="3B9CB3D2">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3" w:name="_Toc21014"/>
      <w:r>
        <w:rPr>
          <w:rFonts w:ascii="黑体" w:eastAsia="黑体" w:hAnsi="黑体" w:hint="eastAsia"/>
          <w:b w:val="0"/>
          <w:sz w:val="30"/>
          <w:szCs w:val="30"/>
          <w:highlight w:val="none"/>
          <w:lang w:eastAsia="zh-CN"/>
        </w:rPr>
        <w:t>十</w:t>
      </w:r>
      <w:r>
        <w:rPr>
          <w:rFonts w:ascii="黑体" w:eastAsia="黑体" w:hAnsi="黑体" w:hint="eastAsia"/>
          <w:b w:val="0"/>
          <w:sz w:val="30"/>
          <w:szCs w:val="30"/>
          <w:highlight w:val="none"/>
        </w:rPr>
        <w:t>、</w:t>
      </w:r>
      <w:r>
        <w:rPr>
          <w:rFonts w:ascii="黑体" w:eastAsia="黑体" w:hAnsi="黑体"/>
          <w:b w:val="0"/>
          <w:sz w:val="30"/>
          <w:szCs w:val="30"/>
          <w:highlight w:val="none"/>
        </w:rPr>
        <w:t>《财政拨款“三公”经费支出</w:t>
      </w:r>
      <w:r>
        <w:rPr>
          <w:rFonts w:ascii="黑体" w:eastAsia="黑体" w:hAnsi="黑体" w:hint="eastAsia"/>
          <w:b w:val="0"/>
          <w:sz w:val="30"/>
          <w:szCs w:val="30"/>
          <w:highlight w:val="none"/>
        </w:rPr>
        <w:t>决算</w:t>
      </w:r>
      <w:r>
        <w:rPr>
          <w:rFonts w:ascii="黑体" w:eastAsia="黑体" w:hAnsi="黑体"/>
          <w:b w:val="0"/>
          <w:sz w:val="30"/>
          <w:szCs w:val="30"/>
          <w:highlight w:val="none"/>
        </w:rPr>
        <w:t>表》</w:t>
      </w:r>
      <w:bookmarkEnd w:id="13"/>
    </w:p>
    <w:p w14:paraId="5E3E5525">
      <w:pPr>
        <w:pStyle w:val="Heading2"/>
        <w:pageBreakBefore w:val="0"/>
        <w:kinsoku/>
        <w:wordWrap/>
        <w:overflowPunct/>
        <w:topLinePunct w:val="0"/>
        <w:autoSpaceDE/>
        <w:autoSpaceDN/>
        <w:bidi w:val="0"/>
        <w:snapToGrid/>
        <w:spacing w:before="0" w:after="0" w:line="800" w:lineRule="exact"/>
        <w:ind w:firstLine="600" w:firstLineChars="200"/>
        <w:rPr>
          <w:rFonts w:ascii="黑体" w:eastAsia="黑体" w:hAnsi="黑体" w:hint="eastAsia"/>
          <w:b w:val="0"/>
          <w:sz w:val="30"/>
          <w:szCs w:val="30"/>
          <w:highlight w:val="none"/>
        </w:rPr>
      </w:pPr>
      <w:bookmarkStart w:id="14" w:name="_Toc13144"/>
      <w:r>
        <w:rPr>
          <w:rFonts w:ascii="黑体" w:eastAsia="黑体" w:hAnsi="黑体"/>
          <w:b w:val="0"/>
          <w:sz w:val="30"/>
          <w:szCs w:val="30"/>
          <w:highlight w:val="none"/>
        </w:rPr>
        <w:t>十</w:t>
      </w:r>
      <w:r>
        <w:rPr>
          <w:rFonts w:ascii="黑体" w:eastAsia="黑体" w:hAnsi="黑体" w:hint="eastAsia"/>
          <w:b w:val="0"/>
          <w:sz w:val="30"/>
          <w:szCs w:val="30"/>
          <w:highlight w:val="none"/>
          <w:lang w:eastAsia="zh-CN"/>
        </w:rPr>
        <w:t>一</w:t>
      </w:r>
      <w:r>
        <w:rPr>
          <w:rFonts w:ascii="黑体" w:eastAsia="黑体" w:hAnsi="黑体" w:hint="eastAsia"/>
          <w:b w:val="0"/>
          <w:sz w:val="30"/>
          <w:szCs w:val="30"/>
          <w:highlight w:val="none"/>
        </w:rPr>
        <w:t>、</w:t>
      </w:r>
      <w:r>
        <w:rPr>
          <w:rFonts w:ascii="黑体" w:eastAsia="黑体" w:hAnsi="黑体"/>
          <w:b w:val="0"/>
          <w:sz w:val="30"/>
          <w:szCs w:val="30"/>
          <w:highlight w:val="none"/>
        </w:rPr>
        <w:t>《项目支出决算表》</w:t>
      </w:r>
      <w:bookmarkEnd w:id="14"/>
    </w:p>
    <w:p w14:paraId="4FB5AA28">
      <w:pPr>
        <w:pageBreakBefore w:val="0"/>
        <w:kinsoku/>
        <w:wordWrap/>
        <w:overflowPunct/>
        <w:topLinePunct w:val="0"/>
        <w:autoSpaceDE/>
        <w:autoSpaceDN/>
        <w:bidi w:val="0"/>
        <w:snapToGrid/>
        <w:spacing w:line="800" w:lineRule="exact"/>
        <w:ind w:left="600" w:hanging="600" w:hangingChars="200"/>
        <w:rPr>
          <w:rFonts w:ascii="黑体" w:eastAsia="黑体" w:hAnsi="黑体" w:hint="eastAsia"/>
          <w:b w:val="0"/>
          <w:bCs w:val="0"/>
          <w:sz w:val="30"/>
          <w:szCs w:val="30"/>
          <w:highlight w:val="none"/>
        </w:rPr>
      </w:pPr>
      <w:r>
        <w:rPr>
          <w:rFonts w:eastAsia="楷体" w:hint="eastAsia"/>
          <w:sz w:val="30"/>
          <w:szCs w:val="30"/>
          <w:highlight w:val="none"/>
        </w:rPr>
        <w:t>注：以上决算公开表均作为附表，附于决算公开说明文档后。</w:t>
      </w:r>
      <w:r>
        <w:rPr>
          <w:rFonts w:hint="eastAsia"/>
          <w:b w:val="0"/>
          <w:bCs w:val="0"/>
          <w:highlight w:val="none"/>
          <w:lang w:val="en-US" w:eastAsia="zh-CN"/>
        </w:rPr>
        <w:t xml:space="preserve">    </w:t>
      </w:r>
      <w:r>
        <w:rPr>
          <w:rFonts w:ascii="黑体" w:eastAsia="黑体" w:hAnsi="黑体" w:cs="Times New Roman" w:hint="eastAsia"/>
          <w:b w:val="0"/>
          <w:bCs/>
          <w:sz w:val="30"/>
          <w:szCs w:val="30"/>
          <w:highlight w:val="none"/>
          <w:lang w:val="en-US" w:eastAsia="zh-CN" w:bidi="ar-SA"/>
        </w:rPr>
        <w:t>十二、关于空表的说明</w:t>
      </w:r>
    </w:p>
    <w:p w14:paraId="4698F441">
      <w:pPr>
        <w:pageBreakBefore w:val="0"/>
        <w:numPr>
          <w:ilvl w:val="0"/>
          <w:numId w:val="0"/>
        </w:numPr>
        <w:kinsoku/>
        <w:wordWrap/>
        <w:overflowPunct/>
        <w:topLinePunct w:val="0"/>
        <w:autoSpaceDE/>
        <w:autoSpaceDN/>
        <w:bidi w:val="0"/>
        <w:snapToGrid/>
        <w:spacing w:line="600" w:lineRule="exact"/>
        <w:ind w:firstLine="600" w:firstLineChars="200"/>
        <w:jc w:val="both"/>
        <w:rPr>
          <w:rFonts w:ascii="仿宋_GB2312" w:eastAsia="仿宋_GB2312" w:hAnsi="Times New Roman" w:cs="Times New Roman" w:hint="default"/>
          <w:sz w:val="30"/>
          <w:szCs w:val="30"/>
          <w:highlight w:val="none"/>
          <w:lang w:val="en-US" w:eastAsia="zh-CN"/>
        </w:rPr>
        <w:sectPr>
          <w:footerReference w:type="default" r:id="rId6"/>
          <w:pgSz w:w="11906" w:h="16838"/>
          <w:pgMar w:top="1440" w:right="1800" w:bottom="1440" w:left="1800" w:header="851" w:footer="992" w:gutter="0"/>
          <w:pgNumType w:start="1"/>
          <w:cols w:num="1" w:space="720"/>
          <w:docGrid w:type="lines" w:linePitch="312" w:charSpace="0"/>
        </w:sectPr>
      </w:pPr>
      <w:r>
        <w:rPr>
          <w:rFonts w:ascii="仿宋_GB2312" w:eastAsia="仿宋_GB2312" w:hAnsi="Times New Roman" w:cs="Times New Roman" w:hint="eastAsia"/>
          <w:sz w:val="30"/>
          <w:szCs w:val="30"/>
          <w:highlight w:val="none"/>
          <w:lang w:val="en-US" w:eastAsia="zh-CN"/>
        </w:rPr>
        <w:t>1.天津市津南区住房和建设服务中心2023年度国有资本经营预算财政拨款收入支出决算表为空表。</w:t>
      </w:r>
    </w:p>
    <w:p w14:paraId="2224BE62">
      <w:pPr>
        <w:pageBreakBefore w:val="0"/>
        <w:kinsoku/>
        <w:wordWrap/>
        <w:overflowPunct/>
        <w:topLinePunct w:val="0"/>
        <w:autoSpaceDE/>
        <w:autoSpaceDN/>
        <w:bidi w:val="0"/>
        <w:snapToGrid/>
        <w:spacing w:line="640" w:lineRule="exact"/>
        <w:jc w:val="center"/>
        <w:rPr>
          <w:rFonts w:eastAsia="黑体" w:hint="eastAsia"/>
          <w:sz w:val="30"/>
          <w:szCs w:val="30"/>
          <w:highlight w:val="none"/>
        </w:rPr>
      </w:pPr>
    </w:p>
    <w:p w14:paraId="79BC762B">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b w:val="0"/>
          <w:sz w:val="44"/>
          <w:szCs w:val="44"/>
          <w:highlight w:val="none"/>
        </w:rPr>
      </w:pPr>
      <w:bookmarkStart w:id="15" w:name="_Toc6548"/>
      <w:r>
        <w:rPr>
          <w:rFonts w:ascii="方正小标宋简体" w:eastAsia="方正小标宋简体" w:hAnsi="方正小标宋简体" w:cs="方正小标宋简体"/>
          <w:b w:val="0"/>
          <w:sz w:val="44"/>
          <w:szCs w:val="44"/>
          <w:highlight w:val="none"/>
        </w:rPr>
        <w:t>第</w:t>
      </w:r>
      <w:r>
        <w:rPr>
          <w:rFonts w:ascii="方正小标宋简体" w:eastAsia="方正小标宋简体" w:hAnsi="方正小标宋简体" w:cs="方正小标宋简体" w:hint="eastAsia"/>
          <w:b w:val="0"/>
          <w:sz w:val="44"/>
          <w:szCs w:val="44"/>
          <w:highlight w:val="none"/>
        </w:rPr>
        <w:t>三</w:t>
      </w:r>
      <w:r>
        <w:rPr>
          <w:rFonts w:ascii="方正小标宋简体" w:eastAsia="方正小标宋简体" w:hAnsi="方正小标宋简体" w:cs="方正小标宋简体"/>
          <w:b w:val="0"/>
          <w:sz w:val="44"/>
          <w:szCs w:val="44"/>
          <w:highlight w:val="none"/>
        </w:rPr>
        <w:t xml:space="preserve">部分  </w:t>
      </w:r>
      <w:r>
        <w:rPr>
          <w:rFonts w:ascii="方正小标宋简体" w:eastAsia="方正小标宋简体" w:hAnsi="方正小标宋简体" w:cs="方正小标宋简体" w:hint="eastAsia"/>
          <w:b w:val="0"/>
          <w:sz w:val="44"/>
          <w:szCs w:val="44"/>
          <w:highlight w:val="none"/>
          <w:lang w:eastAsia="zh-CN"/>
        </w:rPr>
        <w:t>202</w:t>
      </w:r>
      <w:r>
        <w:rPr>
          <w:rFonts w:ascii="方正小标宋简体" w:eastAsia="方正小标宋简体" w:hAnsi="方正小标宋简体" w:cs="方正小标宋简体" w:hint="eastAsia"/>
          <w:b w:val="0"/>
          <w:sz w:val="44"/>
          <w:szCs w:val="44"/>
          <w:highlight w:val="none"/>
          <w:lang w:val="en-US" w:eastAsia="zh-CN"/>
        </w:rPr>
        <w:t>3</w:t>
      </w:r>
      <w:r>
        <w:rPr>
          <w:rFonts w:ascii="方正小标宋简体" w:eastAsia="方正小标宋简体" w:hAnsi="方正小标宋简体" w:cs="方正小标宋简体"/>
          <w:b w:val="0"/>
          <w:sz w:val="44"/>
          <w:szCs w:val="44"/>
          <w:highlight w:val="none"/>
        </w:rPr>
        <w:t>年度部门决算</w:t>
      </w:r>
      <w:r>
        <w:rPr>
          <w:rFonts w:ascii="方正小标宋简体" w:eastAsia="方正小标宋简体" w:hAnsi="方正小标宋简体" w:cs="方正小标宋简体" w:hint="eastAsia"/>
          <w:b w:val="0"/>
          <w:sz w:val="44"/>
          <w:szCs w:val="44"/>
          <w:highlight w:val="none"/>
        </w:rPr>
        <w:t>情况</w:t>
      </w:r>
      <w:r>
        <w:rPr>
          <w:rFonts w:ascii="方正小标宋简体" w:eastAsia="方正小标宋简体" w:hAnsi="方正小标宋简体" w:cs="方正小标宋简体"/>
          <w:b w:val="0"/>
          <w:sz w:val="44"/>
          <w:szCs w:val="44"/>
          <w:highlight w:val="none"/>
        </w:rPr>
        <w:t>说明</w:t>
      </w:r>
      <w:bookmarkEnd w:id="15"/>
    </w:p>
    <w:p w14:paraId="7E86362F">
      <w:pPr>
        <w:pageBreakBefore w:val="0"/>
        <w:kinsoku/>
        <w:wordWrap/>
        <w:overflowPunct/>
        <w:topLinePunct w:val="0"/>
        <w:autoSpaceDE/>
        <w:autoSpaceDN/>
        <w:bidi w:val="0"/>
        <w:snapToGrid/>
        <w:spacing w:line="600" w:lineRule="exact"/>
        <w:ind w:firstLine="600" w:firstLineChars="200"/>
        <w:rPr>
          <w:rFonts w:ascii="黑体" w:eastAsia="黑体" w:hint="eastAsia"/>
          <w:sz w:val="30"/>
          <w:szCs w:val="30"/>
          <w:highlight w:val="none"/>
        </w:rPr>
      </w:pPr>
    </w:p>
    <w:p w14:paraId="033FFF87">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16" w:name="_Toc28044"/>
      <w:r>
        <w:rPr>
          <w:rFonts w:ascii="黑体" w:eastAsia="黑体" w:hAnsi="黑体" w:hint="eastAsia"/>
          <w:b w:val="0"/>
          <w:sz w:val="30"/>
          <w:szCs w:val="30"/>
          <w:highlight w:val="none"/>
        </w:rPr>
        <w:t>一、收入支出决算总体情况说明</w:t>
      </w:r>
      <w:bookmarkEnd w:id="16"/>
    </w:p>
    <w:p w14:paraId="7BA9BE3C">
      <w:pPr>
        <w:pageBreakBefore w:val="0"/>
        <w:kinsoku/>
        <w:wordWrap/>
        <w:overflowPunct/>
        <w:topLinePunct w:val="0"/>
        <w:autoSpaceDE/>
        <w:autoSpaceDN/>
        <w:bidi w:val="0"/>
        <w:snapToGrid/>
        <w:spacing w:line="600" w:lineRule="exact"/>
        <w:jc w:val="both"/>
        <w:rPr>
          <w:rFonts w:eastAsia="楷体_GB2312" w:hint="eastAsia"/>
          <w:b/>
          <w:sz w:val="30"/>
          <w:szCs w:val="30"/>
          <w:highlight w:val="none"/>
        </w:rPr>
      </w:pPr>
      <w:r>
        <w:rPr>
          <w:rFonts w:eastAsia="仿宋_GB2312" w:hint="eastAsia"/>
          <w:sz w:val="30"/>
          <w:szCs w:val="30"/>
          <w:highlight w:val="none"/>
        </w:rPr>
        <w:t xml:space="preserve">   </w:t>
      </w:r>
      <w:r>
        <w:rPr>
          <w:rFonts w:ascii="Times New Roman" w:eastAsia="仿宋_GB2312" w:hAnsi="Times New Roman" w:cs="Times New Roman" w:hint="eastAsia"/>
          <w:sz w:val="30"/>
          <w:szCs w:val="30"/>
          <w:highlight w:val="none"/>
        </w:rPr>
        <w:t xml:space="preserve"> </w:t>
      </w:r>
      <w:r>
        <w:rPr>
          <w:rFonts w:ascii="仿宋_GB2312" w:eastAsia="仿宋_GB2312" w:hAnsi="仿宋_GB2312" w:cs="仿宋_GB2312" w:hint="eastAsia"/>
          <w:sz w:val="30"/>
          <w:szCs w:val="30"/>
          <w:highlight w:val="none"/>
          <w:lang w:val="en-US" w:eastAsia="zh-CN"/>
        </w:rPr>
        <w:t>天津市津南区住房和建设服务中心2023年度收入、支出决算总计746,841,419.35元。与2022年度相比，收、支总计各增加189,235,658.75元，增长33.94%，主要原因是专项债券资金收支较上年度增加，造成收支总计增加。</w:t>
      </w:r>
    </w:p>
    <w:p w14:paraId="115E107A">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cs="仿宋_GB2312" w:hint="eastAsia"/>
          <w:b w:val="0"/>
          <w:sz w:val="30"/>
          <w:szCs w:val="30"/>
          <w:highlight w:val="none"/>
        </w:rPr>
      </w:pPr>
      <w:bookmarkStart w:id="17" w:name="_Toc12176"/>
      <w:r>
        <w:rPr>
          <w:rFonts w:ascii="黑体" w:eastAsia="黑体" w:hAnsi="黑体" w:cs="仿宋_GB2312" w:hint="eastAsia"/>
          <w:b w:val="0"/>
          <w:sz w:val="30"/>
          <w:szCs w:val="30"/>
          <w:highlight w:val="none"/>
        </w:rPr>
        <w:t>二、收入决算情况说明</w:t>
      </w:r>
      <w:bookmarkEnd w:id="17"/>
    </w:p>
    <w:p w14:paraId="27E464CD">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天津市津南区住房和建设服务中心2023年度本年收入合计265,877,442.76元。与2022年度相比减少291,728,317.84元，主要原因是专项债券资金收入较上年度大幅减少。其中：一般公共预算财政拨款收入81,877,442.76元，占30.80%；政府性基金预算财政拨款收入2,000,000.00元，占0.75%；其他收入182,000,000.00元，占68.45%。</w:t>
      </w:r>
    </w:p>
    <w:p w14:paraId="72BD76E2">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cs="仿宋_GB2312" w:hint="eastAsia"/>
          <w:b w:val="0"/>
          <w:sz w:val="30"/>
          <w:szCs w:val="30"/>
          <w:highlight w:val="none"/>
        </w:rPr>
      </w:pPr>
      <w:bookmarkStart w:id="18" w:name="_Toc31212"/>
      <w:r>
        <w:rPr>
          <w:rFonts w:ascii="黑体" w:eastAsia="黑体" w:hAnsi="黑体" w:cs="仿宋_GB2312" w:hint="eastAsia"/>
          <w:b w:val="0"/>
          <w:sz w:val="30"/>
          <w:szCs w:val="30"/>
          <w:highlight w:val="none"/>
        </w:rPr>
        <w:t>三、</w:t>
      </w:r>
      <w:r>
        <w:rPr>
          <w:rFonts w:ascii="黑体" w:eastAsia="黑体" w:hAnsi="黑体" w:cs="仿宋_GB2312"/>
          <w:b w:val="0"/>
          <w:sz w:val="30"/>
          <w:szCs w:val="30"/>
          <w:highlight w:val="none"/>
        </w:rPr>
        <w:t>支出</w:t>
      </w:r>
      <w:r>
        <w:rPr>
          <w:rFonts w:ascii="黑体" w:eastAsia="黑体" w:hAnsi="黑体" w:cs="仿宋_GB2312" w:hint="eastAsia"/>
          <w:b w:val="0"/>
          <w:sz w:val="30"/>
          <w:szCs w:val="30"/>
          <w:highlight w:val="none"/>
        </w:rPr>
        <w:t>决算</w:t>
      </w:r>
      <w:r>
        <w:rPr>
          <w:rFonts w:ascii="黑体" w:eastAsia="黑体" w:hAnsi="黑体" w:cs="仿宋_GB2312"/>
          <w:b w:val="0"/>
          <w:sz w:val="30"/>
          <w:szCs w:val="30"/>
          <w:highlight w:val="none"/>
        </w:rPr>
        <w:t>情况</w:t>
      </w:r>
      <w:r>
        <w:rPr>
          <w:rFonts w:ascii="黑体" w:eastAsia="黑体" w:hAnsi="黑体" w:cs="仿宋_GB2312" w:hint="eastAsia"/>
          <w:b w:val="0"/>
          <w:sz w:val="30"/>
          <w:szCs w:val="30"/>
          <w:highlight w:val="none"/>
        </w:rPr>
        <w:t>说明</w:t>
      </w:r>
      <w:bookmarkEnd w:id="18"/>
    </w:p>
    <w:p w14:paraId="014FC260">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天津市津南区住房和建设服务中心2023年度本年支出合计170,265,716.23元。与2022年度相比增加92,644,206.58元，主要原因是专项债券资金支出较上年度增加。其中：基本支出12,470,613.39元，占7.32%；项目支出157,795,102.84元，占92.68%。</w:t>
      </w:r>
    </w:p>
    <w:p w14:paraId="27F86E7C">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19" w:name="_Toc19211"/>
      <w:r>
        <w:rPr>
          <w:rFonts w:ascii="黑体" w:eastAsia="黑体" w:hAnsi="黑体" w:hint="eastAsia"/>
          <w:b w:val="0"/>
          <w:sz w:val="30"/>
          <w:szCs w:val="30"/>
          <w:highlight w:val="none"/>
        </w:rPr>
        <w:t>四、财政拨款收支决算总体情况说明</w:t>
      </w:r>
      <w:bookmarkEnd w:id="19"/>
    </w:p>
    <w:p w14:paraId="035EADBC">
      <w:pPr>
        <w:pageBreakBefore w:val="0"/>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仿宋_GB2312" w:cs="仿宋_GB2312" w:hint="eastAsia"/>
          <w:sz w:val="30"/>
          <w:szCs w:val="30"/>
          <w:highlight w:val="none"/>
          <w:lang w:val="en-US" w:eastAsia="zh-CN"/>
        </w:rPr>
        <w:t>天津市津南区住房和建设服务中心2023年度财政拨款收入、支出决算总计83,877,442.76元。与2022年度相比，财政拨款收、支总计各增加57,138,163.56元，增长213.69%，主要原因是2022年度政府性基金预算项目支出调整到2023年一般公共预算项目支出。</w:t>
      </w:r>
    </w:p>
    <w:p w14:paraId="64D91861">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20" w:name="_Toc25286"/>
      <w:r>
        <w:rPr>
          <w:rFonts w:ascii="黑体" w:eastAsia="黑体" w:hAnsi="黑体"/>
          <w:b w:val="0"/>
          <w:sz w:val="30"/>
          <w:szCs w:val="30"/>
          <w:highlight w:val="none"/>
        </w:rPr>
        <w:t>五</w:t>
      </w:r>
      <w:r>
        <w:rPr>
          <w:rFonts w:ascii="黑体" w:eastAsia="黑体" w:hAnsi="黑体" w:hint="eastAsia"/>
          <w:b w:val="0"/>
          <w:sz w:val="30"/>
          <w:szCs w:val="30"/>
          <w:highlight w:val="none"/>
        </w:rPr>
        <w:t>、</w:t>
      </w:r>
      <w:r>
        <w:rPr>
          <w:rFonts w:ascii="黑体" w:eastAsia="黑体" w:hAnsi="黑体"/>
          <w:b w:val="0"/>
          <w:sz w:val="30"/>
          <w:szCs w:val="30"/>
          <w:highlight w:val="none"/>
        </w:rPr>
        <w:t>一般公共预算财政拨款支出决算情况</w:t>
      </w:r>
      <w:r>
        <w:rPr>
          <w:rFonts w:ascii="黑体" w:eastAsia="黑体" w:hAnsi="黑体" w:hint="eastAsia"/>
          <w:b w:val="0"/>
          <w:sz w:val="30"/>
          <w:szCs w:val="30"/>
          <w:highlight w:val="none"/>
        </w:rPr>
        <w:t>说明</w:t>
      </w:r>
      <w:bookmarkEnd w:id="20"/>
    </w:p>
    <w:p w14:paraId="0D6DBCCF">
      <w:pPr>
        <w:pageBreakBefore w:val="0"/>
        <w:kinsoku/>
        <w:wordWrap/>
        <w:overflowPunct/>
        <w:topLinePunct w:val="0"/>
        <w:autoSpaceDE/>
        <w:autoSpaceDN/>
        <w:bidi w:val="0"/>
        <w:snapToGrid/>
        <w:spacing w:line="600" w:lineRule="exact"/>
        <w:ind w:left="480" w:leftChars="200"/>
        <w:rPr>
          <w:rFonts w:ascii="楷体" w:eastAsia="楷体" w:hAnsi="楷体" w:cs="仿宋_GB2312" w:hint="eastAsia"/>
          <w:b/>
          <w:sz w:val="30"/>
          <w:szCs w:val="30"/>
          <w:highlight w:val="none"/>
        </w:rPr>
      </w:pPr>
      <w:r>
        <w:rPr>
          <w:rFonts w:ascii="楷体" w:eastAsia="楷体" w:hAnsi="楷体" w:cs="仿宋_GB2312" w:hint="eastAsia"/>
          <w:b/>
          <w:sz w:val="30"/>
          <w:szCs w:val="30"/>
          <w:highlight w:val="none"/>
        </w:rPr>
        <w:t>（一）总体情况</w:t>
      </w:r>
    </w:p>
    <w:p w14:paraId="2CCD4E54">
      <w:pPr>
        <w:pageBreakBefore w:val="0"/>
        <w:kinsoku/>
        <w:wordWrap/>
        <w:overflowPunct/>
        <w:topLinePunct w:val="0"/>
        <w:autoSpaceDE/>
        <w:autoSpaceDN/>
        <w:bidi w:val="0"/>
        <w:snapToGrid/>
        <w:spacing w:line="600" w:lineRule="exact"/>
        <w:ind w:firstLine="600" w:firstLineChars="200"/>
        <w:jc w:val="both"/>
        <w:rPr>
          <w:rFonts w:eastAsia="楷体_GB2312" w:hint="eastAsia"/>
          <w:b/>
          <w:sz w:val="30"/>
          <w:szCs w:val="30"/>
          <w:highlight w:val="none"/>
        </w:rPr>
      </w:pPr>
      <w:r>
        <w:rPr>
          <w:rFonts w:ascii="仿宋_GB2312" w:eastAsia="仿宋_GB2312" w:hAnsi="仿宋_GB2312" w:cs="仿宋_GB2312" w:hint="eastAsia"/>
          <w:sz w:val="30"/>
          <w:szCs w:val="30"/>
          <w:highlight w:val="none"/>
          <w:lang w:val="en-US" w:eastAsia="zh-CN"/>
        </w:rPr>
        <w:t>天津市津南区住房和建设服务中心2023年度部门决算一般公共预算财政拨款支出合计81,863,170.26元，占本年支出合计的97.62%。与2022年度相比，一般公共预算财政拨款支出增加55,125,090.06元，增长206.17%，主要原因是2022年度政府性基金预算项目收入调整到2023年一般公共预算项目收入。</w:t>
      </w:r>
    </w:p>
    <w:p w14:paraId="6DC3EBD7">
      <w:pPr>
        <w:pageBreakBefore w:val="0"/>
        <w:kinsoku/>
        <w:wordWrap/>
        <w:overflowPunct/>
        <w:topLinePunct w:val="0"/>
        <w:autoSpaceDE/>
        <w:autoSpaceDN/>
        <w:bidi w:val="0"/>
        <w:snapToGrid/>
        <w:spacing w:line="600" w:lineRule="exact"/>
        <w:ind w:firstLine="600" w:firstLineChars="200"/>
        <w:rPr>
          <w:rFonts w:ascii="楷体" w:eastAsia="楷体" w:hAnsi="楷体" w:cs="仿宋_GB2312" w:hint="eastAsia"/>
          <w:b/>
          <w:sz w:val="30"/>
          <w:szCs w:val="30"/>
          <w:highlight w:val="none"/>
        </w:rPr>
      </w:pPr>
      <w:r>
        <w:rPr>
          <w:rFonts w:ascii="楷体" w:eastAsia="楷体" w:hAnsi="楷体" w:cs="仿宋_GB2312" w:hint="eastAsia"/>
          <w:b/>
          <w:sz w:val="30"/>
          <w:szCs w:val="30"/>
          <w:highlight w:val="none"/>
        </w:rPr>
        <w:t>（二）支出结构情况</w:t>
      </w:r>
    </w:p>
    <w:p w14:paraId="4FE5B959">
      <w:pPr>
        <w:pageBreakBefore w:val="0"/>
        <w:kinsoku/>
        <w:wordWrap/>
        <w:overflowPunct/>
        <w:topLinePunct w:val="0"/>
        <w:autoSpaceDE/>
        <w:autoSpaceDN/>
        <w:bidi w:val="0"/>
        <w:snapToGrid/>
        <w:spacing w:line="600" w:lineRule="exact"/>
        <w:ind w:firstLine="600" w:firstLineChars="200"/>
        <w:jc w:val="both"/>
        <w:rPr>
          <w:rFonts w:eastAsia="仿宋_GB2312" w:hint="eastAsia"/>
          <w:sz w:val="30"/>
          <w:szCs w:val="30"/>
          <w:highlight w:val="none"/>
        </w:rPr>
      </w:pPr>
      <w:r>
        <w:rPr>
          <w:rFonts w:ascii="仿宋_GB2312" w:eastAsia="仿宋_GB2312" w:hAnsi="仿宋_GB2312" w:cs="仿宋_GB2312" w:hint="eastAsia"/>
          <w:sz w:val="30"/>
          <w:szCs w:val="30"/>
          <w:highlight w:val="none"/>
          <w:lang w:val="en-US" w:eastAsia="zh-CN"/>
        </w:rPr>
        <w:t>2023年度一般公共预算财政拨款支出81,863,170.26元，主要用于以下方面：</w:t>
        <w:br/>
        <w:t>　　一般公共服务支出（类）支出9,865,873.52元，占12.05%；</w:t>
        <w:br/>
        <w:t>　　社会保障和就业支出（类）支出837,944.40元，占1.02%；</w:t>
        <w:br/>
        <w:t>　　卫生健康支出（类）支出420,965.50元，占0.51%；</w:t>
        <w:br/>
        <w:t>　　城乡社区支出（类）支出69,940,580.84元，占85.44%；</w:t>
        <w:br/>
        <w:t>　　住房保障支出（类）支出527,806.00元，占0.64%；</w:t>
        <w:br/>
        <w:t>　　债务付息支出（类）支出270,000.00元，占0.33%。</w:t>
      </w:r>
    </w:p>
    <w:p w14:paraId="25EC0BDB">
      <w:pPr>
        <w:pageBreakBefore w:val="0"/>
        <w:numPr>
          <w:ilvl w:val="0"/>
          <w:numId w:val="1"/>
        </w:numPr>
        <w:kinsoku/>
        <w:wordWrap/>
        <w:overflowPunct/>
        <w:topLinePunct w:val="0"/>
        <w:autoSpaceDE/>
        <w:autoSpaceDN/>
        <w:bidi w:val="0"/>
        <w:snapToGrid/>
        <w:spacing w:line="600" w:lineRule="exact"/>
        <w:ind w:firstLine="600" w:firstLineChars="200"/>
        <w:rPr>
          <w:rFonts w:ascii="楷体" w:eastAsia="楷体" w:hAnsi="楷体" w:cs="仿宋_GB2312"/>
          <w:b/>
          <w:sz w:val="30"/>
          <w:szCs w:val="30"/>
          <w:highlight w:val="none"/>
        </w:rPr>
      </w:pPr>
      <w:r>
        <w:rPr>
          <w:rFonts w:ascii="楷体" w:eastAsia="楷体" w:hAnsi="楷体" w:cs="仿宋_GB2312"/>
          <w:b/>
          <w:sz w:val="30"/>
          <w:szCs w:val="30"/>
          <w:highlight w:val="none"/>
        </w:rPr>
        <w:t>具体情况</w:t>
      </w:r>
    </w:p>
    <w:p w14:paraId="0502470A">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rPr>
      </w:pPr>
      <w:r>
        <w:rPr>
          <w:rFonts w:ascii="仿宋_GB2312" w:eastAsia="仿宋_GB2312" w:hAnsi="仿宋_GB2312" w:cs="仿宋_GB2312" w:hint="eastAsia"/>
          <w:sz w:val="30"/>
          <w:szCs w:val="30"/>
          <w:highlight w:val="none"/>
          <w:lang w:val="en-US" w:eastAsia="zh-CN"/>
        </w:rPr>
        <w:t>2023年度一般公共预算财政拨款支出年初预算为12,666,408.51元，支出决算为81,863,170.26元，完成年初预算的646.30%。其中：</w:t>
        <w:br/>
        <w:t>　　1.一般公共服务支出（类）政府办公厅（室）及相关机构事务（款）事业运行（项）年初预算为11543888.79元，支出决算为10683897.49元，完成年初预算的92.55%，决算数小于年初预算数的主要原因是新增退休人员，人员经费和公用经费减少。</w:t>
        <w:br/>
        <w:t>　　2.社会保障和就业支出（类）行政事业单位养老支出（款）机关事业单位基本养老保险缴费支出（项）年初预算为580419.84元，支出决算为558,629.60元，完成年初预算的96.25%，决算数小于年初预算数的主要原因是新增退休人员，缴纳养老保险减少。</w:t>
        <w:br/>
        <w:t>　　3.社会保障和就业支出（类）行政事业单位养老支出（款）机关事业单位职业年金缴费支出（项）年初预算为290209.92元，支出决算为279,314.80元，完成年初预算的96.25%，决算数小于年初预算数的主要原因是新增退休人员，缴纳职业年金减少。</w:t>
        <w:br/>
        <w:t>　　4.卫生健康支出（类）行政事业单位医疗（款）事业单位医疗（项）年初预算为380901.96元，支出决算为346,215.50元，完成年初预算的90.89%，决算数小于年初预算数的主要原因是新增退休人员，缴纳医疗保险减少。</w:t>
        <w:br/>
        <w:t>　　5.卫生健康支出（类）行政事业单位医疗（款）其他行政事业单位医疗支出（项）年初预算为78000元，支出决算为74,750.00元，完成年初预算的95.83%，决算数小于年初预算数的主要原因是补充医疗保险实际缴纳标准低于保险公司报价，经费减少。</w:t>
        <w:br/>
        <w:t>　　6.城乡社区支出（类）城乡社区管理事务（款）其他城乡社区管理事务支出（项）年初预算为500000元，支出决算为500,000.00元，完成年初预算的100%。</w:t>
        <w:br/>
        <w:t>　　7.城乡社区支出（类）城乡社区公共设施（款）其他城乡社区公共设施支出（项）年初预算为62065410.14元，支出决算为69,440,580.84元，完成年初预算的112%，决算数大于年初预算数的主要原因是辛庄镇2.6平方公里平衡地块配套二期项目中途调增预算。</w:t>
        <w:br/>
        <w:t>　　8.住房保障支出（类）住房改革支出（款）住房公积金（项）年初预算为534768元，支出决算为527,806.00元，完成年初预算的98.70%，决算数小于年初预算数的主要原因是新增退休人员，缴纳公积金减少。</w:t>
        <w:br/>
        <w:t>　　9.债务付息支出（类）地方政府一般债务付息支出（款）地方政府一般债券付息支出（项）年初预算为270000元，支出决算为270,000.00元，完成年初预算的100%。</w:t>
      </w:r>
    </w:p>
    <w:p w14:paraId="36C75B1F">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1" w:name="_Toc26433"/>
      <w:r>
        <w:rPr>
          <w:rFonts w:ascii="黑体" w:eastAsia="黑体" w:hAnsi="黑体"/>
          <w:b w:val="0"/>
          <w:sz w:val="30"/>
          <w:szCs w:val="30"/>
          <w:highlight w:val="none"/>
        </w:rPr>
        <w:t>六、一般公共预算财政拨款基本支出决算情况</w:t>
      </w:r>
      <w:r>
        <w:rPr>
          <w:rFonts w:ascii="黑体" w:eastAsia="黑体" w:hAnsi="黑体" w:hint="eastAsia"/>
          <w:b w:val="0"/>
          <w:sz w:val="30"/>
          <w:szCs w:val="30"/>
          <w:highlight w:val="none"/>
          <w:lang w:eastAsia="zh-CN"/>
        </w:rPr>
        <w:t>说明</w:t>
      </w:r>
      <w:bookmarkEnd w:id="21"/>
    </w:p>
    <w:p w14:paraId="69C6373B">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rPr>
      </w:pPr>
      <w:r>
        <w:rPr>
          <w:rFonts w:ascii="仿宋_GB2312" w:eastAsia="仿宋_GB2312" w:hAnsi="仿宋_GB2312" w:cs="仿宋_GB2312" w:hint="eastAsia"/>
          <w:sz w:val="30"/>
          <w:szCs w:val="30"/>
          <w:highlight w:val="none"/>
          <w:lang w:val="en-US" w:eastAsia="zh-CN"/>
        </w:rPr>
        <w:t>天津市津南区住房和建设服务中心2023年度部门决算一般公共预算财政拨款基本支出合计11,652,589.42元，与2022年度相比增加515,989.22元，主要原因是由于人员变动，工资调增。其中：</w:t>
        <w:br/>
        <w:t>　　人员经费10,261,539.74元，主要包括基本工资、津贴补贴、奖金、绩效工资、机关事业单位养老保险缴费、职业年金缴费、职工基本医疗保险缴费、其他社会保障缴费、住房公积金、其他工资福利支出、退休费；</w:t>
        <w:br/>
        <w:t>　　公用经费1,391,049.68元，主要包括办公费、咨询费、手续费、水费、电费、邮电费、取暖费、差旅费、租赁费、培训费、工会经费、福利费、公务用车运行维护费、其他交通费用、办公设备购置。</w:t>
      </w:r>
    </w:p>
    <w:p w14:paraId="32521B65">
      <w:pPr>
        <w:pStyle w:val="Heading2"/>
        <w:pageBreakBefore w:val="0"/>
        <w:kinsoku/>
        <w:wordWrap/>
        <w:overflowPunct/>
        <w:topLinePunct w:val="0"/>
        <w:autoSpaceDE/>
        <w:autoSpaceDN/>
        <w:bidi w:val="0"/>
        <w:snapToGrid/>
        <w:spacing w:before="0" w:after="0" w:line="600" w:lineRule="exact"/>
        <w:ind w:firstLine="600" w:firstLineChars="200"/>
        <w:rPr>
          <w:rFonts w:ascii="楷体" w:eastAsia="楷体" w:hAnsi="楷体" w:cs="仿宋_GB2312" w:hint="eastAsia"/>
          <w:b w:val="0"/>
          <w:sz w:val="30"/>
          <w:szCs w:val="30"/>
          <w:highlight w:val="none"/>
        </w:rPr>
      </w:pPr>
      <w:bookmarkStart w:id="22" w:name="_Toc28665"/>
      <w:r>
        <w:rPr>
          <w:rFonts w:ascii="黑体" w:eastAsia="黑体" w:hAnsi="黑体" w:hint="eastAsia"/>
          <w:b w:val="0"/>
          <w:sz w:val="30"/>
          <w:szCs w:val="30"/>
          <w:highlight w:val="none"/>
          <w:lang w:eastAsia="zh-CN"/>
        </w:rPr>
        <w:t>七</w:t>
      </w:r>
      <w:r>
        <w:rPr>
          <w:rFonts w:ascii="黑体" w:eastAsia="黑体" w:hAnsi="黑体"/>
          <w:b w:val="0"/>
          <w:sz w:val="30"/>
          <w:szCs w:val="30"/>
          <w:highlight w:val="none"/>
        </w:rPr>
        <w:t>、政府性基金预算财政拨款</w:t>
      </w:r>
      <w:r>
        <w:rPr>
          <w:rFonts w:ascii="黑体" w:eastAsia="黑体" w:hAnsi="黑体" w:hint="eastAsia"/>
          <w:b w:val="0"/>
          <w:sz w:val="30"/>
          <w:szCs w:val="30"/>
          <w:highlight w:val="none"/>
        </w:rPr>
        <w:t>收支决算</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2"/>
    </w:p>
    <w:p w14:paraId="1B334BE6">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sz w:val="30"/>
          <w:szCs w:val="30"/>
          <w:highlight w:val="none"/>
        </w:rPr>
      </w:pPr>
      <w:r>
        <w:rPr>
          <w:rFonts w:ascii="仿宋_GB2312" w:eastAsia="仿宋_GB2312" w:hAnsi="仿宋_GB2312" w:cs="仿宋_GB2312" w:hint="eastAsia"/>
          <w:sz w:val="30"/>
          <w:szCs w:val="30"/>
          <w:highlight w:val="none"/>
          <w:lang w:val="en-US" w:eastAsia="zh-CN"/>
        </w:rPr>
        <w:t>天津市津南区住房和建设服务中心2023年度部门决算政府性基金预算财政拨款年初结转和结余0.00元，收入2,000,000.00元，支出2,000,000.00元，年末结转和结余0.00元。与2022年度相比，政府性基金预算财政拨款支出增加2,000,000.00元，主要原因是为蓟汕高速偿还高速借款项目支出。</w:t>
      </w:r>
    </w:p>
    <w:p w14:paraId="1925F1C1">
      <w:pPr>
        <w:pStyle w:val="Heading2"/>
        <w:pageBreakBefore w:val="0"/>
        <w:kinsoku/>
        <w:wordWrap/>
        <w:overflowPunct/>
        <w:topLinePunct w:val="0"/>
        <w:autoSpaceDE/>
        <w:autoSpaceDN/>
        <w:bidi w:val="0"/>
        <w:snapToGrid/>
        <w:spacing w:before="0" w:after="0" w:line="600" w:lineRule="exact"/>
        <w:ind w:firstLine="600" w:firstLineChars="200"/>
        <w:rPr>
          <w:rFonts w:eastAsia="黑体" w:hint="eastAsia"/>
          <w:b w:val="0"/>
          <w:sz w:val="30"/>
          <w:szCs w:val="30"/>
          <w:highlight w:val="none"/>
        </w:rPr>
      </w:pPr>
      <w:bookmarkStart w:id="23" w:name="_Toc26562"/>
      <w:r>
        <w:rPr>
          <w:rFonts w:eastAsia="黑体" w:hint="eastAsia"/>
          <w:b w:val="0"/>
          <w:sz w:val="30"/>
          <w:szCs w:val="30"/>
          <w:highlight w:val="none"/>
          <w:lang w:eastAsia="zh-CN"/>
        </w:rPr>
        <w:t>八</w:t>
      </w:r>
      <w:r>
        <w:rPr>
          <w:rFonts w:eastAsia="黑体" w:hint="eastAsia"/>
          <w:b w:val="0"/>
          <w:sz w:val="30"/>
          <w:szCs w:val="30"/>
          <w:highlight w:val="none"/>
        </w:rPr>
        <w:t>、国有资本经营预算财政拨款收支决算情况</w:t>
      </w:r>
      <w:r>
        <w:rPr>
          <w:rFonts w:ascii="黑体" w:eastAsia="黑体" w:hAnsi="黑体" w:hint="eastAsia"/>
          <w:b w:val="0"/>
          <w:bCs w:val="0"/>
          <w:sz w:val="30"/>
          <w:szCs w:val="30"/>
          <w:highlight w:val="none"/>
          <w:lang w:eastAsia="zh-CN"/>
        </w:rPr>
        <w:t>说明</w:t>
      </w:r>
      <w:bookmarkEnd w:id="23"/>
    </w:p>
    <w:p w14:paraId="48023ADA">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sz w:val="30"/>
          <w:szCs w:val="30"/>
          <w:highlight w:val="none"/>
        </w:rPr>
      </w:pPr>
      <w:r>
        <w:rPr>
          <w:rFonts w:ascii="仿宋_GB2312" w:eastAsia="仿宋_GB2312" w:hAnsi="仿宋_GB2312" w:cs="仿宋_GB2312" w:hint="eastAsia"/>
          <w:sz w:val="30"/>
          <w:szCs w:val="30"/>
          <w:highlight w:val="none"/>
          <w:lang w:val="en-US" w:eastAsia="zh-CN"/>
        </w:rPr>
        <w:t>天津市津南区住房和建设服务中心2023年度无国有资本经营预算财政拨款收入、支出和结转结余。</w:t>
      </w:r>
    </w:p>
    <w:p w14:paraId="4AA74E2A">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4" w:name="_Toc3397"/>
      <w:r>
        <w:rPr>
          <w:rFonts w:ascii="黑体" w:eastAsia="黑体" w:hAnsi="黑体" w:hint="eastAsia"/>
          <w:b w:val="0"/>
          <w:sz w:val="30"/>
          <w:szCs w:val="30"/>
          <w:highlight w:val="none"/>
          <w:lang w:eastAsia="zh-CN"/>
        </w:rPr>
        <w:t>九</w:t>
      </w:r>
      <w:r>
        <w:rPr>
          <w:rFonts w:ascii="黑体" w:eastAsia="黑体" w:hAnsi="黑体" w:hint="eastAsia"/>
          <w:b w:val="0"/>
          <w:sz w:val="30"/>
          <w:szCs w:val="30"/>
          <w:highlight w:val="none"/>
        </w:rPr>
        <w:t>、</w:t>
      </w:r>
      <w:r>
        <w:rPr>
          <w:rFonts w:ascii="黑体" w:eastAsia="黑体" w:hAnsi="黑体"/>
          <w:b w:val="0"/>
          <w:sz w:val="30"/>
          <w:szCs w:val="30"/>
          <w:highlight w:val="none"/>
        </w:rPr>
        <w:t>财政拨款“三公”经费</w:t>
      </w:r>
      <w:r>
        <w:rPr>
          <w:rFonts w:ascii="黑体" w:eastAsia="黑体" w:hAnsi="黑体" w:hint="eastAsia"/>
          <w:b w:val="0"/>
          <w:sz w:val="30"/>
          <w:szCs w:val="30"/>
          <w:highlight w:val="none"/>
        </w:rPr>
        <w:t>支出决算</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4"/>
    </w:p>
    <w:p w14:paraId="36A8B7BB">
      <w:pPr>
        <w:pageBreakBefore w:val="0"/>
        <w:kinsoku/>
        <w:wordWrap/>
        <w:overflowPunct/>
        <w:topLinePunct w:val="0"/>
        <w:autoSpaceDE/>
        <w:autoSpaceDN/>
        <w:bidi w:val="0"/>
        <w:snapToGrid/>
        <w:spacing w:line="600" w:lineRule="exact"/>
        <w:ind w:firstLine="600" w:firstLineChars="200"/>
        <w:jc w:val="both"/>
        <w:rPr>
          <w:rFonts w:ascii="楷体" w:eastAsia="楷体" w:hAnsi="楷体" w:cs="楷体" w:hint="eastAsia"/>
          <w:b/>
          <w:bCs/>
          <w:sz w:val="30"/>
          <w:szCs w:val="30"/>
          <w:highlight w:val="none"/>
          <w:lang w:eastAsia="zh-CN"/>
        </w:rPr>
      </w:pPr>
      <w:r>
        <w:rPr>
          <w:rFonts w:ascii="楷体" w:eastAsia="楷体" w:hAnsi="楷体" w:cs="楷体" w:hint="eastAsia"/>
          <w:b/>
          <w:bCs/>
          <w:sz w:val="30"/>
          <w:szCs w:val="30"/>
          <w:highlight w:val="none"/>
          <w:lang w:eastAsia="zh-CN"/>
        </w:rPr>
        <w:t>（一）总体情况</w:t>
      </w:r>
    </w:p>
    <w:p w14:paraId="67092F27">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2023年财政拨款“三公”经费预算15,409.60元，支出决算15,409.60元（去年同期5,807.67元），支出决算与2023年预算相比持平，完成预算的100.00%；支出决算较上年增加9,601.93元，增长165.33%。决算数与预算数相比持平的主要原因是年内未执行完的“三公”经费预算在年末核减。决算数较上年增加的主要原因是由于业务科室巡查等工作量增加，本年度增加车辆燃油费用约9000元。</w:t>
      </w:r>
    </w:p>
    <w:p w14:paraId="7A19286E">
      <w:pPr>
        <w:pageBreakBefore w:val="0"/>
        <w:kinsoku/>
        <w:wordWrap/>
        <w:overflowPunct/>
        <w:topLinePunct w:val="0"/>
        <w:autoSpaceDE/>
        <w:autoSpaceDN/>
        <w:bidi w:val="0"/>
        <w:snapToGrid/>
        <w:spacing w:line="600" w:lineRule="exact"/>
        <w:ind w:firstLine="600" w:firstLineChars="200"/>
        <w:rPr>
          <w:rFonts w:ascii="楷体" w:eastAsia="楷体" w:hAnsi="楷体" w:cs="楷体" w:hint="eastAsia"/>
          <w:b/>
          <w:bCs/>
          <w:sz w:val="30"/>
          <w:szCs w:val="30"/>
          <w:highlight w:val="none"/>
          <w:lang w:eastAsia="zh-CN"/>
        </w:rPr>
      </w:pPr>
      <w:r>
        <w:rPr>
          <w:rFonts w:ascii="楷体" w:eastAsia="楷体" w:hAnsi="楷体" w:cs="楷体" w:hint="eastAsia"/>
          <w:b/>
          <w:bCs/>
          <w:sz w:val="30"/>
          <w:szCs w:val="30"/>
          <w:highlight w:val="none"/>
          <w:lang w:eastAsia="zh-CN"/>
        </w:rPr>
        <w:t>（二）具体情况</w:t>
      </w:r>
    </w:p>
    <w:p w14:paraId="0267BA7D">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1.因公出国（境）费预算0.00元，支出决算0.00元（去年同期0.00元），支出决算与2023年预算相比持平；支出决算较上年持平。因本年及去年同期均未使用财政拨款列支因公出国（境）费，故本年支出决算与本年预算、上年支出决算均持平为0。</w:t>
        <w:br/>
        <w:t>　　2023年本单位组织的出国团组0个，出国0人次。</w:t>
      </w:r>
    </w:p>
    <w:p w14:paraId="4F87161F">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2.公务用车购置及运行维护费预算15,409.60元，支出决算15,409.60元（去年同期5,807.67元），支出决算与2023年预算相比持平，完成预算的100.00%；支出决算较上年增加9,601.93元，增长165.33%。决算数与预算数相比持平的主要原因是年内未执行完的公务用车购置及运行维护费预算在年末核减。决算数较上年增加的主要原因是其中：</w:t>
        <w:br/>
        <w:t>　　公务用车运行维护费预算15,409.60元，支出决算15,409.60元（去年同期5,807.67元），支出决算与2023年预算相比持平，完成预算的100.00%；支出决算较上年增加9,601.93元，增长165.33%。决算数与预算数相比持平的主要原因是年内未执行完的公务用车运行维护费预算在年末核减。决算数较上年增加的主要原因是由于业务科室巡查等工作量增加，本年度增加车辆燃油费用约9000元。截至2023年12月31日，使用财政拨款开支运行维护费的公务用车保有量为1辆。</w:t>
        <w:br/>
        <w:t>　　公务用车购置费预算0.00元，支出决算0.00元（去年同期0.00元），支出决算与2023年预算相比持平；支出决算较上年持平。因本年及去年同期均未使用财政拨款列支公务用车购置费，故本年支出决算与本年预算、上年支出决算均持平为0。2023年购置公务用车0辆。</w:t>
      </w:r>
    </w:p>
    <w:p w14:paraId="1B2104BE">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3.公务接待费预算0.00元，支出决算0.00元（去年同期0.00元），支出决算与2023年预算相比持平；支出决算较上年持平。因本年及去年同期均未使用财政拨款列支公务接待费，故本年支出决算与本年预算、上年支出决算均持平为0。2023年本单位国内公务接待0批次，0人次；其中，外事接待0批次，0人次。</w:t>
      </w:r>
    </w:p>
    <w:p w14:paraId="4096F305">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5" w:name="_Toc28180"/>
      <w:r>
        <w:rPr>
          <w:rFonts w:ascii="黑体" w:eastAsia="黑体" w:hAnsi="黑体" w:hint="eastAsia"/>
          <w:b w:val="0"/>
          <w:sz w:val="30"/>
          <w:szCs w:val="30"/>
          <w:highlight w:val="none"/>
        </w:rPr>
        <w:t>十、</w:t>
      </w:r>
      <w:r>
        <w:rPr>
          <w:rFonts w:ascii="黑体" w:eastAsia="黑体" w:hAnsi="黑体"/>
          <w:b w:val="0"/>
          <w:sz w:val="30"/>
          <w:szCs w:val="30"/>
          <w:highlight w:val="none"/>
        </w:rPr>
        <w:t>机关运行经费</w:t>
      </w:r>
      <w:r>
        <w:rPr>
          <w:rFonts w:ascii="黑体" w:eastAsia="黑体" w:hAnsi="黑体" w:hint="eastAsia"/>
          <w:b w:val="0"/>
          <w:sz w:val="30"/>
          <w:szCs w:val="30"/>
          <w:highlight w:val="none"/>
        </w:rPr>
        <w:t>支出情况</w:t>
      </w:r>
      <w:r>
        <w:rPr>
          <w:rFonts w:ascii="黑体" w:eastAsia="黑体" w:hAnsi="黑体" w:hint="eastAsia"/>
          <w:b w:val="0"/>
          <w:bCs w:val="0"/>
          <w:sz w:val="30"/>
          <w:szCs w:val="30"/>
          <w:highlight w:val="none"/>
          <w:lang w:eastAsia="zh-CN"/>
        </w:rPr>
        <w:t>说明</w:t>
      </w:r>
      <w:bookmarkEnd w:id="25"/>
    </w:p>
    <w:p w14:paraId="58ACC37F">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天津市津南区住房和建设服务中心2023年度无机关运行经费。</w:t>
      </w:r>
    </w:p>
    <w:p w14:paraId="6BA0F1F2">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b w:val="0"/>
          <w:sz w:val="30"/>
          <w:szCs w:val="30"/>
          <w:highlight w:val="none"/>
        </w:rPr>
      </w:pPr>
      <w:bookmarkStart w:id="26" w:name="_Toc12238"/>
      <w:r>
        <w:rPr>
          <w:rFonts w:ascii="黑体" w:eastAsia="黑体" w:hAnsi="黑体" w:hint="eastAsia"/>
          <w:b w:val="0"/>
          <w:sz w:val="30"/>
          <w:szCs w:val="30"/>
          <w:highlight w:val="none"/>
        </w:rPr>
        <w:t>十</w:t>
      </w:r>
      <w:r>
        <w:rPr>
          <w:rFonts w:ascii="黑体" w:eastAsia="黑体" w:hAnsi="黑体" w:hint="eastAsia"/>
          <w:b w:val="0"/>
          <w:sz w:val="30"/>
          <w:szCs w:val="30"/>
          <w:highlight w:val="none"/>
          <w:lang w:eastAsia="zh-CN"/>
        </w:rPr>
        <w:t>一</w:t>
      </w:r>
      <w:r>
        <w:rPr>
          <w:rFonts w:ascii="黑体" w:eastAsia="黑体" w:hAnsi="黑体" w:hint="eastAsia"/>
          <w:b w:val="0"/>
          <w:sz w:val="30"/>
          <w:szCs w:val="30"/>
          <w:highlight w:val="none"/>
        </w:rPr>
        <w:t>、</w:t>
      </w:r>
      <w:r>
        <w:rPr>
          <w:rFonts w:ascii="黑体" w:eastAsia="黑体" w:hAnsi="黑体"/>
          <w:b w:val="0"/>
          <w:sz w:val="30"/>
          <w:szCs w:val="30"/>
          <w:highlight w:val="none"/>
        </w:rPr>
        <w:t>政府采购</w:t>
      </w:r>
      <w:r>
        <w:rPr>
          <w:rFonts w:ascii="黑体" w:eastAsia="黑体" w:hAnsi="黑体" w:hint="eastAsia"/>
          <w:b w:val="0"/>
          <w:sz w:val="30"/>
          <w:szCs w:val="30"/>
          <w:highlight w:val="none"/>
        </w:rPr>
        <w:t>支出</w:t>
      </w:r>
      <w:r>
        <w:rPr>
          <w:rFonts w:ascii="黑体" w:eastAsia="黑体" w:hAnsi="黑体"/>
          <w:b w:val="0"/>
          <w:sz w:val="30"/>
          <w:szCs w:val="30"/>
          <w:highlight w:val="none"/>
        </w:rPr>
        <w:t>情况</w:t>
      </w:r>
      <w:r>
        <w:rPr>
          <w:rFonts w:ascii="黑体" w:eastAsia="黑体" w:hAnsi="黑体" w:hint="eastAsia"/>
          <w:b w:val="0"/>
          <w:bCs w:val="0"/>
          <w:sz w:val="30"/>
          <w:szCs w:val="30"/>
          <w:highlight w:val="none"/>
          <w:lang w:eastAsia="zh-CN"/>
        </w:rPr>
        <w:t>说明</w:t>
      </w:r>
      <w:bookmarkEnd w:id="26"/>
    </w:p>
    <w:p w14:paraId="2B7763DA">
      <w:pPr>
        <w:pageBreakBefore w:val="0"/>
        <w:kinsoku/>
        <w:wordWrap/>
        <w:overflowPunct/>
        <w:topLinePunct w:val="0"/>
        <w:autoSpaceDE/>
        <w:autoSpaceDN/>
        <w:bidi w:val="0"/>
        <w:snapToGrid/>
        <w:spacing w:line="600" w:lineRule="exact"/>
        <w:ind w:firstLine="600" w:firstLineChars="200"/>
        <w:jc w:val="both"/>
        <w:rPr>
          <w:rFonts w:eastAsia="楷体"/>
          <w:sz w:val="30"/>
          <w:szCs w:val="30"/>
          <w:highlight w:val="none"/>
        </w:rPr>
      </w:pPr>
      <w:r>
        <w:rPr>
          <w:rFonts w:ascii="仿宋_GB2312" w:eastAsia="仿宋_GB2312" w:hAnsi="仿宋_GB2312" w:cs="仿宋_GB2312" w:hint="eastAsia"/>
          <w:sz w:val="30"/>
          <w:szCs w:val="30"/>
          <w:highlight w:val="none"/>
          <w:lang w:val="en-US" w:eastAsia="zh-CN"/>
        </w:rPr>
        <w:t>天津市津南区住房和建设服务中心2023年政府采购支出总额1,770,405.00元，其中：政府采购货物支出3,005.00元、政府采购工程支出1,767,400.00元、政府采购服务支出0.00元。授予中小企业合同金额1,770,405.00元，占政府采购支出总额的100.00%，其中：授予小微企业合同金额1,770,405.00元，占政府采购支出总额的100.00%；货物采购授予中小企业合同金额占货物支出金额的100.00%，工程采购授予中小企业合同金额占工程支出金额的100.00%，服务采购授予中小企业合同金额占服务支出金额的0.00%。</w:t>
      </w:r>
    </w:p>
    <w:p w14:paraId="37455A81">
      <w:pPr>
        <w:pStyle w:val="Heading2"/>
        <w:pageBreakBefore w:val="0"/>
        <w:kinsoku/>
        <w:wordWrap/>
        <w:overflowPunct/>
        <w:topLinePunct w:val="0"/>
        <w:autoSpaceDE/>
        <w:autoSpaceDN/>
        <w:bidi w:val="0"/>
        <w:snapToGrid/>
        <w:spacing w:before="0" w:after="0" w:line="600" w:lineRule="exact"/>
        <w:ind w:firstLine="600" w:firstLineChars="200"/>
        <w:rPr>
          <w:rFonts w:ascii="黑体" w:eastAsia="黑体" w:hAnsi="黑体" w:hint="eastAsia"/>
          <w:b w:val="0"/>
          <w:sz w:val="30"/>
          <w:szCs w:val="30"/>
          <w:highlight w:val="none"/>
        </w:rPr>
      </w:pPr>
      <w:bookmarkStart w:id="27" w:name="_Toc30109"/>
      <w:r>
        <w:rPr>
          <w:rFonts w:ascii="黑体" w:eastAsia="黑体" w:hAnsi="黑体" w:hint="eastAsia"/>
          <w:b w:val="0"/>
          <w:sz w:val="30"/>
          <w:szCs w:val="30"/>
          <w:highlight w:val="none"/>
        </w:rPr>
        <w:t>十</w:t>
      </w:r>
      <w:r>
        <w:rPr>
          <w:rFonts w:ascii="黑体" w:eastAsia="黑体" w:hAnsi="黑体" w:hint="eastAsia"/>
          <w:b w:val="0"/>
          <w:sz w:val="30"/>
          <w:szCs w:val="30"/>
          <w:highlight w:val="none"/>
          <w:lang w:eastAsia="zh-CN"/>
        </w:rPr>
        <w:t>二</w:t>
      </w:r>
      <w:r>
        <w:rPr>
          <w:rFonts w:ascii="黑体" w:eastAsia="黑体" w:hAnsi="黑体" w:hint="eastAsia"/>
          <w:b w:val="0"/>
          <w:sz w:val="30"/>
          <w:szCs w:val="30"/>
          <w:highlight w:val="none"/>
        </w:rPr>
        <w:t>、国有资产占有使用情况</w:t>
      </w:r>
      <w:r>
        <w:rPr>
          <w:rFonts w:ascii="黑体" w:eastAsia="黑体" w:hAnsi="黑体" w:hint="eastAsia"/>
          <w:b w:val="0"/>
          <w:bCs w:val="0"/>
          <w:sz w:val="30"/>
          <w:szCs w:val="30"/>
          <w:highlight w:val="none"/>
          <w:lang w:eastAsia="zh-CN"/>
        </w:rPr>
        <w:t>说明</w:t>
      </w:r>
      <w:bookmarkEnd w:id="27"/>
    </w:p>
    <w:p w14:paraId="688F01D0">
      <w:pPr>
        <w:pageBreakBefore w:val="0"/>
        <w:kinsoku/>
        <w:wordWrap/>
        <w:overflowPunct/>
        <w:topLinePunct w:val="0"/>
        <w:autoSpaceDE/>
        <w:autoSpaceDN/>
        <w:bidi w:val="0"/>
        <w:snapToGrid/>
        <w:spacing w:line="600" w:lineRule="exact"/>
        <w:ind w:firstLine="600" w:firstLineChars="200"/>
        <w:jc w:val="both"/>
        <w:rPr>
          <w:rFonts w:eastAsia="楷体"/>
          <w:sz w:val="30"/>
          <w:szCs w:val="30"/>
          <w:highlight w:val="none"/>
        </w:rPr>
      </w:pPr>
      <w:r>
        <w:rPr>
          <w:rFonts w:ascii="仿宋_GB2312" w:eastAsia="仿宋_GB2312" w:hAnsi="仿宋_GB2312" w:cs="仿宋_GB2312" w:hint="eastAsia"/>
          <w:sz w:val="30"/>
          <w:szCs w:val="30"/>
          <w:highlight w:val="none"/>
          <w:lang w:val="en-US" w:eastAsia="zh-CN"/>
        </w:rPr>
        <w:t>截至2023年12月31日，天津市津南区住房和建设服务中心共有车辆5辆，其中：副部（省）级及以上领导用车0辆、主要负责人用车0辆、机要通信用车0辆、应急保障用车0辆、执法执勤用车0辆、特种专业技术用车0辆、离退休干部用车0辆、其他用车5辆，其他用车主要包括本单位业务用车1辆，原南华设计院调拨4辆。单价100万元以上的设备0台（套）。</w:t>
      </w:r>
    </w:p>
    <w:p w14:paraId="196FFC43">
      <w:pPr>
        <w:pStyle w:val="Heading2"/>
        <w:pageBreakBefore w:val="0"/>
        <w:widowControl w:val="0"/>
        <w:numPr>
          <w:ilvl w:val="0"/>
          <w:numId w:val="2"/>
        </w:numPr>
        <w:kinsoku/>
        <w:wordWrap/>
        <w:overflowPunct/>
        <w:topLinePunct w:val="0"/>
        <w:autoSpaceDE/>
        <w:autoSpaceDN/>
        <w:bidi w:val="0"/>
        <w:adjustRightInd w:val="0"/>
        <w:snapToGrid/>
        <w:spacing w:before="0" w:after="0" w:line="540" w:lineRule="exact"/>
        <w:ind w:firstLine="600" w:firstLineChars="200"/>
        <w:textAlignment w:val="baseline"/>
        <w:rPr>
          <w:rFonts w:ascii="黑体" w:eastAsia="黑体" w:hAnsi="黑体" w:hint="eastAsia"/>
          <w:b w:val="0"/>
          <w:bCs w:val="0"/>
          <w:sz w:val="30"/>
          <w:szCs w:val="30"/>
          <w:highlight w:val="none"/>
        </w:rPr>
      </w:pPr>
      <w:bookmarkStart w:id="28" w:name="_Toc7408"/>
      <w:r>
        <w:rPr>
          <w:rFonts w:ascii="黑体" w:eastAsia="黑体" w:hAnsi="黑体" w:hint="eastAsia"/>
          <w:b w:val="0"/>
          <w:bCs w:val="0"/>
          <w:sz w:val="30"/>
          <w:szCs w:val="30"/>
          <w:highlight w:val="none"/>
        </w:rPr>
        <w:t>预算绩效情况说明</w:t>
      </w:r>
      <w:bookmarkEnd w:id="28"/>
    </w:p>
    <w:p w14:paraId="6949F8BB">
      <w:pPr>
        <w:pageBreakBefore w:val="0"/>
        <w:kinsoku/>
        <w:wordWrap/>
        <w:overflowPunct/>
        <w:topLinePunct w:val="0"/>
        <w:autoSpaceDE/>
        <w:autoSpaceDN/>
        <w:bidi w:val="0"/>
        <w:snapToGrid/>
        <w:spacing w:line="600" w:lineRule="exact"/>
        <w:ind w:firstLine="600" w:firstLineChars="200"/>
        <w:jc w:val="both"/>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根据预算绩效管理要求，天津市津南区住房和建设服务中心2023年度已对25个区级项目开展绩效自评，涉及金额152419910元，自评结果已随部门决算一并公开。</w:t>
      </w:r>
    </w:p>
    <w:p w14:paraId="48A05015">
      <w:pPr>
        <w:pStyle w:val="Heading2"/>
        <w:pageBreakBefore w:val="0"/>
        <w:widowControl w:val="0"/>
        <w:numPr>
          <w:ilvl w:val="0"/>
          <w:numId w:val="2"/>
        </w:numPr>
        <w:kinsoku/>
        <w:wordWrap/>
        <w:overflowPunct/>
        <w:topLinePunct w:val="0"/>
        <w:autoSpaceDE/>
        <w:autoSpaceDN/>
        <w:bidi w:val="0"/>
        <w:adjustRightInd w:val="0"/>
        <w:snapToGrid/>
        <w:spacing w:before="0" w:after="0" w:line="540" w:lineRule="exact"/>
        <w:ind w:firstLine="600" w:firstLineChars="200"/>
        <w:textAlignment w:val="baseline"/>
        <w:rPr>
          <w:rFonts w:ascii="黑体" w:eastAsia="黑体" w:hAnsi="黑体" w:hint="eastAsia"/>
          <w:b w:val="0"/>
          <w:bCs w:val="0"/>
          <w:sz w:val="30"/>
          <w:szCs w:val="30"/>
          <w:highlight w:val="none"/>
        </w:rPr>
      </w:pPr>
      <w:bookmarkStart w:id="29" w:name="_Toc12198"/>
      <w:r>
        <w:rPr>
          <w:rFonts w:ascii="黑体" w:eastAsia="黑体" w:hAnsi="黑体" w:hint="eastAsia"/>
          <w:b w:val="0"/>
          <w:bCs w:val="0"/>
          <w:sz w:val="30"/>
          <w:szCs w:val="30"/>
          <w:highlight w:val="none"/>
        </w:rPr>
        <w:t>教育、医疗卫生、社会保障和就业、住房保障、涉农补贴等民生支出情况</w:t>
      </w:r>
      <w:r>
        <w:rPr>
          <w:rFonts w:ascii="黑体" w:eastAsia="黑体" w:hAnsi="黑体" w:hint="eastAsia"/>
          <w:b w:val="0"/>
          <w:bCs w:val="0"/>
          <w:sz w:val="30"/>
          <w:szCs w:val="30"/>
          <w:highlight w:val="none"/>
          <w:lang w:eastAsia="zh-CN"/>
        </w:rPr>
        <w:t>说明</w:t>
      </w:r>
      <w:bookmarkEnd w:id="29"/>
    </w:p>
    <w:p w14:paraId="32BC4F5E">
      <w:pPr>
        <w:pageBreakBefore w:val="0"/>
        <w:kinsoku/>
        <w:wordWrap/>
        <w:overflowPunct/>
        <w:topLinePunct w:val="0"/>
        <w:autoSpaceDE/>
        <w:autoSpaceDN/>
        <w:bidi w:val="0"/>
        <w:snapToGrid/>
        <w:spacing w:line="600" w:lineRule="exact"/>
        <w:ind w:firstLine="600"/>
        <w:jc w:val="both"/>
        <w:rPr>
          <w:rFonts w:eastAsia="楷体"/>
          <w:b/>
          <w:bCs/>
          <w:color w:val="auto"/>
          <w:sz w:val="30"/>
          <w:szCs w:val="30"/>
          <w:highlight w:val="none"/>
        </w:rPr>
        <w:sectPr>
          <w:pgSz w:w="11906" w:h="16838"/>
          <w:pgMar w:top="1440" w:right="1800" w:bottom="1440" w:left="1800" w:header="851" w:footer="992" w:gutter="0"/>
          <w:cols w:num="1" w:space="720"/>
          <w:docGrid w:type="lines" w:linePitch="312" w:charSpace="0"/>
        </w:sectPr>
      </w:pPr>
      <w:r>
        <w:rPr>
          <w:rFonts w:ascii="仿宋_GB2312" w:eastAsia="仿宋_GB2312" w:hAnsi="仿宋_GB2312" w:cs="仿宋_GB2312" w:hint="eastAsia"/>
          <w:sz w:val="30"/>
          <w:szCs w:val="30"/>
          <w:highlight w:val="none"/>
          <w:lang w:val="en-US" w:eastAsia="zh-CN"/>
        </w:rPr>
        <w:t>天津市津南区住房和建设服务中心不属于乡、镇、街级单位，不涉及公开2023年度教育、医疗卫生、社会保障和就业、住房保障、涉农补贴等民生支出情况。</w:t>
      </w:r>
    </w:p>
    <w:p w14:paraId="2BFEB69B">
      <w:pPr>
        <w:pStyle w:val="Heading1"/>
        <w:pageBreakBefore w:val="0"/>
        <w:kinsoku/>
        <w:wordWrap/>
        <w:overflowPunct/>
        <w:topLinePunct w:val="0"/>
        <w:autoSpaceDE/>
        <w:autoSpaceDN/>
        <w:bidi w:val="0"/>
        <w:snapToGrid/>
        <w:spacing w:before="0" w:after="0" w:line="600" w:lineRule="exact"/>
        <w:jc w:val="center"/>
        <w:rPr>
          <w:rFonts w:ascii="方正小标宋简体" w:eastAsia="方正小标宋简体" w:hAnsi="方正小标宋简体" w:cs="方正小标宋简体" w:hint="eastAsia"/>
          <w:b w:val="0"/>
          <w:sz w:val="44"/>
          <w:szCs w:val="44"/>
          <w:highlight w:val="none"/>
        </w:rPr>
      </w:pPr>
      <w:bookmarkStart w:id="30" w:name="_Toc17573"/>
      <w:r>
        <w:rPr>
          <w:rFonts w:ascii="方正小标宋简体" w:eastAsia="方正小标宋简体" w:hAnsi="方正小标宋简体" w:cs="方正小标宋简体" w:hint="eastAsia"/>
          <w:b w:val="0"/>
          <w:sz w:val="44"/>
          <w:szCs w:val="44"/>
          <w:highlight w:val="none"/>
        </w:rPr>
        <w:t>第四部分  名词解释</w:t>
      </w:r>
      <w:bookmarkEnd w:id="30"/>
    </w:p>
    <w:p w14:paraId="2C06E5B6">
      <w:pPr>
        <w:pageBreakBefore w:val="0"/>
        <w:kinsoku/>
        <w:wordWrap/>
        <w:overflowPunct/>
        <w:topLinePunct w:val="0"/>
        <w:autoSpaceDE/>
        <w:autoSpaceDN/>
        <w:bidi w:val="0"/>
        <w:snapToGrid/>
        <w:spacing w:line="600" w:lineRule="exact"/>
        <w:ind w:firstLine="600" w:firstLineChars="200"/>
        <w:rPr>
          <w:rFonts w:ascii="仿宋_GB2312" w:eastAsia="仿宋_GB2312" w:hint="eastAsia"/>
          <w:sz w:val="30"/>
          <w:szCs w:val="30"/>
          <w:highlight w:val="none"/>
        </w:rPr>
      </w:pPr>
    </w:p>
    <w:p w14:paraId="65EDB0B7">
      <w:pPr>
        <w:pageBreakBefore w:val="0"/>
        <w:numPr>
          <w:ilvl w:val="0"/>
          <w:numId w:val="3"/>
        </w:numPr>
        <w:kinsoku/>
        <w:wordWrap/>
        <w:overflowPunct/>
        <w:topLinePunct w:val="0"/>
        <w:autoSpaceDE/>
        <w:autoSpaceDN/>
        <w:bidi w:val="0"/>
        <w:snapToGrid/>
        <w:spacing w:line="600" w:lineRule="exact"/>
        <w:ind w:firstLine="600" w:firstLineChars="200"/>
        <w:rPr>
          <w:rFonts w:eastAsia="仿宋_GB2312" w:hint="eastAsia"/>
          <w:sz w:val="30"/>
          <w:szCs w:val="30"/>
          <w:highlight w:val="none"/>
        </w:rPr>
      </w:pPr>
      <w:r>
        <w:rPr>
          <w:rFonts w:eastAsia="仿宋_GB2312" w:hint="eastAsia"/>
          <w:sz w:val="30"/>
          <w:szCs w:val="30"/>
          <w:highlight w:val="none"/>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6EAD8965">
      <w:pPr>
        <w:pageBreakBefore w:val="0"/>
        <w:kinsoku/>
        <w:wordWrap/>
        <w:overflowPunct/>
        <w:topLinePunct w:val="0"/>
        <w:autoSpaceDE/>
        <w:autoSpaceDN/>
        <w:bidi w:val="0"/>
        <w:snapToGrid/>
        <w:spacing w:line="600" w:lineRule="exact"/>
        <w:ind w:firstLine="600" w:firstLineChars="200"/>
        <w:rPr>
          <w:rFonts w:eastAsia="仿宋_GB2312" w:hint="eastAsia"/>
          <w:sz w:val="30"/>
          <w:szCs w:val="30"/>
          <w:highlight w:val="none"/>
        </w:rPr>
      </w:pPr>
      <w:r>
        <w:rPr>
          <w:rFonts w:eastAsia="仿宋_GB2312" w:hint="eastAsia"/>
          <w:sz w:val="30"/>
          <w:szCs w:val="30"/>
          <w:highlight w:val="none"/>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14:paraId="29FFCF5C">
      <w:pPr>
        <w:pageBreakBefore w:val="0"/>
        <w:kinsoku/>
        <w:wordWrap/>
        <w:overflowPunct/>
        <w:topLinePunct w:val="0"/>
        <w:autoSpaceDE/>
        <w:autoSpaceDN/>
        <w:bidi w:val="0"/>
        <w:snapToGrid/>
        <w:spacing w:line="600" w:lineRule="exact"/>
        <w:ind w:firstLine="600" w:firstLineChars="200"/>
        <w:rPr>
          <w:rFonts w:eastAsia="仿宋_GB2312" w:hint="eastAsia"/>
          <w:sz w:val="30"/>
          <w:szCs w:val="30"/>
          <w:highlight w:val="none"/>
          <w:lang w:val="en-US" w:eastAsia="zh-CN"/>
        </w:rPr>
      </w:pPr>
      <w:r>
        <w:rPr>
          <w:rFonts w:eastAsia="仿宋_GB2312" w:hint="eastAsia"/>
          <w:sz w:val="30"/>
          <w:szCs w:val="30"/>
          <w:highlight w:val="none"/>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bookmarkStart w:id="31" w:name="_GoBack"/>
      <w:bookmarkEnd w:id="31"/>
    </w:p>
    <w:sectPr>
      <w:pgSz w:w="11906" w:h="16838"/>
      <w:pgMar w:top="1440" w:right="1800" w:bottom="1440" w:left="1800"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411188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14:paraId="7974C58C">
    <w:pPr>
      <w:pStyle w:val="Footer"/>
    </w:pPr>
    <w:r>
      <mc:AlternateContent>
        <mc:Choice Requires="wps">
          <w:drawing>
            <wp:anchor distT="0" distB="0" distL="114300" distR="114300" simplePos="0" relativeHeight="251659264" behindDoc="0" locked="0" layoutInCell="1" allowOverlap="1">
              <wp:simplePos x="0" y="0"/>
              <wp:positionH relativeFrom="margin">
                <wp:posOffset>2632075</wp:posOffset>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15875">
                        <a:noFill/>
                      </a:ln>
                    </wps:spPr>
                    <wps:txbx>
                      <w:txbxContent>
                        <w:p>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11</w:t>
                          </w:r>
                          <w:r>
                            <w:rPr>
                              <w:rFonts w:hint="eastAsia"/>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2049" type="#_x0000_t202" style="width:2in;height:2in;margin-top:0;margin-left:207.25pt;mso-position-horizontal-relative:margin;mso-wrap-distance-bottom:0;mso-wrap-distance-left:9pt;mso-wrap-distance-right:9pt;mso-wrap-distance-top:0;mso-wrap-style:none;position:absolute;v-text-anchor:top;z-index:251658240" filled="f" fillcolor="this" stroked="f" strokeweight="1.25pt">
              <v:textbox style="mso-fit-shape-to-text:t" inset="0,0,0,0">
                <w:txbxContent>
                  <w:p w14:paraId="3277D735">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11</w:t>
                    </w:r>
                    <w:r>
                      <w:rPr>
                        <w:rFonts w:hint="eastAsia"/>
                        <w:szCs w:val="24"/>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BE256EE"/>
    <w:multiLevelType w:val="singleLevel"/>
    <w:tmpl w:val="EBE256EE"/>
    <w:lvl w:ilvl="0">
      <w:start w:val="13"/>
      <w:numFmt w:val="chineseCounting"/>
      <w:suff w:val="nothing"/>
      <w:lvlText w:val="%1、"/>
      <w:lvlJc w:val="left"/>
      <w:rPr>
        <w:rFonts w:hint="eastAsia"/>
      </w:rPr>
    </w:lvl>
  </w:abstractNum>
  <w:abstractNum w:abstractNumId="1">
    <w:nsid w:val="62CB79B7"/>
    <w:multiLevelType w:val="singleLevel"/>
    <w:tmpl w:val="62CB79B7"/>
    <w:lvl w:ilvl="0">
      <w:start w:val="3"/>
      <w:numFmt w:val="chineseCounting"/>
      <w:suff w:val="nothing"/>
      <w:lvlText w:val="（%1）"/>
      <w:lvlJc w:val="left"/>
    </w:lvl>
  </w:abstractNum>
  <w:abstractNum w:abstractNumId="2">
    <w:nsid w:val="62CB88B4"/>
    <w:multiLevelType w:val="singleLevel"/>
    <w:tmpl w:val="62CB88B4"/>
    <w:lvl w:ilvl="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1D802DB"/>
    <w:rsid w:val="BBFEB28B"/>
    <w:rsid w:val="D74FDF30"/>
    <w:rsid w:val="DEAEE68D"/>
    <w:rsid w:val="F7F97754"/>
    <w:rsid w:val="FB7FC3E7"/>
    <w:rsid w:val="FF3F61B6"/>
    <w:rsid w:val="FFC7ECE8"/>
    <w:rsid w:val="00015911"/>
    <w:rsid w:val="00046E1C"/>
    <w:rsid w:val="00053901"/>
    <w:rsid w:val="000864BF"/>
    <w:rsid w:val="00092AB8"/>
    <w:rsid w:val="000B4E39"/>
    <w:rsid w:val="00112C55"/>
    <w:rsid w:val="001179AF"/>
    <w:rsid w:val="0012059C"/>
    <w:rsid w:val="00124993"/>
    <w:rsid w:val="0012531C"/>
    <w:rsid w:val="00126E2D"/>
    <w:rsid w:val="001829A0"/>
    <w:rsid w:val="00186ED8"/>
    <w:rsid w:val="001F61CD"/>
    <w:rsid w:val="00241712"/>
    <w:rsid w:val="002532F7"/>
    <w:rsid w:val="002566ED"/>
    <w:rsid w:val="00257643"/>
    <w:rsid w:val="002912A7"/>
    <w:rsid w:val="002D2BBE"/>
    <w:rsid w:val="002E091E"/>
    <w:rsid w:val="002F00A9"/>
    <w:rsid w:val="003365DD"/>
    <w:rsid w:val="003714D5"/>
    <w:rsid w:val="00381206"/>
    <w:rsid w:val="0038216E"/>
    <w:rsid w:val="003942CD"/>
    <w:rsid w:val="003A4529"/>
    <w:rsid w:val="004040D1"/>
    <w:rsid w:val="00432D37"/>
    <w:rsid w:val="00464079"/>
    <w:rsid w:val="00465602"/>
    <w:rsid w:val="004918AD"/>
    <w:rsid w:val="004A1361"/>
    <w:rsid w:val="0050332F"/>
    <w:rsid w:val="00532C4C"/>
    <w:rsid w:val="00570354"/>
    <w:rsid w:val="005B60DB"/>
    <w:rsid w:val="005C22AF"/>
    <w:rsid w:val="005F2510"/>
    <w:rsid w:val="00676A5E"/>
    <w:rsid w:val="006A54BF"/>
    <w:rsid w:val="006D05B2"/>
    <w:rsid w:val="00727434"/>
    <w:rsid w:val="00734D29"/>
    <w:rsid w:val="0077787E"/>
    <w:rsid w:val="0079348B"/>
    <w:rsid w:val="007A3491"/>
    <w:rsid w:val="007B4B58"/>
    <w:rsid w:val="007F3679"/>
    <w:rsid w:val="007F448B"/>
    <w:rsid w:val="007F718E"/>
    <w:rsid w:val="00801B2B"/>
    <w:rsid w:val="00803B43"/>
    <w:rsid w:val="00817AE2"/>
    <w:rsid w:val="0085671E"/>
    <w:rsid w:val="00876FA4"/>
    <w:rsid w:val="00893EAC"/>
    <w:rsid w:val="008A6092"/>
    <w:rsid w:val="008C3474"/>
    <w:rsid w:val="008C677C"/>
    <w:rsid w:val="008D2605"/>
    <w:rsid w:val="008D64CE"/>
    <w:rsid w:val="009142B8"/>
    <w:rsid w:val="00915276"/>
    <w:rsid w:val="00936468"/>
    <w:rsid w:val="009371C3"/>
    <w:rsid w:val="0098387F"/>
    <w:rsid w:val="009E0EF5"/>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A3A83"/>
    <w:rsid w:val="00DB0D2B"/>
    <w:rsid w:val="00DC0D31"/>
    <w:rsid w:val="00E21DD7"/>
    <w:rsid w:val="00E4337C"/>
    <w:rsid w:val="00E56EBF"/>
    <w:rsid w:val="00E56F06"/>
    <w:rsid w:val="00E576CC"/>
    <w:rsid w:val="00E8795B"/>
    <w:rsid w:val="00EB277E"/>
    <w:rsid w:val="00EB7B3B"/>
    <w:rsid w:val="00F14DB8"/>
    <w:rsid w:val="00F3454D"/>
    <w:rsid w:val="00F3737B"/>
    <w:rsid w:val="00F6315A"/>
    <w:rsid w:val="00FF6CDB"/>
    <w:rsid w:val="01582EB3"/>
    <w:rsid w:val="01D92F4B"/>
    <w:rsid w:val="021D09AE"/>
    <w:rsid w:val="02317CA1"/>
    <w:rsid w:val="02C26D17"/>
    <w:rsid w:val="0305419A"/>
    <w:rsid w:val="032B2B72"/>
    <w:rsid w:val="03633F1C"/>
    <w:rsid w:val="03877CF5"/>
    <w:rsid w:val="03971CD2"/>
    <w:rsid w:val="03A73B20"/>
    <w:rsid w:val="04D27C6A"/>
    <w:rsid w:val="04DA6E85"/>
    <w:rsid w:val="054E0E8D"/>
    <w:rsid w:val="05901C8F"/>
    <w:rsid w:val="059D199E"/>
    <w:rsid w:val="05FB2E04"/>
    <w:rsid w:val="06516202"/>
    <w:rsid w:val="065A73D7"/>
    <w:rsid w:val="068D56CD"/>
    <w:rsid w:val="068F1656"/>
    <w:rsid w:val="06CE3C39"/>
    <w:rsid w:val="070745F4"/>
    <w:rsid w:val="0750320D"/>
    <w:rsid w:val="080C427F"/>
    <w:rsid w:val="08496DC5"/>
    <w:rsid w:val="08601190"/>
    <w:rsid w:val="08610C17"/>
    <w:rsid w:val="08AB76E6"/>
    <w:rsid w:val="08B17C7F"/>
    <w:rsid w:val="09787FC2"/>
    <w:rsid w:val="09794F69"/>
    <w:rsid w:val="09BC7107"/>
    <w:rsid w:val="09C86481"/>
    <w:rsid w:val="09CD6F6A"/>
    <w:rsid w:val="0A884CB3"/>
    <w:rsid w:val="0ABD2EA9"/>
    <w:rsid w:val="0AF02B7A"/>
    <w:rsid w:val="0AF83DD3"/>
    <w:rsid w:val="0B0C0657"/>
    <w:rsid w:val="0B2F7E6E"/>
    <w:rsid w:val="0B7057C8"/>
    <w:rsid w:val="0BF51CAC"/>
    <w:rsid w:val="0C327E5C"/>
    <w:rsid w:val="0D66464C"/>
    <w:rsid w:val="0DCA24E7"/>
    <w:rsid w:val="0E1905E8"/>
    <w:rsid w:val="0E6B081A"/>
    <w:rsid w:val="0E812A35"/>
    <w:rsid w:val="0F3A7BBE"/>
    <w:rsid w:val="0FB146BC"/>
    <w:rsid w:val="10D0376E"/>
    <w:rsid w:val="11D75F2F"/>
    <w:rsid w:val="11D802DB"/>
    <w:rsid w:val="121401BA"/>
    <w:rsid w:val="122B009F"/>
    <w:rsid w:val="135D03D9"/>
    <w:rsid w:val="13A17616"/>
    <w:rsid w:val="149264E6"/>
    <w:rsid w:val="14F31DE2"/>
    <w:rsid w:val="15127621"/>
    <w:rsid w:val="156A2C3E"/>
    <w:rsid w:val="157A3189"/>
    <w:rsid w:val="15E37C52"/>
    <w:rsid w:val="169221B4"/>
    <w:rsid w:val="16EA0A1B"/>
    <w:rsid w:val="181D0AF6"/>
    <w:rsid w:val="18E12A26"/>
    <w:rsid w:val="1A2F34CF"/>
    <w:rsid w:val="1B0B6786"/>
    <w:rsid w:val="1C2E1750"/>
    <w:rsid w:val="1C8A5079"/>
    <w:rsid w:val="1D520C3E"/>
    <w:rsid w:val="1DA340AC"/>
    <w:rsid w:val="1E2F4E67"/>
    <w:rsid w:val="1E506972"/>
    <w:rsid w:val="1E8146FC"/>
    <w:rsid w:val="1EC8639D"/>
    <w:rsid w:val="1EC97805"/>
    <w:rsid w:val="1EFB07B0"/>
    <w:rsid w:val="1F6101B7"/>
    <w:rsid w:val="1FABD71D"/>
    <w:rsid w:val="20505929"/>
    <w:rsid w:val="2093268B"/>
    <w:rsid w:val="20C921EC"/>
    <w:rsid w:val="22792317"/>
    <w:rsid w:val="228770CD"/>
    <w:rsid w:val="22F75B35"/>
    <w:rsid w:val="236906A5"/>
    <w:rsid w:val="23BA0D09"/>
    <w:rsid w:val="24BA0C0F"/>
    <w:rsid w:val="250B61A3"/>
    <w:rsid w:val="259F5563"/>
    <w:rsid w:val="25A662F9"/>
    <w:rsid w:val="25AD749C"/>
    <w:rsid w:val="25AE4162"/>
    <w:rsid w:val="261B2634"/>
    <w:rsid w:val="26872640"/>
    <w:rsid w:val="26C653DA"/>
    <w:rsid w:val="26EC5D21"/>
    <w:rsid w:val="27615821"/>
    <w:rsid w:val="27A13E6E"/>
    <w:rsid w:val="2828594C"/>
    <w:rsid w:val="28863E70"/>
    <w:rsid w:val="288A6337"/>
    <w:rsid w:val="28994B2A"/>
    <w:rsid w:val="28CD1B01"/>
    <w:rsid w:val="290441D9"/>
    <w:rsid w:val="292E4395"/>
    <w:rsid w:val="29867FF5"/>
    <w:rsid w:val="29D72E63"/>
    <w:rsid w:val="29F01BC9"/>
    <w:rsid w:val="2A1248CB"/>
    <w:rsid w:val="2A24302B"/>
    <w:rsid w:val="2A7456B8"/>
    <w:rsid w:val="2AF92258"/>
    <w:rsid w:val="2C3B01C9"/>
    <w:rsid w:val="2CB024EC"/>
    <w:rsid w:val="2D2B1A30"/>
    <w:rsid w:val="2D5BB7F4"/>
    <w:rsid w:val="2DA87FE3"/>
    <w:rsid w:val="2DAB1C1C"/>
    <w:rsid w:val="2E6455AA"/>
    <w:rsid w:val="2E6E5875"/>
    <w:rsid w:val="2EAA1E45"/>
    <w:rsid w:val="2EBA2F30"/>
    <w:rsid w:val="2F8573F4"/>
    <w:rsid w:val="2FFC60D8"/>
    <w:rsid w:val="2FFD4B55"/>
    <w:rsid w:val="303E64C7"/>
    <w:rsid w:val="318D0FFE"/>
    <w:rsid w:val="31F32BCC"/>
    <w:rsid w:val="322D5537"/>
    <w:rsid w:val="3230050F"/>
    <w:rsid w:val="32500429"/>
    <w:rsid w:val="32B00783"/>
    <w:rsid w:val="33987EA4"/>
    <w:rsid w:val="33C03912"/>
    <w:rsid w:val="33E55770"/>
    <w:rsid w:val="343041E9"/>
    <w:rsid w:val="343E2C5A"/>
    <w:rsid w:val="34E404B6"/>
    <w:rsid w:val="353874A5"/>
    <w:rsid w:val="356C4B0F"/>
    <w:rsid w:val="357756D0"/>
    <w:rsid w:val="35F83418"/>
    <w:rsid w:val="35FA3DA7"/>
    <w:rsid w:val="360570F1"/>
    <w:rsid w:val="36433E0B"/>
    <w:rsid w:val="3685618C"/>
    <w:rsid w:val="36DF7E92"/>
    <w:rsid w:val="37210A48"/>
    <w:rsid w:val="37C605ED"/>
    <w:rsid w:val="37EC07D4"/>
    <w:rsid w:val="39054161"/>
    <w:rsid w:val="395157DA"/>
    <w:rsid w:val="39D81DB4"/>
    <w:rsid w:val="39DD1F63"/>
    <w:rsid w:val="3A875795"/>
    <w:rsid w:val="3B3A6848"/>
    <w:rsid w:val="3C7702D9"/>
    <w:rsid w:val="3C822FFF"/>
    <w:rsid w:val="3C987755"/>
    <w:rsid w:val="3D1712DB"/>
    <w:rsid w:val="3D6E4CFB"/>
    <w:rsid w:val="3DB948D9"/>
    <w:rsid w:val="3DED19CC"/>
    <w:rsid w:val="3E551C1D"/>
    <w:rsid w:val="3EAA16DD"/>
    <w:rsid w:val="3EE7006C"/>
    <w:rsid w:val="3F043070"/>
    <w:rsid w:val="3F397145"/>
    <w:rsid w:val="413E7CF9"/>
    <w:rsid w:val="419141BF"/>
    <w:rsid w:val="41C515FE"/>
    <w:rsid w:val="41F26234"/>
    <w:rsid w:val="42C52D12"/>
    <w:rsid w:val="42EA0B90"/>
    <w:rsid w:val="436E1D48"/>
    <w:rsid w:val="44211CC9"/>
    <w:rsid w:val="442221E6"/>
    <w:rsid w:val="44FC0AD9"/>
    <w:rsid w:val="45C66F5A"/>
    <w:rsid w:val="464311BD"/>
    <w:rsid w:val="46762869"/>
    <w:rsid w:val="46800ECA"/>
    <w:rsid w:val="46D65DFF"/>
    <w:rsid w:val="46ED43C8"/>
    <w:rsid w:val="47655748"/>
    <w:rsid w:val="481F5D29"/>
    <w:rsid w:val="485B08F6"/>
    <w:rsid w:val="48E65506"/>
    <w:rsid w:val="49A95325"/>
    <w:rsid w:val="49C60D15"/>
    <w:rsid w:val="4C72500A"/>
    <w:rsid w:val="4D2A2606"/>
    <w:rsid w:val="4E470451"/>
    <w:rsid w:val="4E5A4E46"/>
    <w:rsid w:val="4E776E4B"/>
    <w:rsid w:val="4EBE5040"/>
    <w:rsid w:val="4EC635D4"/>
    <w:rsid w:val="4EF42DDE"/>
    <w:rsid w:val="4EFE3A76"/>
    <w:rsid w:val="4F021DFD"/>
    <w:rsid w:val="4FA93361"/>
    <w:rsid w:val="50491464"/>
    <w:rsid w:val="50B055C9"/>
    <w:rsid w:val="50EB4351"/>
    <w:rsid w:val="513E3E14"/>
    <w:rsid w:val="516E5D30"/>
    <w:rsid w:val="519A61B8"/>
    <w:rsid w:val="51E25670"/>
    <w:rsid w:val="529328AD"/>
    <w:rsid w:val="52A26688"/>
    <w:rsid w:val="52C3106D"/>
    <w:rsid w:val="532D1C0A"/>
    <w:rsid w:val="53583E88"/>
    <w:rsid w:val="548F7836"/>
    <w:rsid w:val="54A42073"/>
    <w:rsid w:val="54D72BF4"/>
    <w:rsid w:val="54F6709D"/>
    <w:rsid w:val="566138B1"/>
    <w:rsid w:val="56832AE6"/>
    <w:rsid w:val="56F540E8"/>
    <w:rsid w:val="57814C22"/>
    <w:rsid w:val="579303E0"/>
    <w:rsid w:val="57BD125F"/>
    <w:rsid w:val="57DB4D69"/>
    <w:rsid w:val="57E83EF2"/>
    <w:rsid w:val="58B03A2E"/>
    <w:rsid w:val="59005937"/>
    <w:rsid w:val="596D5572"/>
    <w:rsid w:val="5A106A61"/>
    <w:rsid w:val="5B012DD6"/>
    <w:rsid w:val="5B4A303E"/>
    <w:rsid w:val="5B867F38"/>
    <w:rsid w:val="5BBF1EDC"/>
    <w:rsid w:val="5C0D5EDF"/>
    <w:rsid w:val="5CCB520D"/>
    <w:rsid w:val="5CDE5F6B"/>
    <w:rsid w:val="5CE729B2"/>
    <w:rsid w:val="5D072615"/>
    <w:rsid w:val="5D820B03"/>
    <w:rsid w:val="5DDC291B"/>
    <w:rsid w:val="5DE919D2"/>
    <w:rsid w:val="5DE96BF2"/>
    <w:rsid w:val="5E33329A"/>
    <w:rsid w:val="5E3B56D9"/>
    <w:rsid w:val="5E7F01AB"/>
    <w:rsid w:val="5E910416"/>
    <w:rsid w:val="5FC652D8"/>
    <w:rsid w:val="6043407E"/>
    <w:rsid w:val="605F74B4"/>
    <w:rsid w:val="607B68FE"/>
    <w:rsid w:val="617007B5"/>
    <w:rsid w:val="61DC2C23"/>
    <w:rsid w:val="61E56E86"/>
    <w:rsid w:val="621870FC"/>
    <w:rsid w:val="62DA2A3D"/>
    <w:rsid w:val="637B3A8F"/>
    <w:rsid w:val="63A65E89"/>
    <w:rsid w:val="65737FA2"/>
    <w:rsid w:val="65AC27B5"/>
    <w:rsid w:val="65D920E1"/>
    <w:rsid w:val="65D9655D"/>
    <w:rsid w:val="6656630C"/>
    <w:rsid w:val="66EC0C69"/>
    <w:rsid w:val="67AD24B8"/>
    <w:rsid w:val="67F5DAB5"/>
    <w:rsid w:val="68261741"/>
    <w:rsid w:val="693E2FAD"/>
    <w:rsid w:val="698062FC"/>
    <w:rsid w:val="69BD5EE8"/>
    <w:rsid w:val="6A740B43"/>
    <w:rsid w:val="6ABD46BF"/>
    <w:rsid w:val="6AF730BD"/>
    <w:rsid w:val="6B617BE2"/>
    <w:rsid w:val="6BA66029"/>
    <w:rsid w:val="6CA041B2"/>
    <w:rsid w:val="6DDD5EBF"/>
    <w:rsid w:val="6DFC4CD2"/>
    <w:rsid w:val="6E2E2D6D"/>
    <w:rsid w:val="6E3F51B6"/>
    <w:rsid w:val="6E460B96"/>
    <w:rsid w:val="6EA82131"/>
    <w:rsid w:val="6F046708"/>
    <w:rsid w:val="6FB410D2"/>
    <w:rsid w:val="6FC54BEF"/>
    <w:rsid w:val="706921FA"/>
    <w:rsid w:val="70B22C23"/>
    <w:rsid w:val="71411B5D"/>
    <w:rsid w:val="719931E1"/>
    <w:rsid w:val="7240055A"/>
    <w:rsid w:val="728E0BA0"/>
    <w:rsid w:val="731001C6"/>
    <w:rsid w:val="73134A0E"/>
    <w:rsid w:val="736064A7"/>
    <w:rsid w:val="736159D6"/>
    <w:rsid w:val="73F71039"/>
    <w:rsid w:val="73F91498"/>
    <w:rsid w:val="74D5337C"/>
    <w:rsid w:val="74D975E2"/>
    <w:rsid w:val="756B7D6A"/>
    <w:rsid w:val="757C417D"/>
    <w:rsid w:val="759455DB"/>
    <w:rsid w:val="75D160D9"/>
    <w:rsid w:val="762914BB"/>
    <w:rsid w:val="773A73AB"/>
    <w:rsid w:val="775767BB"/>
    <w:rsid w:val="7779068F"/>
    <w:rsid w:val="77B92148"/>
    <w:rsid w:val="77FFE39F"/>
    <w:rsid w:val="781B1736"/>
    <w:rsid w:val="78F051A8"/>
    <w:rsid w:val="79EF18A6"/>
    <w:rsid w:val="7A903B21"/>
    <w:rsid w:val="7CF2196B"/>
    <w:rsid w:val="7D2E7430"/>
    <w:rsid w:val="7D993EC8"/>
    <w:rsid w:val="7D9A013D"/>
    <w:rsid w:val="7E9160CF"/>
    <w:rsid w:val="7EC677D3"/>
    <w:rsid w:val="7FDC2489"/>
    <w:rsid w:val="7FFDEEFD"/>
  </w:rsids>
  <w:docVars>
    <w:docVar w:name="commondata" w:val="eyJoZGlkIjoiZjFmZWIzNDg2MmIzZjExOTIzMmViNTBmYTMwYTk0ZWYifQ=="/>
  </w:docVar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semiHidden="0" w:uiPriority="39" w:qFormat="1"/>
    <w:lsdException w:name="toc 3" w:semiHidden="0"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iPriority="0" w:qFormat="1"/>
    <w:lsdException w:name="footer" w:semiHidden="0" w:uiPriority="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0"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qFormat="1"/>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qFormat="1"/>
    <w:lsdException w:name="Table Grid"/>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60" w:lineRule="atLeast"/>
      <w:textAlignment w:val="baseline"/>
    </w:pPr>
    <w:rPr>
      <w:rFonts w:ascii="Times New Roman" w:eastAsia="宋体" w:hAnsi="Times New Roman" w:cs="Times New Roman"/>
      <w:sz w:val="24"/>
      <w:lang w:val="en-US" w:eastAsia="zh-CN" w:bidi="ar-SA"/>
    </w:rPr>
  </w:style>
  <w:style w:type="paragraph" w:styleId="Heading1">
    <w:name w:val="heading 1"/>
    <w:basedOn w:val="Normal"/>
    <w:next w:val="Normal"/>
    <w:link w:val="1Char"/>
    <w:uiPriority w:val="9"/>
    <w:qFormat/>
    <w:pPr>
      <w:keepNext/>
      <w:keepLines/>
      <w:spacing w:before="340" w:after="330" w:line="578" w:lineRule="atLeast"/>
      <w:outlineLvl w:val="0"/>
    </w:pPr>
    <w:rPr>
      <w:b/>
      <w:bCs/>
      <w:kern w:val="44"/>
      <w:sz w:val="44"/>
      <w:szCs w:val="44"/>
    </w:rPr>
  </w:style>
  <w:style w:type="paragraph" w:styleId="Heading2">
    <w:name w:val="heading 2"/>
    <w:basedOn w:val="Normal"/>
    <w:next w:val="Normal"/>
    <w:link w:val="2Char"/>
    <w:uiPriority w:val="9"/>
    <w:unhideWhenUsed/>
    <w:qFormat/>
    <w:pPr>
      <w:keepNext/>
      <w:keepLines/>
      <w:spacing w:before="260" w:after="260" w:line="416" w:lineRule="atLeast"/>
      <w:outlineLvl w:val="1"/>
    </w:pPr>
    <w:rPr>
      <w:rFonts w:ascii="Cambria" w:eastAsia="宋体" w:hAnsi="Cambria" w:cs="Times New Roman"/>
      <w:b/>
      <w:bCs/>
      <w:sz w:val="32"/>
      <w:szCs w:val="32"/>
    </w:rPr>
  </w:style>
  <w:style w:type="paragraph" w:styleId="Heading3">
    <w:name w:val="heading 3"/>
    <w:basedOn w:val="Normal"/>
    <w:next w:val="Normal"/>
    <w:link w:val="3Char"/>
    <w:uiPriority w:val="9"/>
    <w:unhideWhenUsed/>
    <w:qFormat/>
    <w:pPr>
      <w:keepNext/>
      <w:keepLines/>
      <w:spacing w:before="260" w:after="260" w:line="416" w:lineRule="atLeast"/>
      <w:outlineLvl w:val="2"/>
    </w:pPr>
    <w:rPr>
      <w:b/>
      <w:bCs/>
      <w:sz w:val="32"/>
      <w:szCs w:val="32"/>
    </w:rPr>
  </w:style>
  <w:style w:type="character" w:default="1" w:styleId="DefaultParagraphFont">
    <w:name w:val="Default Paragraph Font"/>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TOC3">
    <w:name w:val="toc 3"/>
    <w:basedOn w:val="Normal"/>
    <w:next w:val="Normal"/>
    <w:uiPriority w:val="39"/>
    <w:unhideWhenUsed/>
    <w:qFormat/>
    <w:pPr>
      <w:widowControl/>
      <w:adjustRightInd/>
      <w:spacing w:after="100" w:line="276" w:lineRule="auto"/>
      <w:ind w:left="440"/>
      <w:textAlignment w:val="auto"/>
    </w:pPr>
    <w:rPr>
      <w:rFonts w:ascii="Calibri" w:eastAsia="宋体" w:hAnsi="Calibri" w:cs="Times New Roman"/>
      <w:sz w:val="22"/>
      <w:szCs w:val="22"/>
    </w:rPr>
  </w:style>
  <w:style w:type="paragraph" w:styleId="BalloonText">
    <w:name w:val="Balloon Text"/>
    <w:basedOn w:val="Normal"/>
    <w:link w:val="Char"/>
    <w:uiPriority w:val="99"/>
    <w:unhideWhenUsed/>
    <w:qFormat/>
    <w:pPr>
      <w:spacing w:line="240" w:lineRule="auto"/>
    </w:pPr>
    <w:rPr>
      <w:sz w:val="18"/>
      <w:szCs w:val="18"/>
    </w:rPr>
  </w:style>
  <w:style w:type="paragraph" w:styleId="Footer">
    <w:name w:val="footer"/>
    <w:basedOn w:val="Normal"/>
    <w:link w:val="Char0"/>
    <w:unhideWhenUsed/>
    <w:qFormat/>
    <w:pPr>
      <w:tabs>
        <w:tab w:val="center" w:pos="4153"/>
        <w:tab w:val="right" w:pos="8306"/>
      </w:tabs>
      <w:snapToGrid w:val="0"/>
      <w:spacing w:line="240" w:lineRule="atLeast"/>
    </w:pPr>
    <w:rPr>
      <w:sz w:val="18"/>
      <w:szCs w:val="18"/>
    </w:rPr>
  </w:style>
  <w:style w:type="paragraph" w:styleId="Header">
    <w:name w:val="header"/>
    <w:basedOn w:val="Normal"/>
    <w:link w:val="Char1"/>
    <w:unhideWhenUsed/>
    <w:qFormat/>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Normal"/>
    <w:next w:val="Normal"/>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styleId="TOC2">
    <w:name w:val="toc 2"/>
    <w:basedOn w:val="Normal"/>
    <w:next w:val="Normal"/>
    <w:uiPriority w:val="39"/>
    <w:unhideWhenUsed/>
    <w:qFormat/>
    <w:pPr>
      <w:widowControl/>
      <w:adjustRightInd/>
      <w:spacing w:after="100" w:line="276" w:lineRule="auto"/>
      <w:ind w:left="220"/>
      <w:textAlignment w:val="auto"/>
    </w:pPr>
    <w:rPr>
      <w:rFonts w:ascii="Calibri" w:eastAsia="宋体" w:hAnsi="Calibri" w:cs="Times New Roman"/>
      <w:sz w:val="22"/>
      <w:szCs w:val="22"/>
    </w:rPr>
  </w:style>
  <w:style w:type="character" w:styleId="Hyperlink">
    <w:name w:val="Hyperlink"/>
    <w:uiPriority w:val="99"/>
    <w:unhideWhenUsed/>
    <w:qFormat/>
    <w:rPr>
      <w:color w:val="0000FF"/>
      <w:u w:val="single"/>
    </w:rPr>
  </w:style>
  <w:style w:type="character" w:customStyle="1" w:styleId="1Char">
    <w:name w:val="标题 1 Char"/>
    <w:link w:val="Heading1"/>
    <w:uiPriority w:val="9"/>
    <w:qFormat/>
    <w:rPr>
      <w:b/>
      <w:bCs/>
      <w:kern w:val="44"/>
      <w:sz w:val="44"/>
      <w:szCs w:val="44"/>
    </w:rPr>
  </w:style>
  <w:style w:type="character" w:customStyle="1" w:styleId="2Char">
    <w:name w:val="标题 2 Char"/>
    <w:link w:val="Heading2"/>
    <w:uiPriority w:val="9"/>
    <w:semiHidden/>
    <w:qFormat/>
    <w:rPr>
      <w:rFonts w:ascii="Cambria" w:eastAsia="宋体" w:hAnsi="Cambria" w:cs="Times New Roman"/>
      <w:b/>
      <w:bCs/>
      <w:sz w:val="32"/>
      <w:szCs w:val="32"/>
    </w:rPr>
  </w:style>
  <w:style w:type="character" w:customStyle="1" w:styleId="3Char">
    <w:name w:val="标题 3 Char"/>
    <w:link w:val="Heading3"/>
    <w:uiPriority w:val="9"/>
    <w:semiHidden/>
    <w:qFormat/>
    <w:rPr>
      <w:b/>
      <w:bCs/>
      <w:sz w:val="32"/>
      <w:szCs w:val="32"/>
    </w:rPr>
  </w:style>
  <w:style w:type="character" w:customStyle="1" w:styleId="Char">
    <w:name w:val="批注框文本 Char"/>
    <w:link w:val="BalloonText"/>
    <w:uiPriority w:val="99"/>
    <w:semiHidden/>
    <w:qFormat/>
    <w:rPr>
      <w:sz w:val="18"/>
      <w:szCs w:val="18"/>
    </w:rPr>
  </w:style>
  <w:style w:type="character" w:customStyle="1" w:styleId="Char0">
    <w:name w:val="页脚 Char"/>
    <w:link w:val="Footer"/>
    <w:semiHidden/>
    <w:qFormat/>
    <w:rPr>
      <w:sz w:val="18"/>
      <w:szCs w:val="18"/>
    </w:rPr>
  </w:style>
  <w:style w:type="character" w:customStyle="1" w:styleId="Char1">
    <w:name w:val="页眉 Char"/>
    <w:link w:val="Header"/>
    <w:semiHidden/>
    <w:qFormat/>
    <w:rPr>
      <w:sz w:val="18"/>
      <w:szCs w:val="18"/>
    </w:rPr>
  </w:style>
  <w:style w:type="paragraph" w:customStyle="1" w:styleId="TOC">
    <w:name w:val="TOC 标题"/>
    <w:basedOn w:val="Heading1"/>
    <w:next w:val="Normal"/>
    <w:uiPriority w:val="39"/>
    <w:unhideWhenUsed/>
    <w:qFormat/>
    <w:pPr>
      <w:widowControl/>
      <w:adjustRightInd/>
      <w:spacing w:before="480" w:after="0" w:line="276" w:lineRule="auto"/>
      <w:textAlignment w:val="auto"/>
      <w:outlineLvl w:val="9"/>
    </w:pPr>
    <w:rPr>
      <w:rFonts w:ascii="Cambria" w:eastAsia="宋体" w:hAnsi="Cambria" w:cs="Times New Roman"/>
      <w:color w:val="365F91"/>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TotalTime>2</TotalTime>
  <Pages>14</Pages>
  <Words>1524</Words>
  <Characters>1706</Characters>
  <Application>Microsoft Office Word</Application>
  <DocSecurity>0</DocSecurity>
  <Lines>60</Lines>
  <Paragraphs>16</Paragraphs>
  <ScaleCrop>false</ScaleCrop>
  <Company>Microsoft</Company>
  <LinksUpToDate>false</LinksUpToDate>
  <CharactersWithSpaces>1768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绫香~</cp:lastModifiedBy>
  <cp:revision>5</cp:revision>
  <cp:lastPrinted>2012-09-19T14:00:00Z</cp:lastPrinted>
  <dcterms:created xsi:type="dcterms:W3CDTF">2019-07-28T02:37:00Z</dcterms:created>
  <dcterms:modified xsi:type="dcterms:W3CDTF">2024-08-21T04:17:20Z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9337EA9B326C43D7BCD51FC2F8926154_13</vt:lpwstr>
  </property>
  <property fmtid="{D5CDD505-2E9C-101B-9397-08002B2CF9AE}" pid="3" name="KSOProductBuildVer">
    <vt:lpwstr>2052-12.1.0.17147</vt:lpwstr>
  </property>
</Properties>
</file>