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spacing w:line="240" w:lineRule="auto"/>
        <w:rPr>
          <w:rFonts w:ascii="黑体" w:hAnsi="黑体" w:eastAsia="黑体" w:cs="黑体"/>
          <w:w w:val="95"/>
          <w:sz w:val="32"/>
          <w:szCs w:val="32"/>
          <w:lang w:val="en"/>
        </w:rPr>
      </w:pPr>
    </w:p>
    <w:p>
      <w:pPr>
        <w:spacing w:line="580" w:lineRule="exact"/>
        <w:jc w:val="center"/>
        <w:rPr>
          <w:rFonts w:eastAsia="黑体"/>
          <w:w w:val="95"/>
          <w:sz w:val="44"/>
          <w:szCs w:val="44"/>
        </w:rPr>
      </w:pPr>
    </w:p>
    <w:p>
      <w:pPr>
        <w:spacing w:line="580" w:lineRule="exact"/>
        <w:jc w:val="center"/>
        <w:rPr>
          <w:rFonts w:eastAsia="黑体"/>
          <w:w w:val="95"/>
          <w:sz w:val="44"/>
          <w:szCs w:val="44"/>
        </w:rPr>
      </w:pPr>
    </w:p>
    <w:p>
      <w:pPr>
        <w:spacing w:line="580" w:lineRule="exact"/>
        <w:jc w:val="center"/>
        <w:rPr>
          <w:rFonts w:eastAsia="黑体"/>
          <w:w w:val="95"/>
          <w:sz w:val="44"/>
          <w:szCs w:val="44"/>
        </w:rPr>
      </w:pPr>
    </w:p>
    <w:p>
      <w:pPr>
        <w:spacing w:line="580" w:lineRule="exact"/>
        <w:jc w:val="center"/>
        <w:rPr>
          <w:rFonts w:eastAsia="黑体"/>
          <w:w w:val="95"/>
          <w:sz w:val="44"/>
          <w:szCs w:val="44"/>
        </w:rPr>
      </w:pPr>
    </w:p>
    <w:p>
      <w:pPr>
        <w:spacing w:line="580" w:lineRule="exact"/>
        <w:jc w:val="center"/>
        <w:rPr>
          <w:rFonts w:eastAsia="黑体"/>
          <w:w w:val="95"/>
          <w:sz w:val="44"/>
          <w:szCs w:val="44"/>
        </w:rPr>
      </w:pPr>
    </w:p>
    <w:p>
      <w:pPr>
        <w:spacing w:line="580" w:lineRule="exact"/>
        <w:jc w:val="center"/>
        <w:rPr>
          <w:rFonts w:eastAsia="黑体"/>
          <w:w w:val="95"/>
          <w:sz w:val="44"/>
          <w:szCs w:val="44"/>
        </w:rPr>
      </w:pPr>
    </w:p>
    <w:p>
      <w:pPr>
        <w:spacing w:line="580" w:lineRule="exact"/>
        <w:jc w:val="center"/>
        <w:rPr>
          <w:rFonts w:eastAsia="黑体"/>
          <w:w w:val="95"/>
          <w:sz w:val="44"/>
          <w:szCs w:val="44"/>
        </w:rPr>
      </w:pPr>
    </w:p>
    <w:p>
      <w:pPr>
        <w:spacing w:line="580" w:lineRule="exact"/>
        <w:jc w:val="center"/>
        <w:rPr>
          <w:rFonts w:eastAsia="黑体"/>
          <w:w w:val="95"/>
          <w:sz w:val="44"/>
          <w:szCs w:val="44"/>
        </w:rPr>
      </w:pPr>
    </w:p>
    <w:p>
      <w:pPr>
        <w:spacing w:line="240" w:lineRule="auto"/>
        <w:jc w:val="center"/>
        <w:rPr>
          <w:rFonts w:ascii="方正小标宋简体" w:hAnsi="方正小标宋简体" w:eastAsia="方正小标宋简体" w:cs="方正小标宋简体"/>
          <w:sz w:val="48"/>
          <w:szCs w:val="48"/>
        </w:rPr>
      </w:pPr>
      <w:r>
        <w:rPr>
          <w:rFonts w:hint="eastAsia" w:ascii="方正小标宋简体" w:hAnsi="方正小标宋简体" w:eastAsia="方正小标宋简体" w:cs="方正小标宋简体"/>
          <w:sz w:val="48"/>
          <w:szCs w:val="48"/>
        </w:rPr>
        <w:t>天津市津南区北闸口镇人民政府</w:t>
      </w:r>
    </w:p>
    <w:p>
      <w:pPr>
        <w:spacing w:line="580" w:lineRule="exact"/>
        <w:jc w:val="center"/>
        <w:rPr>
          <w:rFonts w:ascii="方正小标宋简体" w:hAnsi="方正小标宋简体" w:eastAsia="方正小标宋简体" w:cs="方正小标宋简体"/>
          <w:sz w:val="48"/>
          <w:szCs w:val="48"/>
        </w:rPr>
        <w:sectPr>
          <w:headerReference r:id="rId3" w:type="default"/>
          <w:footerReference r:id="rId4" w:type="default"/>
          <w:pgSz w:w="11906" w:h="16838"/>
          <w:pgMar w:top="1440" w:right="1800" w:bottom="1440" w:left="1800" w:header="851" w:footer="992" w:gutter="0"/>
          <w:pgNumType w:start="1"/>
          <w:cols w:space="720" w:num="1"/>
          <w:docGrid w:type="lines" w:linePitch="312" w:charSpace="0"/>
        </w:sectPr>
      </w:pPr>
      <w:r>
        <w:rPr>
          <w:rFonts w:hint="eastAsia" w:ascii="方正小标宋简体" w:hAnsi="方正小标宋简体" w:eastAsia="方正小标宋简体" w:cs="方正小标宋简体"/>
          <w:sz w:val="48"/>
          <w:szCs w:val="48"/>
        </w:rPr>
        <w:t>2022年度部门决算</w:t>
      </w:r>
    </w:p>
    <w:p>
      <w:pPr>
        <w:spacing w:line="600" w:lineRule="exact"/>
        <w:jc w:val="center"/>
        <w:rPr>
          <w:rFonts w:ascii="黑体" w:eastAsia="黑体"/>
          <w:sz w:val="44"/>
          <w:szCs w:val="44"/>
        </w:rPr>
      </w:pPr>
    </w:p>
    <w:p>
      <w:pPr>
        <w:spacing w:line="600" w:lineRule="exact"/>
        <w:jc w:val="center"/>
        <w:rPr>
          <w:rFonts w:ascii="黑体" w:eastAsia="黑体"/>
          <w:sz w:val="44"/>
          <w:szCs w:val="44"/>
        </w:rPr>
      </w:pPr>
      <w:r>
        <w:rPr>
          <w:rFonts w:hint="eastAsia" w:ascii="黑体" w:eastAsia="黑体"/>
          <w:sz w:val="44"/>
          <w:szCs w:val="44"/>
        </w:rPr>
        <w:t>目   录</w:t>
      </w:r>
    </w:p>
    <w:p>
      <w:pPr>
        <w:spacing w:line="600" w:lineRule="exact"/>
        <w:rPr>
          <w:rFonts w:ascii="黑体" w:eastAsia="黑体"/>
          <w:sz w:val="30"/>
          <w:szCs w:val="30"/>
        </w:rPr>
      </w:pPr>
    </w:p>
    <w:p>
      <w:pPr>
        <w:pStyle w:val="9"/>
        <w:tabs>
          <w:tab w:val="right" w:leader="dot" w:pos="8306"/>
          <w:tab w:val="clear" w:pos="8296"/>
        </w:tabs>
        <w:rPr>
          <w:rFonts w:ascii="仿宋_GB2312" w:hAnsi="Times New Roman" w:eastAsia="仿宋_GB2312" w:cs="Times New Roman"/>
          <w:sz w:val="30"/>
          <w:szCs w:val="30"/>
        </w:rPr>
      </w:pPr>
      <w:r>
        <w:rPr>
          <w:rFonts w:hint="eastAsia" w:ascii="仿宋_GB2312" w:hAnsi="Times New Roman" w:eastAsia="仿宋_GB2312" w:cs="Times New Roman"/>
          <w:sz w:val="30"/>
          <w:szCs w:val="30"/>
        </w:rPr>
        <w:fldChar w:fldCharType="begin"/>
      </w:r>
      <w:r>
        <w:rPr>
          <w:rFonts w:hint="eastAsia" w:ascii="仿宋_GB2312" w:hAnsi="Times New Roman" w:eastAsia="仿宋_GB2312" w:cs="Times New Roman"/>
          <w:sz w:val="30"/>
          <w:szCs w:val="30"/>
        </w:rPr>
        <w:instrText xml:space="preserve"> TOC \o "1-3" \h \z \u </w:instrText>
      </w:r>
      <w:r>
        <w:rPr>
          <w:rFonts w:hint="eastAsia" w:ascii="仿宋_GB2312" w:hAnsi="Times New Roman" w:eastAsia="仿宋_GB2312" w:cs="Times New Roman"/>
          <w:sz w:val="30"/>
          <w:szCs w:val="30"/>
        </w:rPr>
        <w:fldChar w:fldCharType="separate"/>
      </w:r>
      <w:r>
        <w:fldChar w:fldCharType="begin"/>
      </w:r>
      <w:r>
        <w:instrText xml:space="preserve"> HYPERLINK \l "_Toc859" </w:instrText>
      </w:r>
      <w:r>
        <w:fldChar w:fldCharType="separate"/>
      </w:r>
      <w:r>
        <w:rPr>
          <w:rFonts w:hint="eastAsia" w:ascii="仿宋_GB2312" w:hAnsi="Times New Roman" w:eastAsia="仿宋_GB2312" w:cs="Times New Roman"/>
          <w:sz w:val="30"/>
          <w:szCs w:val="30"/>
        </w:rPr>
        <w:t>第一部分  概 况</w:t>
      </w:r>
      <w:r>
        <w:rPr>
          <w:rFonts w:hint="eastAsia" w:ascii="仿宋_GB2312" w:hAnsi="Times New Roman" w:eastAsia="仿宋_GB2312" w:cs="Times New Roman"/>
          <w:sz w:val="30"/>
          <w:szCs w:val="30"/>
        </w:rPr>
        <w:tab/>
      </w:r>
      <w:r>
        <w:rPr>
          <w:rFonts w:hint="eastAsia" w:ascii="仿宋_GB2312" w:hAnsi="Times New Roman" w:eastAsia="仿宋_GB2312" w:cs="Times New Roman"/>
          <w:sz w:val="30"/>
          <w:szCs w:val="30"/>
        </w:rPr>
        <w:fldChar w:fldCharType="begin"/>
      </w:r>
      <w:r>
        <w:rPr>
          <w:rFonts w:hint="eastAsia" w:ascii="仿宋_GB2312" w:hAnsi="Times New Roman" w:eastAsia="仿宋_GB2312" w:cs="Times New Roman"/>
          <w:sz w:val="30"/>
          <w:szCs w:val="30"/>
        </w:rPr>
        <w:instrText xml:space="preserve"> PAGEREF _Toc859 \h </w:instrText>
      </w:r>
      <w:r>
        <w:rPr>
          <w:rFonts w:hint="eastAsia" w:ascii="仿宋_GB2312" w:hAnsi="Times New Roman" w:eastAsia="仿宋_GB2312" w:cs="Times New Roman"/>
          <w:sz w:val="30"/>
          <w:szCs w:val="30"/>
        </w:rPr>
        <w:fldChar w:fldCharType="separate"/>
      </w:r>
      <w:r>
        <w:rPr>
          <w:rFonts w:hint="eastAsia" w:ascii="仿宋_GB2312" w:hAnsi="Times New Roman" w:eastAsia="仿宋_GB2312" w:cs="Times New Roman"/>
          <w:sz w:val="30"/>
          <w:szCs w:val="30"/>
        </w:rPr>
        <w:t>1</w:t>
      </w:r>
      <w:r>
        <w:rPr>
          <w:rFonts w:hint="eastAsia" w:ascii="仿宋_GB2312" w:hAnsi="Times New Roman" w:eastAsia="仿宋_GB2312" w:cs="Times New Roman"/>
          <w:sz w:val="30"/>
          <w:szCs w:val="30"/>
        </w:rPr>
        <w:fldChar w:fldCharType="end"/>
      </w:r>
      <w:r>
        <w:rPr>
          <w:rFonts w:hint="eastAsia" w:ascii="仿宋_GB2312" w:hAnsi="Times New Roman" w:eastAsia="仿宋_GB2312" w:cs="Times New Roman"/>
          <w:sz w:val="30"/>
          <w:szCs w:val="30"/>
        </w:rPr>
        <w:fldChar w:fldCharType="end"/>
      </w:r>
    </w:p>
    <w:p>
      <w:pPr>
        <w:pStyle w:val="10"/>
        <w:tabs>
          <w:tab w:val="right" w:leader="dot" w:pos="8306"/>
        </w:tabs>
        <w:rPr>
          <w:rFonts w:ascii="仿宋_GB2312" w:hAnsi="Times New Roman" w:eastAsia="仿宋_GB2312"/>
          <w:sz w:val="30"/>
          <w:szCs w:val="30"/>
        </w:rPr>
      </w:pPr>
      <w:r>
        <w:fldChar w:fldCharType="begin"/>
      </w:r>
      <w:r>
        <w:instrText xml:space="preserve"> HYPERLINK \l "_Toc21919" </w:instrText>
      </w:r>
      <w:r>
        <w:fldChar w:fldCharType="separate"/>
      </w:r>
      <w:r>
        <w:rPr>
          <w:rFonts w:hint="eastAsia" w:ascii="仿宋_GB2312" w:hAnsi="Times New Roman" w:eastAsia="仿宋_GB2312"/>
          <w:sz w:val="30"/>
          <w:szCs w:val="30"/>
        </w:rPr>
        <w:t>一、主要职责</w:t>
      </w:r>
      <w:r>
        <w:rPr>
          <w:rFonts w:hint="eastAsia" w:ascii="仿宋_GB2312" w:hAnsi="Times New Roman" w:eastAsia="仿宋_GB2312"/>
          <w:sz w:val="30"/>
          <w:szCs w:val="30"/>
        </w:rPr>
        <w:tab/>
      </w:r>
      <w:r>
        <w:rPr>
          <w:rFonts w:hint="eastAsia" w:ascii="仿宋_GB2312" w:hAnsi="Times New Roman" w:eastAsia="仿宋_GB2312"/>
          <w:sz w:val="30"/>
          <w:szCs w:val="30"/>
        </w:rPr>
        <w:fldChar w:fldCharType="begin"/>
      </w:r>
      <w:r>
        <w:rPr>
          <w:rFonts w:hint="eastAsia" w:ascii="仿宋_GB2312" w:hAnsi="Times New Roman" w:eastAsia="仿宋_GB2312"/>
          <w:sz w:val="30"/>
          <w:szCs w:val="30"/>
        </w:rPr>
        <w:instrText xml:space="preserve"> PAGEREF _Toc21919 \h </w:instrText>
      </w:r>
      <w:r>
        <w:rPr>
          <w:rFonts w:hint="eastAsia" w:ascii="仿宋_GB2312" w:hAnsi="Times New Roman" w:eastAsia="仿宋_GB2312"/>
          <w:sz w:val="30"/>
          <w:szCs w:val="30"/>
        </w:rPr>
        <w:fldChar w:fldCharType="separate"/>
      </w:r>
      <w:r>
        <w:rPr>
          <w:rFonts w:hint="eastAsia" w:ascii="仿宋_GB2312" w:hAnsi="Times New Roman" w:eastAsia="仿宋_GB2312"/>
          <w:sz w:val="30"/>
          <w:szCs w:val="30"/>
        </w:rPr>
        <w:t>1</w:t>
      </w:r>
      <w:r>
        <w:rPr>
          <w:rFonts w:hint="eastAsia" w:ascii="仿宋_GB2312" w:hAnsi="Times New Roman" w:eastAsia="仿宋_GB2312"/>
          <w:sz w:val="30"/>
          <w:szCs w:val="30"/>
        </w:rPr>
        <w:fldChar w:fldCharType="end"/>
      </w:r>
      <w:r>
        <w:rPr>
          <w:rFonts w:hint="eastAsia" w:ascii="仿宋_GB2312" w:hAnsi="Times New Roman" w:eastAsia="仿宋_GB2312"/>
          <w:sz w:val="30"/>
          <w:szCs w:val="30"/>
        </w:rPr>
        <w:fldChar w:fldCharType="end"/>
      </w:r>
    </w:p>
    <w:p>
      <w:pPr>
        <w:pStyle w:val="10"/>
        <w:tabs>
          <w:tab w:val="right" w:leader="dot" w:pos="8306"/>
        </w:tabs>
        <w:rPr>
          <w:rFonts w:ascii="仿宋_GB2312" w:hAnsi="Times New Roman" w:eastAsia="仿宋_GB2312"/>
          <w:sz w:val="30"/>
          <w:szCs w:val="30"/>
        </w:rPr>
      </w:pPr>
      <w:r>
        <w:fldChar w:fldCharType="begin"/>
      </w:r>
      <w:r>
        <w:instrText xml:space="preserve"> HYPERLINK \l "_Toc17388" </w:instrText>
      </w:r>
      <w:r>
        <w:fldChar w:fldCharType="separate"/>
      </w:r>
      <w:r>
        <w:rPr>
          <w:rFonts w:hint="eastAsia" w:ascii="仿宋_GB2312" w:hAnsi="Times New Roman" w:eastAsia="仿宋_GB2312"/>
          <w:sz w:val="30"/>
          <w:szCs w:val="30"/>
        </w:rPr>
        <w:t>二、机构设置</w:t>
      </w:r>
      <w:r>
        <w:rPr>
          <w:rFonts w:hint="eastAsia" w:ascii="仿宋_GB2312" w:hAnsi="Times New Roman" w:eastAsia="仿宋_GB2312"/>
          <w:sz w:val="30"/>
          <w:szCs w:val="30"/>
        </w:rPr>
        <w:tab/>
      </w:r>
      <w:r>
        <w:rPr>
          <w:rFonts w:hint="eastAsia" w:ascii="仿宋_GB2312" w:hAnsi="Times New Roman" w:eastAsia="仿宋_GB2312"/>
          <w:sz w:val="30"/>
          <w:szCs w:val="30"/>
        </w:rPr>
        <w:fldChar w:fldCharType="begin"/>
      </w:r>
      <w:r>
        <w:rPr>
          <w:rFonts w:hint="eastAsia" w:ascii="仿宋_GB2312" w:hAnsi="Times New Roman" w:eastAsia="仿宋_GB2312"/>
          <w:sz w:val="30"/>
          <w:szCs w:val="30"/>
        </w:rPr>
        <w:instrText xml:space="preserve"> PAGEREF _Toc17388 \h </w:instrText>
      </w:r>
      <w:r>
        <w:rPr>
          <w:rFonts w:hint="eastAsia" w:ascii="仿宋_GB2312" w:hAnsi="Times New Roman" w:eastAsia="仿宋_GB2312"/>
          <w:sz w:val="30"/>
          <w:szCs w:val="30"/>
        </w:rPr>
        <w:fldChar w:fldCharType="separate"/>
      </w:r>
      <w:r>
        <w:rPr>
          <w:rFonts w:hint="eastAsia" w:ascii="仿宋_GB2312" w:hAnsi="Times New Roman" w:eastAsia="仿宋_GB2312"/>
          <w:sz w:val="30"/>
          <w:szCs w:val="30"/>
        </w:rPr>
        <w:t>2</w:t>
      </w:r>
      <w:r>
        <w:rPr>
          <w:rFonts w:hint="eastAsia" w:ascii="仿宋_GB2312" w:hAnsi="Times New Roman" w:eastAsia="仿宋_GB2312"/>
          <w:sz w:val="30"/>
          <w:szCs w:val="30"/>
        </w:rPr>
        <w:fldChar w:fldCharType="end"/>
      </w:r>
      <w:r>
        <w:rPr>
          <w:rFonts w:hint="eastAsia" w:ascii="仿宋_GB2312" w:hAnsi="Times New Roman" w:eastAsia="仿宋_GB2312"/>
          <w:sz w:val="30"/>
          <w:szCs w:val="30"/>
        </w:rPr>
        <w:fldChar w:fldCharType="end"/>
      </w:r>
    </w:p>
    <w:p>
      <w:pPr>
        <w:pStyle w:val="9"/>
        <w:tabs>
          <w:tab w:val="right" w:leader="dot" w:pos="8306"/>
          <w:tab w:val="clear" w:pos="8296"/>
        </w:tabs>
        <w:rPr>
          <w:rFonts w:ascii="仿宋_GB2312" w:hAnsi="Times New Roman" w:eastAsia="仿宋_GB2312" w:cs="Times New Roman"/>
          <w:sz w:val="30"/>
          <w:szCs w:val="30"/>
        </w:rPr>
      </w:pPr>
      <w:r>
        <w:fldChar w:fldCharType="begin"/>
      </w:r>
      <w:r>
        <w:instrText xml:space="preserve"> HYPERLINK \l "_Toc24747" </w:instrText>
      </w:r>
      <w:r>
        <w:fldChar w:fldCharType="separate"/>
      </w:r>
      <w:r>
        <w:rPr>
          <w:rFonts w:hint="eastAsia" w:ascii="仿宋_GB2312" w:hAnsi="Times New Roman" w:eastAsia="仿宋_GB2312" w:cs="Times New Roman"/>
          <w:sz w:val="30"/>
          <w:szCs w:val="30"/>
        </w:rPr>
        <w:t>第二部分  2022年度部门决算表</w:t>
      </w:r>
      <w:r>
        <w:rPr>
          <w:rFonts w:hint="eastAsia" w:ascii="仿宋_GB2312" w:hAnsi="Times New Roman" w:eastAsia="仿宋_GB2312" w:cs="Times New Roman"/>
          <w:sz w:val="30"/>
          <w:szCs w:val="30"/>
        </w:rPr>
        <w:tab/>
      </w:r>
      <w:r>
        <w:rPr>
          <w:rFonts w:hint="eastAsia" w:ascii="仿宋_GB2312" w:hAnsi="Times New Roman" w:eastAsia="仿宋_GB2312" w:cs="Times New Roman"/>
          <w:sz w:val="30"/>
          <w:szCs w:val="30"/>
        </w:rPr>
        <w:fldChar w:fldCharType="begin"/>
      </w:r>
      <w:r>
        <w:rPr>
          <w:rFonts w:hint="eastAsia" w:ascii="仿宋_GB2312" w:hAnsi="Times New Roman" w:eastAsia="仿宋_GB2312" w:cs="Times New Roman"/>
          <w:sz w:val="30"/>
          <w:szCs w:val="30"/>
        </w:rPr>
        <w:instrText xml:space="preserve"> PAGEREF _Toc24747 \h </w:instrText>
      </w:r>
      <w:r>
        <w:rPr>
          <w:rFonts w:hint="eastAsia" w:ascii="仿宋_GB2312" w:hAnsi="Times New Roman" w:eastAsia="仿宋_GB2312" w:cs="Times New Roman"/>
          <w:sz w:val="30"/>
          <w:szCs w:val="30"/>
        </w:rPr>
        <w:fldChar w:fldCharType="separate"/>
      </w:r>
      <w:r>
        <w:rPr>
          <w:rFonts w:hint="eastAsia" w:ascii="仿宋_GB2312" w:hAnsi="Times New Roman" w:eastAsia="仿宋_GB2312" w:cs="Times New Roman"/>
          <w:sz w:val="30"/>
          <w:szCs w:val="30"/>
        </w:rPr>
        <w:t>3</w:t>
      </w:r>
      <w:r>
        <w:rPr>
          <w:rFonts w:hint="eastAsia" w:ascii="仿宋_GB2312" w:hAnsi="Times New Roman" w:eastAsia="仿宋_GB2312" w:cs="Times New Roman"/>
          <w:sz w:val="30"/>
          <w:szCs w:val="30"/>
        </w:rPr>
        <w:fldChar w:fldCharType="end"/>
      </w:r>
      <w:r>
        <w:rPr>
          <w:rFonts w:hint="eastAsia" w:ascii="仿宋_GB2312" w:hAnsi="Times New Roman" w:eastAsia="仿宋_GB2312" w:cs="Times New Roman"/>
          <w:sz w:val="30"/>
          <w:szCs w:val="30"/>
        </w:rPr>
        <w:fldChar w:fldCharType="end"/>
      </w:r>
    </w:p>
    <w:p>
      <w:pPr>
        <w:pStyle w:val="10"/>
        <w:tabs>
          <w:tab w:val="right" w:leader="dot" w:pos="8306"/>
        </w:tabs>
        <w:rPr>
          <w:rFonts w:ascii="仿宋_GB2312" w:hAnsi="Times New Roman" w:eastAsia="仿宋_GB2312"/>
          <w:sz w:val="30"/>
          <w:szCs w:val="30"/>
        </w:rPr>
      </w:pPr>
      <w:r>
        <w:fldChar w:fldCharType="begin"/>
      </w:r>
      <w:r>
        <w:instrText xml:space="preserve"> HYPERLINK \l "_Toc20142" </w:instrText>
      </w:r>
      <w:r>
        <w:fldChar w:fldCharType="separate"/>
      </w:r>
      <w:r>
        <w:rPr>
          <w:rFonts w:hint="eastAsia" w:ascii="仿宋_GB2312" w:hAnsi="Times New Roman" w:eastAsia="仿宋_GB2312"/>
          <w:sz w:val="30"/>
          <w:szCs w:val="30"/>
        </w:rPr>
        <w:t>一、《收入支出决算总表》</w:t>
      </w:r>
      <w:r>
        <w:rPr>
          <w:rFonts w:hint="eastAsia" w:ascii="仿宋_GB2312" w:hAnsi="Times New Roman" w:eastAsia="仿宋_GB2312"/>
          <w:sz w:val="30"/>
          <w:szCs w:val="30"/>
        </w:rPr>
        <w:tab/>
      </w:r>
      <w:r>
        <w:rPr>
          <w:rFonts w:hint="eastAsia" w:ascii="仿宋_GB2312" w:hAnsi="Times New Roman" w:eastAsia="仿宋_GB2312"/>
          <w:sz w:val="30"/>
          <w:szCs w:val="30"/>
        </w:rPr>
        <w:fldChar w:fldCharType="begin"/>
      </w:r>
      <w:r>
        <w:rPr>
          <w:rFonts w:hint="eastAsia" w:ascii="仿宋_GB2312" w:hAnsi="Times New Roman" w:eastAsia="仿宋_GB2312"/>
          <w:sz w:val="30"/>
          <w:szCs w:val="30"/>
        </w:rPr>
        <w:instrText xml:space="preserve"> PAGEREF _Toc20142 \h </w:instrText>
      </w:r>
      <w:r>
        <w:rPr>
          <w:rFonts w:hint="eastAsia" w:ascii="仿宋_GB2312" w:hAnsi="Times New Roman" w:eastAsia="仿宋_GB2312"/>
          <w:sz w:val="30"/>
          <w:szCs w:val="30"/>
        </w:rPr>
        <w:fldChar w:fldCharType="separate"/>
      </w:r>
      <w:r>
        <w:rPr>
          <w:rFonts w:hint="eastAsia" w:ascii="仿宋_GB2312" w:hAnsi="Times New Roman" w:eastAsia="仿宋_GB2312"/>
          <w:sz w:val="30"/>
          <w:szCs w:val="30"/>
        </w:rPr>
        <w:t>3</w:t>
      </w:r>
      <w:r>
        <w:rPr>
          <w:rFonts w:hint="eastAsia" w:ascii="仿宋_GB2312" w:hAnsi="Times New Roman" w:eastAsia="仿宋_GB2312"/>
          <w:sz w:val="30"/>
          <w:szCs w:val="30"/>
        </w:rPr>
        <w:fldChar w:fldCharType="end"/>
      </w:r>
      <w:r>
        <w:rPr>
          <w:rFonts w:hint="eastAsia" w:ascii="仿宋_GB2312" w:hAnsi="Times New Roman" w:eastAsia="仿宋_GB2312"/>
          <w:sz w:val="30"/>
          <w:szCs w:val="30"/>
        </w:rPr>
        <w:fldChar w:fldCharType="end"/>
      </w:r>
    </w:p>
    <w:p>
      <w:pPr>
        <w:pStyle w:val="10"/>
        <w:tabs>
          <w:tab w:val="right" w:leader="dot" w:pos="8306"/>
        </w:tabs>
        <w:rPr>
          <w:rFonts w:ascii="仿宋_GB2312" w:hAnsi="Times New Roman" w:eastAsia="仿宋_GB2312"/>
          <w:sz w:val="30"/>
          <w:szCs w:val="30"/>
        </w:rPr>
      </w:pPr>
      <w:r>
        <w:fldChar w:fldCharType="begin"/>
      </w:r>
      <w:r>
        <w:instrText xml:space="preserve"> HYPERLINK \l "_Toc1616" </w:instrText>
      </w:r>
      <w:r>
        <w:fldChar w:fldCharType="separate"/>
      </w:r>
      <w:r>
        <w:rPr>
          <w:rFonts w:hint="eastAsia" w:ascii="仿宋_GB2312" w:hAnsi="Times New Roman" w:eastAsia="仿宋_GB2312"/>
          <w:sz w:val="30"/>
          <w:szCs w:val="30"/>
        </w:rPr>
        <w:t>二、《收入决算表（按功能分类列示）》</w:t>
      </w:r>
      <w:r>
        <w:rPr>
          <w:rFonts w:hint="eastAsia" w:ascii="仿宋_GB2312" w:hAnsi="Times New Roman" w:eastAsia="仿宋_GB2312"/>
          <w:sz w:val="30"/>
          <w:szCs w:val="30"/>
        </w:rPr>
        <w:tab/>
      </w:r>
      <w:r>
        <w:rPr>
          <w:rFonts w:hint="eastAsia" w:ascii="仿宋_GB2312" w:hAnsi="Times New Roman" w:eastAsia="仿宋_GB2312"/>
          <w:sz w:val="30"/>
          <w:szCs w:val="30"/>
        </w:rPr>
        <w:fldChar w:fldCharType="begin"/>
      </w:r>
      <w:r>
        <w:rPr>
          <w:rFonts w:hint="eastAsia" w:ascii="仿宋_GB2312" w:hAnsi="Times New Roman" w:eastAsia="仿宋_GB2312"/>
          <w:sz w:val="30"/>
          <w:szCs w:val="30"/>
        </w:rPr>
        <w:instrText xml:space="preserve"> PAGEREF _Toc1616 \h </w:instrText>
      </w:r>
      <w:r>
        <w:rPr>
          <w:rFonts w:hint="eastAsia" w:ascii="仿宋_GB2312" w:hAnsi="Times New Roman" w:eastAsia="仿宋_GB2312"/>
          <w:sz w:val="30"/>
          <w:szCs w:val="30"/>
        </w:rPr>
        <w:fldChar w:fldCharType="separate"/>
      </w:r>
      <w:r>
        <w:rPr>
          <w:rFonts w:hint="eastAsia" w:ascii="仿宋_GB2312" w:hAnsi="Times New Roman" w:eastAsia="仿宋_GB2312"/>
          <w:sz w:val="30"/>
          <w:szCs w:val="30"/>
        </w:rPr>
        <w:t>3</w:t>
      </w:r>
      <w:r>
        <w:rPr>
          <w:rFonts w:hint="eastAsia" w:ascii="仿宋_GB2312" w:hAnsi="Times New Roman" w:eastAsia="仿宋_GB2312"/>
          <w:sz w:val="30"/>
          <w:szCs w:val="30"/>
        </w:rPr>
        <w:fldChar w:fldCharType="end"/>
      </w:r>
      <w:r>
        <w:rPr>
          <w:rFonts w:hint="eastAsia" w:ascii="仿宋_GB2312" w:hAnsi="Times New Roman" w:eastAsia="仿宋_GB2312"/>
          <w:sz w:val="30"/>
          <w:szCs w:val="30"/>
        </w:rPr>
        <w:fldChar w:fldCharType="end"/>
      </w:r>
    </w:p>
    <w:p>
      <w:pPr>
        <w:pStyle w:val="10"/>
        <w:tabs>
          <w:tab w:val="right" w:leader="dot" w:pos="8306"/>
        </w:tabs>
        <w:rPr>
          <w:rFonts w:ascii="仿宋_GB2312" w:hAnsi="Times New Roman" w:eastAsia="仿宋_GB2312"/>
          <w:sz w:val="30"/>
          <w:szCs w:val="30"/>
        </w:rPr>
      </w:pPr>
      <w:r>
        <w:fldChar w:fldCharType="begin"/>
      </w:r>
      <w:r>
        <w:instrText xml:space="preserve"> HYPERLINK \l "_Toc12050" </w:instrText>
      </w:r>
      <w:r>
        <w:fldChar w:fldCharType="separate"/>
      </w:r>
      <w:r>
        <w:rPr>
          <w:rFonts w:hint="eastAsia" w:ascii="仿宋_GB2312" w:hAnsi="Times New Roman" w:eastAsia="仿宋_GB2312"/>
          <w:sz w:val="30"/>
          <w:szCs w:val="30"/>
        </w:rPr>
        <w:t>三、《收入决算表（按单位列示）》</w:t>
      </w:r>
      <w:r>
        <w:rPr>
          <w:rFonts w:hint="eastAsia" w:ascii="仿宋_GB2312" w:hAnsi="Times New Roman" w:eastAsia="仿宋_GB2312"/>
          <w:sz w:val="30"/>
          <w:szCs w:val="30"/>
        </w:rPr>
        <w:tab/>
      </w:r>
      <w:r>
        <w:rPr>
          <w:rFonts w:hint="eastAsia" w:ascii="仿宋_GB2312" w:hAnsi="Times New Roman" w:eastAsia="仿宋_GB2312"/>
          <w:sz w:val="30"/>
          <w:szCs w:val="30"/>
        </w:rPr>
        <w:fldChar w:fldCharType="begin"/>
      </w:r>
      <w:r>
        <w:rPr>
          <w:rFonts w:hint="eastAsia" w:ascii="仿宋_GB2312" w:hAnsi="Times New Roman" w:eastAsia="仿宋_GB2312"/>
          <w:sz w:val="30"/>
          <w:szCs w:val="30"/>
        </w:rPr>
        <w:instrText xml:space="preserve"> PAGEREF _Toc12050 \h </w:instrText>
      </w:r>
      <w:r>
        <w:rPr>
          <w:rFonts w:hint="eastAsia" w:ascii="仿宋_GB2312" w:hAnsi="Times New Roman" w:eastAsia="仿宋_GB2312"/>
          <w:sz w:val="30"/>
          <w:szCs w:val="30"/>
        </w:rPr>
        <w:fldChar w:fldCharType="separate"/>
      </w:r>
      <w:r>
        <w:rPr>
          <w:rFonts w:hint="eastAsia" w:ascii="仿宋_GB2312" w:hAnsi="Times New Roman" w:eastAsia="仿宋_GB2312"/>
          <w:sz w:val="30"/>
          <w:szCs w:val="30"/>
        </w:rPr>
        <w:t>3</w:t>
      </w:r>
      <w:r>
        <w:rPr>
          <w:rFonts w:hint="eastAsia" w:ascii="仿宋_GB2312" w:hAnsi="Times New Roman" w:eastAsia="仿宋_GB2312"/>
          <w:sz w:val="30"/>
          <w:szCs w:val="30"/>
        </w:rPr>
        <w:fldChar w:fldCharType="end"/>
      </w:r>
      <w:r>
        <w:rPr>
          <w:rFonts w:hint="eastAsia" w:ascii="仿宋_GB2312" w:hAnsi="Times New Roman" w:eastAsia="仿宋_GB2312"/>
          <w:sz w:val="30"/>
          <w:szCs w:val="30"/>
        </w:rPr>
        <w:fldChar w:fldCharType="end"/>
      </w:r>
    </w:p>
    <w:p>
      <w:pPr>
        <w:pStyle w:val="10"/>
        <w:tabs>
          <w:tab w:val="right" w:leader="dot" w:pos="8306"/>
        </w:tabs>
        <w:rPr>
          <w:rFonts w:ascii="仿宋_GB2312" w:hAnsi="Times New Roman" w:eastAsia="仿宋_GB2312"/>
          <w:sz w:val="30"/>
          <w:szCs w:val="30"/>
        </w:rPr>
      </w:pPr>
      <w:r>
        <w:fldChar w:fldCharType="begin"/>
      </w:r>
      <w:r>
        <w:instrText xml:space="preserve"> HYPERLINK \l "_Toc1989" </w:instrText>
      </w:r>
      <w:r>
        <w:fldChar w:fldCharType="separate"/>
      </w:r>
      <w:r>
        <w:rPr>
          <w:rFonts w:hint="eastAsia" w:ascii="仿宋_GB2312" w:hAnsi="Times New Roman" w:eastAsia="仿宋_GB2312"/>
          <w:sz w:val="30"/>
          <w:szCs w:val="30"/>
        </w:rPr>
        <w:t>四、《支出决算表》</w:t>
      </w:r>
      <w:r>
        <w:rPr>
          <w:rFonts w:hint="eastAsia" w:ascii="仿宋_GB2312" w:hAnsi="Times New Roman" w:eastAsia="仿宋_GB2312"/>
          <w:sz w:val="30"/>
          <w:szCs w:val="30"/>
        </w:rPr>
        <w:tab/>
      </w:r>
      <w:r>
        <w:rPr>
          <w:rFonts w:hint="eastAsia" w:ascii="仿宋_GB2312" w:hAnsi="Times New Roman" w:eastAsia="仿宋_GB2312"/>
          <w:sz w:val="30"/>
          <w:szCs w:val="30"/>
        </w:rPr>
        <w:fldChar w:fldCharType="begin"/>
      </w:r>
      <w:r>
        <w:rPr>
          <w:rFonts w:hint="eastAsia" w:ascii="仿宋_GB2312" w:hAnsi="Times New Roman" w:eastAsia="仿宋_GB2312"/>
          <w:sz w:val="30"/>
          <w:szCs w:val="30"/>
        </w:rPr>
        <w:instrText xml:space="preserve"> PAGEREF _Toc1989 \h </w:instrText>
      </w:r>
      <w:r>
        <w:rPr>
          <w:rFonts w:hint="eastAsia" w:ascii="仿宋_GB2312" w:hAnsi="Times New Roman" w:eastAsia="仿宋_GB2312"/>
          <w:sz w:val="30"/>
          <w:szCs w:val="30"/>
        </w:rPr>
        <w:fldChar w:fldCharType="separate"/>
      </w:r>
      <w:r>
        <w:rPr>
          <w:rFonts w:hint="eastAsia" w:ascii="仿宋_GB2312" w:hAnsi="Times New Roman" w:eastAsia="仿宋_GB2312"/>
          <w:sz w:val="30"/>
          <w:szCs w:val="30"/>
        </w:rPr>
        <w:t>3</w:t>
      </w:r>
      <w:r>
        <w:rPr>
          <w:rFonts w:hint="eastAsia" w:ascii="仿宋_GB2312" w:hAnsi="Times New Roman" w:eastAsia="仿宋_GB2312"/>
          <w:sz w:val="30"/>
          <w:szCs w:val="30"/>
        </w:rPr>
        <w:fldChar w:fldCharType="end"/>
      </w:r>
      <w:r>
        <w:rPr>
          <w:rFonts w:hint="eastAsia" w:ascii="仿宋_GB2312" w:hAnsi="Times New Roman" w:eastAsia="仿宋_GB2312"/>
          <w:sz w:val="30"/>
          <w:szCs w:val="30"/>
        </w:rPr>
        <w:fldChar w:fldCharType="end"/>
      </w:r>
    </w:p>
    <w:p>
      <w:pPr>
        <w:pStyle w:val="10"/>
        <w:tabs>
          <w:tab w:val="right" w:leader="dot" w:pos="8306"/>
        </w:tabs>
        <w:rPr>
          <w:rFonts w:ascii="仿宋_GB2312" w:hAnsi="Times New Roman" w:eastAsia="仿宋_GB2312"/>
          <w:sz w:val="30"/>
          <w:szCs w:val="30"/>
        </w:rPr>
      </w:pPr>
      <w:r>
        <w:fldChar w:fldCharType="begin"/>
      </w:r>
      <w:r>
        <w:instrText xml:space="preserve"> HYPERLINK \l "_Toc32498" </w:instrText>
      </w:r>
      <w:r>
        <w:fldChar w:fldCharType="separate"/>
      </w:r>
      <w:r>
        <w:rPr>
          <w:rFonts w:hint="eastAsia" w:ascii="仿宋_GB2312" w:hAnsi="Times New Roman" w:eastAsia="仿宋_GB2312"/>
          <w:sz w:val="30"/>
          <w:szCs w:val="30"/>
        </w:rPr>
        <w:t>五、《财政拨款收入支出决算总表》</w:t>
      </w:r>
      <w:r>
        <w:rPr>
          <w:rFonts w:hint="eastAsia" w:ascii="仿宋_GB2312" w:hAnsi="Times New Roman" w:eastAsia="仿宋_GB2312"/>
          <w:sz w:val="30"/>
          <w:szCs w:val="30"/>
        </w:rPr>
        <w:tab/>
      </w:r>
      <w:r>
        <w:rPr>
          <w:rFonts w:hint="eastAsia" w:ascii="仿宋_GB2312" w:hAnsi="Times New Roman" w:eastAsia="仿宋_GB2312"/>
          <w:sz w:val="30"/>
          <w:szCs w:val="30"/>
        </w:rPr>
        <w:fldChar w:fldCharType="begin"/>
      </w:r>
      <w:r>
        <w:rPr>
          <w:rFonts w:hint="eastAsia" w:ascii="仿宋_GB2312" w:hAnsi="Times New Roman" w:eastAsia="仿宋_GB2312"/>
          <w:sz w:val="30"/>
          <w:szCs w:val="30"/>
        </w:rPr>
        <w:instrText xml:space="preserve"> PAGEREF _Toc32498 \h </w:instrText>
      </w:r>
      <w:r>
        <w:rPr>
          <w:rFonts w:hint="eastAsia" w:ascii="仿宋_GB2312" w:hAnsi="Times New Roman" w:eastAsia="仿宋_GB2312"/>
          <w:sz w:val="30"/>
          <w:szCs w:val="30"/>
        </w:rPr>
        <w:fldChar w:fldCharType="separate"/>
      </w:r>
      <w:r>
        <w:rPr>
          <w:rFonts w:hint="eastAsia" w:ascii="仿宋_GB2312" w:hAnsi="Times New Roman" w:eastAsia="仿宋_GB2312"/>
          <w:sz w:val="30"/>
          <w:szCs w:val="30"/>
        </w:rPr>
        <w:t>3</w:t>
      </w:r>
      <w:r>
        <w:rPr>
          <w:rFonts w:hint="eastAsia" w:ascii="仿宋_GB2312" w:hAnsi="Times New Roman" w:eastAsia="仿宋_GB2312"/>
          <w:sz w:val="30"/>
          <w:szCs w:val="30"/>
        </w:rPr>
        <w:fldChar w:fldCharType="end"/>
      </w:r>
      <w:r>
        <w:rPr>
          <w:rFonts w:hint="eastAsia" w:ascii="仿宋_GB2312" w:hAnsi="Times New Roman" w:eastAsia="仿宋_GB2312"/>
          <w:sz w:val="30"/>
          <w:szCs w:val="30"/>
        </w:rPr>
        <w:fldChar w:fldCharType="end"/>
      </w:r>
    </w:p>
    <w:p>
      <w:pPr>
        <w:pStyle w:val="10"/>
        <w:tabs>
          <w:tab w:val="right" w:leader="dot" w:pos="8306"/>
        </w:tabs>
        <w:rPr>
          <w:rFonts w:ascii="仿宋_GB2312" w:hAnsi="Times New Roman" w:eastAsia="仿宋_GB2312"/>
          <w:sz w:val="30"/>
          <w:szCs w:val="30"/>
        </w:rPr>
      </w:pPr>
      <w:r>
        <w:fldChar w:fldCharType="begin"/>
      </w:r>
      <w:r>
        <w:instrText xml:space="preserve"> HYPERLINK \l "_Toc26379" </w:instrText>
      </w:r>
      <w:r>
        <w:fldChar w:fldCharType="separate"/>
      </w:r>
      <w:r>
        <w:rPr>
          <w:rFonts w:hint="eastAsia" w:ascii="仿宋_GB2312" w:hAnsi="Times New Roman" w:eastAsia="仿宋_GB2312"/>
          <w:sz w:val="30"/>
          <w:szCs w:val="30"/>
        </w:rPr>
        <w:t>六、《一般公共预算财政拨款支出决算表》</w:t>
      </w:r>
      <w:r>
        <w:rPr>
          <w:rFonts w:hint="eastAsia" w:ascii="仿宋_GB2312" w:hAnsi="Times New Roman" w:eastAsia="仿宋_GB2312"/>
          <w:sz w:val="30"/>
          <w:szCs w:val="30"/>
        </w:rPr>
        <w:tab/>
      </w:r>
      <w:r>
        <w:rPr>
          <w:rFonts w:hint="eastAsia" w:ascii="仿宋_GB2312" w:hAnsi="Times New Roman" w:eastAsia="仿宋_GB2312"/>
          <w:sz w:val="30"/>
          <w:szCs w:val="30"/>
        </w:rPr>
        <w:fldChar w:fldCharType="begin"/>
      </w:r>
      <w:r>
        <w:rPr>
          <w:rFonts w:hint="eastAsia" w:ascii="仿宋_GB2312" w:hAnsi="Times New Roman" w:eastAsia="仿宋_GB2312"/>
          <w:sz w:val="30"/>
          <w:szCs w:val="30"/>
        </w:rPr>
        <w:instrText xml:space="preserve"> PAGEREF _Toc26379 \h </w:instrText>
      </w:r>
      <w:r>
        <w:rPr>
          <w:rFonts w:hint="eastAsia" w:ascii="仿宋_GB2312" w:hAnsi="Times New Roman" w:eastAsia="仿宋_GB2312"/>
          <w:sz w:val="30"/>
          <w:szCs w:val="30"/>
        </w:rPr>
        <w:fldChar w:fldCharType="separate"/>
      </w:r>
      <w:r>
        <w:rPr>
          <w:rFonts w:hint="eastAsia" w:ascii="仿宋_GB2312" w:hAnsi="Times New Roman" w:eastAsia="仿宋_GB2312"/>
          <w:sz w:val="30"/>
          <w:szCs w:val="30"/>
        </w:rPr>
        <w:t>3</w:t>
      </w:r>
      <w:r>
        <w:rPr>
          <w:rFonts w:hint="eastAsia" w:ascii="仿宋_GB2312" w:hAnsi="Times New Roman" w:eastAsia="仿宋_GB2312"/>
          <w:sz w:val="30"/>
          <w:szCs w:val="30"/>
        </w:rPr>
        <w:fldChar w:fldCharType="end"/>
      </w:r>
      <w:r>
        <w:rPr>
          <w:rFonts w:hint="eastAsia" w:ascii="仿宋_GB2312" w:hAnsi="Times New Roman" w:eastAsia="仿宋_GB2312"/>
          <w:sz w:val="30"/>
          <w:szCs w:val="30"/>
        </w:rPr>
        <w:fldChar w:fldCharType="end"/>
      </w:r>
    </w:p>
    <w:p>
      <w:pPr>
        <w:pStyle w:val="10"/>
        <w:tabs>
          <w:tab w:val="right" w:leader="dot" w:pos="8306"/>
        </w:tabs>
        <w:rPr>
          <w:rFonts w:ascii="仿宋_GB2312" w:hAnsi="Times New Roman" w:eastAsia="仿宋_GB2312"/>
          <w:sz w:val="30"/>
          <w:szCs w:val="30"/>
        </w:rPr>
      </w:pPr>
      <w:r>
        <w:fldChar w:fldCharType="begin"/>
      </w:r>
      <w:r>
        <w:instrText xml:space="preserve"> HYPERLINK \l "_Toc4498" </w:instrText>
      </w:r>
      <w:r>
        <w:fldChar w:fldCharType="separate"/>
      </w:r>
      <w:r>
        <w:rPr>
          <w:rFonts w:hint="eastAsia" w:ascii="仿宋_GB2312" w:hAnsi="Times New Roman" w:eastAsia="仿宋_GB2312"/>
          <w:sz w:val="30"/>
          <w:szCs w:val="30"/>
        </w:rPr>
        <w:t>七、《一般公共预算财政拨款基本支出决算表》</w:t>
      </w:r>
      <w:r>
        <w:rPr>
          <w:rFonts w:hint="eastAsia" w:ascii="仿宋_GB2312" w:hAnsi="Times New Roman" w:eastAsia="仿宋_GB2312"/>
          <w:sz w:val="30"/>
          <w:szCs w:val="30"/>
        </w:rPr>
        <w:tab/>
      </w:r>
      <w:r>
        <w:rPr>
          <w:rFonts w:hint="eastAsia" w:ascii="仿宋_GB2312" w:hAnsi="Times New Roman" w:eastAsia="仿宋_GB2312"/>
          <w:sz w:val="30"/>
          <w:szCs w:val="30"/>
        </w:rPr>
        <w:fldChar w:fldCharType="begin"/>
      </w:r>
      <w:r>
        <w:rPr>
          <w:rFonts w:hint="eastAsia" w:ascii="仿宋_GB2312" w:hAnsi="Times New Roman" w:eastAsia="仿宋_GB2312"/>
          <w:sz w:val="30"/>
          <w:szCs w:val="30"/>
        </w:rPr>
        <w:instrText xml:space="preserve"> PAGEREF _Toc4498 \h </w:instrText>
      </w:r>
      <w:r>
        <w:rPr>
          <w:rFonts w:hint="eastAsia" w:ascii="仿宋_GB2312" w:hAnsi="Times New Roman" w:eastAsia="仿宋_GB2312"/>
          <w:sz w:val="30"/>
          <w:szCs w:val="30"/>
        </w:rPr>
        <w:fldChar w:fldCharType="separate"/>
      </w:r>
      <w:r>
        <w:rPr>
          <w:rFonts w:hint="eastAsia" w:ascii="仿宋_GB2312" w:hAnsi="Times New Roman" w:eastAsia="仿宋_GB2312"/>
          <w:sz w:val="30"/>
          <w:szCs w:val="30"/>
        </w:rPr>
        <w:t>3</w:t>
      </w:r>
      <w:r>
        <w:rPr>
          <w:rFonts w:hint="eastAsia" w:ascii="仿宋_GB2312" w:hAnsi="Times New Roman" w:eastAsia="仿宋_GB2312"/>
          <w:sz w:val="30"/>
          <w:szCs w:val="30"/>
        </w:rPr>
        <w:fldChar w:fldCharType="end"/>
      </w:r>
      <w:r>
        <w:rPr>
          <w:rFonts w:hint="eastAsia" w:ascii="仿宋_GB2312" w:hAnsi="Times New Roman" w:eastAsia="仿宋_GB2312"/>
          <w:sz w:val="30"/>
          <w:szCs w:val="30"/>
        </w:rPr>
        <w:fldChar w:fldCharType="end"/>
      </w:r>
    </w:p>
    <w:p>
      <w:pPr>
        <w:pStyle w:val="10"/>
        <w:tabs>
          <w:tab w:val="right" w:leader="dot" w:pos="8306"/>
        </w:tabs>
        <w:rPr>
          <w:rFonts w:ascii="仿宋_GB2312" w:hAnsi="Times New Roman" w:eastAsia="仿宋_GB2312"/>
          <w:sz w:val="30"/>
          <w:szCs w:val="30"/>
        </w:rPr>
      </w:pPr>
      <w:r>
        <w:fldChar w:fldCharType="begin"/>
      </w:r>
      <w:r>
        <w:instrText xml:space="preserve"> HYPERLINK \l "_Toc18038" </w:instrText>
      </w:r>
      <w:r>
        <w:fldChar w:fldCharType="separate"/>
      </w:r>
      <w:r>
        <w:rPr>
          <w:rFonts w:hint="eastAsia" w:ascii="仿宋_GB2312" w:hAnsi="Times New Roman" w:eastAsia="仿宋_GB2312"/>
          <w:sz w:val="30"/>
          <w:szCs w:val="30"/>
        </w:rPr>
        <w:t>八、《政府性基金预算财政拨款收入支出决算表》</w:t>
      </w:r>
      <w:r>
        <w:rPr>
          <w:rFonts w:hint="eastAsia" w:ascii="仿宋_GB2312" w:hAnsi="Times New Roman" w:eastAsia="仿宋_GB2312"/>
          <w:sz w:val="30"/>
          <w:szCs w:val="30"/>
        </w:rPr>
        <w:tab/>
      </w:r>
      <w:r>
        <w:rPr>
          <w:rFonts w:hint="eastAsia" w:ascii="仿宋_GB2312" w:hAnsi="Times New Roman" w:eastAsia="仿宋_GB2312"/>
          <w:sz w:val="30"/>
          <w:szCs w:val="30"/>
        </w:rPr>
        <w:fldChar w:fldCharType="begin"/>
      </w:r>
      <w:r>
        <w:rPr>
          <w:rFonts w:hint="eastAsia" w:ascii="仿宋_GB2312" w:hAnsi="Times New Roman" w:eastAsia="仿宋_GB2312"/>
          <w:sz w:val="30"/>
          <w:szCs w:val="30"/>
        </w:rPr>
        <w:instrText xml:space="preserve"> PAGEREF _Toc18038 \h </w:instrText>
      </w:r>
      <w:r>
        <w:rPr>
          <w:rFonts w:hint="eastAsia" w:ascii="仿宋_GB2312" w:hAnsi="Times New Roman" w:eastAsia="仿宋_GB2312"/>
          <w:sz w:val="30"/>
          <w:szCs w:val="30"/>
        </w:rPr>
        <w:fldChar w:fldCharType="separate"/>
      </w:r>
      <w:r>
        <w:rPr>
          <w:rFonts w:hint="eastAsia" w:ascii="仿宋_GB2312" w:hAnsi="Times New Roman" w:eastAsia="仿宋_GB2312"/>
          <w:sz w:val="30"/>
          <w:szCs w:val="30"/>
        </w:rPr>
        <w:t>3</w:t>
      </w:r>
      <w:r>
        <w:rPr>
          <w:rFonts w:hint="eastAsia" w:ascii="仿宋_GB2312" w:hAnsi="Times New Roman" w:eastAsia="仿宋_GB2312"/>
          <w:sz w:val="30"/>
          <w:szCs w:val="30"/>
        </w:rPr>
        <w:fldChar w:fldCharType="end"/>
      </w:r>
      <w:r>
        <w:rPr>
          <w:rFonts w:hint="eastAsia" w:ascii="仿宋_GB2312" w:hAnsi="Times New Roman" w:eastAsia="仿宋_GB2312"/>
          <w:sz w:val="30"/>
          <w:szCs w:val="30"/>
        </w:rPr>
        <w:fldChar w:fldCharType="end"/>
      </w:r>
    </w:p>
    <w:p>
      <w:pPr>
        <w:pStyle w:val="10"/>
        <w:tabs>
          <w:tab w:val="right" w:leader="dot" w:pos="8306"/>
        </w:tabs>
        <w:rPr>
          <w:rFonts w:ascii="仿宋_GB2312" w:hAnsi="Times New Roman" w:eastAsia="仿宋_GB2312"/>
          <w:sz w:val="30"/>
          <w:szCs w:val="30"/>
        </w:rPr>
      </w:pPr>
      <w:r>
        <w:fldChar w:fldCharType="begin"/>
      </w:r>
      <w:r>
        <w:instrText xml:space="preserve"> HYPERLINK \l "_Toc13200" </w:instrText>
      </w:r>
      <w:r>
        <w:fldChar w:fldCharType="separate"/>
      </w:r>
      <w:r>
        <w:rPr>
          <w:rFonts w:hint="eastAsia" w:ascii="仿宋_GB2312" w:hAnsi="Times New Roman" w:eastAsia="仿宋_GB2312"/>
          <w:sz w:val="30"/>
          <w:szCs w:val="30"/>
        </w:rPr>
        <w:t>九、《国有资本经营预算财政拨款收入支出决算表》</w:t>
      </w:r>
      <w:r>
        <w:rPr>
          <w:rFonts w:hint="eastAsia" w:ascii="仿宋_GB2312" w:hAnsi="Times New Roman" w:eastAsia="仿宋_GB2312"/>
          <w:sz w:val="30"/>
          <w:szCs w:val="30"/>
        </w:rPr>
        <w:tab/>
      </w:r>
      <w:r>
        <w:rPr>
          <w:rFonts w:hint="eastAsia" w:ascii="仿宋_GB2312" w:hAnsi="Times New Roman" w:eastAsia="仿宋_GB2312"/>
          <w:sz w:val="30"/>
          <w:szCs w:val="30"/>
        </w:rPr>
        <w:fldChar w:fldCharType="begin"/>
      </w:r>
      <w:r>
        <w:rPr>
          <w:rFonts w:hint="eastAsia" w:ascii="仿宋_GB2312" w:hAnsi="Times New Roman" w:eastAsia="仿宋_GB2312"/>
          <w:sz w:val="30"/>
          <w:szCs w:val="30"/>
        </w:rPr>
        <w:instrText xml:space="preserve"> PAGEREF _Toc13200 \h </w:instrText>
      </w:r>
      <w:r>
        <w:rPr>
          <w:rFonts w:hint="eastAsia" w:ascii="仿宋_GB2312" w:hAnsi="Times New Roman" w:eastAsia="仿宋_GB2312"/>
          <w:sz w:val="30"/>
          <w:szCs w:val="30"/>
        </w:rPr>
        <w:fldChar w:fldCharType="separate"/>
      </w:r>
      <w:r>
        <w:rPr>
          <w:rFonts w:hint="eastAsia" w:ascii="仿宋_GB2312" w:hAnsi="Times New Roman" w:eastAsia="仿宋_GB2312"/>
          <w:sz w:val="30"/>
          <w:szCs w:val="30"/>
        </w:rPr>
        <w:t>3</w:t>
      </w:r>
      <w:r>
        <w:rPr>
          <w:rFonts w:hint="eastAsia" w:ascii="仿宋_GB2312" w:hAnsi="Times New Roman" w:eastAsia="仿宋_GB2312"/>
          <w:sz w:val="30"/>
          <w:szCs w:val="30"/>
        </w:rPr>
        <w:fldChar w:fldCharType="end"/>
      </w:r>
      <w:r>
        <w:rPr>
          <w:rFonts w:hint="eastAsia" w:ascii="仿宋_GB2312" w:hAnsi="Times New Roman" w:eastAsia="仿宋_GB2312"/>
          <w:sz w:val="30"/>
          <w:szCs w:val="30"/>
        </w:rPr>
        <w:fldChar w:fldCharType="end"/>
      </w:r>
    </w:p>
    <w:p>
      <w:pPr>
        <w:pStyle w:val="10"/>
        <w:tabs>
          <w:tab w:val="right" w:leader="dot" w:pos="8306"/>
        </w:tabs>
        <w:rPr>
          <w:rFonts w:ascii="仿宋_GB2312" w:hAnsi="Times New Roman" w:eastAsia="仿宋_GB2312"/>
          <w:sz w:val="30"/>
          <w:szCs w:val="30"/>
        </w:rPr>
      </w:pPr>
      <w:r>
        <w:fldChar w:fldCharType="begin"/>
      </w:r>
      <w:r>
        <w:instrText xml:space="preserve"> HYPERLINK \l "_Toc3423" </w:instrText>
      </w:r>
      <w:r>
        <w:fldChar w:fldCharType="separate"/>
      </w:r>
      <w:r>
        <w:rPr>
          <w:rFonts w:hint="eastAsia" w:ascii="仿宋_GB2312" w:hAnsi="Times New Roman" w:eastAsia="仿宋_GB2312"/>
          <w:sz w:val="30"/>
          <w:szCs w:val="30"/>
        </w:rPr>
        <w:t>十、《一般公共预算财政拨款“三公”经费支出决算表》</w:t>
      </w:r>
      <w:r>
        <w:rPr>
          <w:rFonts w:hint="eastAsia" w:ascii="仿宋_GB2312" w:hAnsi="Times New Roman" w:eastAsia="仿宋_GB2312"/>
          <w:sz w:val="30"/>
          <w:szCs w:val="30"/>
        </w:rPr>
        <w:tab/>
      </w:r>
      <w:r>
        <w:rPr>
          <w:rFonts w:hint="eastAsia" w:ascii="仿宋_GB2312" w:hAnsi="Times New Roman" w:eastAsia="仿宋_GB2312"/>
          <w:sz w:val="30"/>
          <w:szCs w:val="30"/>
        </w:rPr>
        <w:fldChar w:fldCharType="begin"/>
      </w:r>
      <w:r>
        <w:rPr>
          <w:rFonts w:hint="eastAsia" w:ascii="仿宋_GB2312" w:hAnsi="Times New Roman" w:eastAsia="仿宋_GB2312"/>
          <w:sz w:val="30"/>
          <w:szCs w:val="30"/>
        </w:rPr>
        <w:instrText xml:space="preserve"> PAGEREF _Toc3423 \h </w:instrText>
      </w:r>
      <w:r>
        <w:rPr>
          <w:rFonts w:hint="eastAsia" w:ascii="仿宋_GB2312" w:hAnsi="Times New Roman" w:eastAsia="仿宋_GB2312"/>
          <w:sz w:val="30"/>
          <w:szCs w:val="30"/>
        </w:rPr>
        <w:fldChar w:fldCharType="separate"/>
      </w:r>
      <w:r>
        <w:rPr>
          <w:rFonts w:hint="eastAsia" w:ascii="仿宋_GB2312" w:hAnsi="Times New Roman" w:eastAsia="仿宋_GB2312"/>
          <w:sz w:val="30"/>
          <w:szCs w:val="30"/>
        </w:rPr>
        <w:t>3</w:t>
      </w:r>
      <w:r>
        <w:rPr>
          <w:rFonts w:hint="eastAsia" w:ascii="仿宋_GB2312" w:hAnsi="Times New Roman" w:eastAsia="仿宋_GB2312"/>
          <w:sz w:val="30"/>
          <w:szCs w:val="30"/>
        </w:rPr>
        <w:fldChar w:fldCharType="end"/>
      </w:r>
      <w:r>
        <w:rPr>
          <w:rFonts w:hint="eastAsia" w:ascii="仿宋_GB2312" w:hAnsi="Times New Roman" w:eastAsia="仿宋_GB2312"/>
          <w:sz w:val="30"/>
          <w:szCs w:val="30"/>
        </w:rPr>
        <w:fldChar w:fldCharType="end"/>
      </w:r>
    </w:p>
    <w:p>
      <w:pPr>
        <w:pStyle w:val="10"/>
        <w:tabs>
          <w:tab w:val="right" w:leader="dot" w:pos="8306"/>
        </w:tabs>
        <w:rPr>
          <w:rFonts w:ascii="仿宋_GB2312" w:hAnsi="Times New Roman" w:eastAsia="仿宋_GB2312"/>
          <w:sz w:val="30"/>
          <w:szCs w:val="30"/>
        </w:rPr>
      </w:pPr>
      <w:r>
        <w:fldChar w:fldCharType="begin"/>
      </w:r>
      <w:r>
        <w:instrText xml:space="preserve"> HYPERLINK \l "_Toc3915" </w:instrText>
      </w:r>
      <w:r>
        <w:fldChar w:fldCharType="separate"/>
      </w:r>
      <w:r>
        <w:rPr>
          <w:rFonts w:hint="eastAsia" w:ascii="仿宋_GB2312" w:hAnsi="Times New Roman" w:eastAsia="仿宋_GB2312"/>
          <w:sz w:val="30"/>
          <w:szCs w:val="30"/>
        </w:rPr>
        <w:t>十一、《项目支出决算表》</w:t>
      </w:r>
      <w:r>
        <w:rPr>
          <w:rFonts w:hint="eastAsia" w:ascii="仿宋_GB2312" w:hAnsi="Times New Roman" w:eastAsia="仿宋_GB2312"/>
          <w:sz w:val="30"/>
          <w:szCs w:val="30"/>
        </w:rPr>
        <w:tab/>
      </w:r>
      <w:r>
        <w:rPr>
          <w:rFonts w:hint="eastAsia" w:ascii="仿宋_GB2312" w:hAnsi="Times New Roman" w:eastAsia="仿宋_GB2312"/>
          <w:sz w:val="30"/>
          <w:szCs w:val="30"/>
        </w:rPr>
        <w:fldChar w:fldCharType="begin"/>
      </w:r>
      <w:r>
        <w:rPr>
          <w:rFonts w:hint="eastAsia" w:ascii="仿宋_GB2312" w:hAnsi="Times New Roman" w:eastAsia="仿宋_GB2312"/>
          <w:sz w:val="30"/>
          <w:szCs w:val="30"/>
        </w:rPr>
        <w:instrText xml:space="preserve"> PAGEREF _Toc3915 \h </w:instrText>
      </w:r>
      <w:r>
        <w:rPr>
          <w:rFonts w:hint="eastAsia" w:ascii="仿宋_GB2312" w:hAnsi="Times New Roman" w:eastAsia="仿宋_GB2312"/>
          <w:sz w:val="30"/>
          <w:szCs w:val="30"/>
        </w:rPr>
        <w:fldChar w:fldCharType="separate"/>
      </w:r>
      <w:r>
        <w:rPr>
          <w:rFonts w:hint="eastAsia" w:ascii="仿宋_GB2312" w:hAnsi="Times New Roman" w:eastAsia="仿宋_GB2312"/>
          <w:sz w:val="30"/>
          <w:szCs w:val="30"/>
        </w:rPr>
        <w:t>3</w:t>
      </w:r>
      <w:r>
        <w:rPr>
          <w:rFonts w:hint="eastAsia" w:ascii="仿宋_GB2312" w:hAnsi="Times New Roman" w:eastAsia="仿宋_GB2312"/>
          <w:sz w:val="30"/>
          <w:szCs w:val="30"/>
        </w:rPr>
        <w:fldChar w:fldCharType="end"/>
      </w:r>
      <w:r>
        <w:rPr>
          <w:rFonts w:hint="eastAsia" w:ascii="仿宋_GB2312" w:hAnsi="Times New Roman" w:eastAsia="仿宋_GB2312"/>
          <w:sz w:val="30"/>
          <w:szCs w:val="30"/>
        </w:rPr>
        <w:fldChar w:fldCharType="end"/>
      </w:r>
    </w:p>
    <w:p>
      <w:pPr>
        <w:pStyle w:val="10"/>
        <w:tabs>
          <w:tab w:val="right" w:leader="dot" w:pos="8306"/>
        </w:tabs>
        <w:rPr>
          <w:rFonts w:ascii="仿宋_GB2312" w:hAnsi="Times New Roman" w:eastAsia="仿宋_GB2312"/>
          <w:sz w:val="30"/>
          <w:szCs w:val="30"/>
        </w:rPr>
      </w:pPr>
      <w:r>
        <w:fldChar w:fldCharType="begin"/>
      </w:r>
      <w:r>
        <w:instrText xml:space="preserve"> HYPERLINK \l "_Toc17260" </w:instrText>
      </w:r>
      <w:r>
        <w:fldChar w:fldCharType="separate"/>
      </w:r>
      <w:r>
        <w:rPr>
          <w:rFonts w:hint="eastAsia" w:ascii="仿宋_GB2312" w:hAnsi="Times New Roman" w:eastAsia="仿宋_GB2312"/>
          <w:sz w:val="30"/>
          <w:szCs w:val="30"/>
        </w:rPr>
        <w:t>十二、关于空表的说明</w:t>
      </w:r>
      <w:r>
        <w:rPr>
          <w:rFonts w:hint="eastAsia" w:ascii="仿宋_GB2312" w:hAnsi="Times New Roman" w:eastAsia="仿宋_GB2312"/>
          <w:sz w:val="30"/>
          <w:szCs w:val="30"/>
        </w:rPr>
        <w:tab/>
      </w:r>
      <w:r>
        <w:rPr>
          <w:rFonts w:hint="eastAsia" w:ascii="仿宋_GB2312" w:hAnsi="Times New Roman" w:eastAsia="仿宋_GB2312"/>
          <w:sz w:val="30"/>
          <w:szCs w:val="30"/>
        </w:rPr>
        <w:fldChar w:fldCharType="begin"/>
      </w:r>
      <w:r>
        <w:rPr>
          <w:rFonts w:hint="eastAsia" w:ascii="仿宋_GB2312" w:hAnsi="Times New Roman" w:eastAsia="仿宋_GB2312"/>
          <w:sz w:val="30"/>
          <w:szCs w:val="30"/>
        </w:rPr>
        <w:instrText xml:space="preserve"> PAGEREF _Toc17260 \h </w:instrText>
      </w:r>
      <w:r>
        <w:rPr>
          <w:rFonts w:hint="eastAsia" w:ascii="仿宋_GB2312" w:hAnsi="Times New Roman" w:eastAsia="仿宋_GB2312"/>
          <w:sz w:val="30"/>
          <w:szCs w:val="30"/>
        </w:rPr>
        <w:fldChar w:fldCharType="separate"/>
      </w:r>
      <w:r>
        <w:rPr>
          <w:rFonts w:hint="eastAsia" w:ascii="仿宋_GB2312" w:hAnsi="Times New Roman" w:eastAsia="仿宋_GB2312"/>
          <w:sz w:val="30"/>
          <w:szCs w:val="30"/>
        </w:rPr>
        <w:t>3</w:t>
      </w:r>
      <w:r>
        <w:rPr>
          <w:rFonts w:hint="eastAsia" w:ascii="仿宋_GB2312" w:hAnsi="Times New Roman" w:eastAsia="仿宋_GB2312"/>
          <w:sz w:val="30"/>
          <w:szCs w:val="30"/>
        </w:rPr>
        <w:fldChar w:fldCharType="end"/>
      </w:r>
      <w:r>
        <w:rPr>
          <w:rFonts w:hint="eastAsia" w:ascii="仿宋_GB2312" w:hAnsi="Times New Roman" w:eastAsia="仿宋_GB2312"/>
          <w:sz w:val="30"/>
          <w:szCs w:val="30"/>
        </w:rPr>
        <w:fldChar w:fldCharType="end"/>
      </w:r>
    </w:p>
    <w:p>
      <w:pPr>
        <w:pStyle w:val="9"/>
        <w:tabs>
          <w:tab w:val="right" w:leader="dot" w:pos="8306"/>
          <w:tab w:val="clear" w:pos="8296"/>
        </w:tabs>
        <w:rPr>
          <w:rFonts w:ascii="仿宋_GB2312" w:hAnsi="Times New Roman" w:eastAsia="仿宋_GB2312" w:cs="Times New Roman"/>
          <w:sz w:val="30"/>
          <w:szCs w:val="30"/>
        </w:rPr>
      </w:pPr>
      <w:r>
        <w:fldChar w:fldCharType="begin"/>
      </w:r>
      <w:r>
        <w:instrText xml:space="preserve"> HYPERLINK \l "_Toc396" </w:instrText>
      </w:r>
      <w:r>
        <w:fldChar w:fldCharType="separate"/>
      </w:r>
      <w:r>
        <w:rPr>
          <w:rFonts w:hint="eastAsia" w:ascii="仿宋_GB2312" w:hAnsi="Times New Roman" w:eastAsia="仿宋_GB2312" w:cs="Times New Roman"/>
          <w:sz w:val="30"/>
          <w:szCs w:val="30"/>
        </w:rPr>
        <w:t>第三部分  2022年度部门决算情况说明</w:t>
      </w:r>
      <w:r>
        <w:rPr>
          <w:rFonts w:hint="eastAsia" w:ascii="仿宋_GB2312" w:hAnsi="Times New Roman" w:eastAsia="仿宋_GB2312" w:cs="Times New Roman"/>
          <w:sz w:val="30"/>
          <w:szCs w:val="30"/>
        </w:rPr>
        <w:tab/>
      </w:r>
      <w:r>
        <w:rPr>
          <w:rFonts w:hint="eastAsia" w:ascii="仿宋_GB2312" w:hAnsi="Times New Roman" w:eastAsia="仿宋_GB2312" w:cs="Times New Roman"/>
          <w:sz w:val="30"/>
          <w:szCs w:val="30"/>
        </w:rPr>
        <w:fldChar w:fldCharType="begin"/>
      </w:r>
      <w:r>
        <w:rPr>
          <w:rFonts w:hint="eastAsia" w:ascii="仿宋_GB2312" w:hAnsi="Times New Roman" w:eastAsia="仿宋_GB2312" w:cs="Times New Roman"/>
          <w:sz w:val="30"/>
          <w:szCs w:val="30"/>
        </w:rPr>
        <w:instrText xml:space="preserve"> PAGEREF _Toc396 \h </w:instrText>
      </w:r>
      <w:r>
        <w:rPr>
          <w:rFonts w:hint="eastAsia" w:ascii="仿宋_GB2312" w:hAnsi="Times New Roman" w:eastAsia="仿宋_GB2312" w:cs="Times New Roman"/>
          <w:sz w:val="30"/>
          <w:szCs w:val="30"/>
        </w:rPr>
        <w:fldChar w:fldCharType="separate"/>
      </w:r>
      <w:r>
        <w:rPr>
          <w:rFonts w:hint="eastAsia" w:ascii="仿宋_GB2312" w:hAnsi="Times New Roman" w:eastAsia="仿宋_GB2312" w:cs="Times New Roman"/>
          <w:sz w:val="30"/>
          <w:szCs w:val="30"/>
        </w:rPr>
        <w:t>4</w:t>
      </w:r>
      <w:r>
        <w:rPr>
          <w:rFonts w:hint="eastAsia" w:ascii="仿宋_GB2312" w:hAnsi="Times New Roman" w:eastAsia="仿宋_GB2312" w:cs="Times New Roman"/>
          <w:sz w:val="30"/>
          <w:szCs w:val="30"/>
        </w:rPr>
        <w:fldChar w:fldCharType="end"/>
      </w:r>
      <w:r>
        <w:rPr>
          <w:rFonts w:hint="eastAsia" w:ascii="仿宋_GB2312" w:hAnsi="Times New Roman" w:eastAsia="仿宋_GB2312" w:cs="Times New Roman"/>
          <w:sz w:val="30"/>
          <w:szCs w:val="30"/>
        </w:rPr>
        <w:fldChar w:fldCharType="end"/>
      </w:r>
    </w:p>
    <w:p>
      <w:pPr>
        <w:pStyle w:val="10"/>
        <w:tabs>
          <w:tab w:val="right" w:leader="dot" w:pos="8306"/>
        </w:tabs>
        <w:rPr>
          <w:rFonts w:ascii="仿宋_GB2312" w:hAnsi="Times New Roman" w:eastAsia="仿宋_GB2312"/>
          <w:sz w:val="30"/>
          <w:szCs w:val="30"/>
        </w:rPr>
      </w:pPr>
      <w:r>
        <w:fldChar w:fldCharType="begin"/>
      </w:r>
      <w:r>
        <w:instrText xml:space="preserve"> HYPERLINK \l "_Toc24340" </w:instrText>
      </w:r>
      <w:r>
        <w:fldChar w:fldCharType="separate"/>
      </w:r>
      <w:r>
        <w:rPr>
          <w:rFonts w:hint="eastAsia" w:ascii="仿宋_GB2312" w:hAnsi="Times New Roman" w:eastAsia="仿宋_GB2312"/>
          <w:sz w:val="30"/>
          <w:szCs w:val="30"/>
        </w:rPr>
        <w:t>一、收入支出决算总体情况说明</w:t>
      </w:r>
      <w:r>
        <w:rPr>
          <w:rFonts w:hint="eastAsia" w:ascii="仿宋_GB2312" w:hAnsi="Times New Roman" w:eastAsia="仿宋_GB2312"/>
          <w:sz w:val="30"/>
          <w:szCs w:val="30"/>
        </w:rPr>
        <w:tab/>
      </w:r>
      <w:r>
        <w:rPr>
          <w:rFonts w:hint="eastAsia" w:ascii="仿宋_GB2312" w:hAnsi="Times New Roman" w:eastAsia="仿宋_GB2312"/>
          <w:sz w:val="30"/>
          <w:szCs w:val="30"/>
        </w:rPr>
        <w:fldChar w:fldCharType="begin"/>
      </w:r>
      <w:r>
        <w:rPr>
          <w:rFonts w:hint="eastAsia" w:ascii="仿宋_GB2312" w:hAnsi="Times New Roman" w:eastAsia="仿宋_GB2312"/>
          <w:sz w:val="30"/>
          <w:szCs w:val="30"/>
        </w:rPr>
        <w:instrText xml:space="preserve"> PAGEREF _Toc24340 \h </w:instrText>
      </w:r>
      <w:r>
        <w:rPr>
          <w:rFonts w:hint="eastAsia" w:ascii="仿宋_GB2312" w:hAnsi="Times New Roman" w:eastAsia="仿宋_GB2312"/>
          <w:sz w:val="30"/>
          <w:szCs w:val="30"/>
        </w:rPr>
        <w:fldChar w:fldCharType="separate"/>
      </w:r>
      <w:r>
        <w:rPr>
          <w:rFonts w:hint="eastAsia" w:ascii="仿宋_GB2312" w:hAnsi="Times New Roman" w:eastAsia="仿宋_GB2312"/>
          <w:sz w:val="30"/>
          <w:szCs w:val="30"/>
        </w:rPr>
        <w:t>4</w:t>
      </w:r>
      <w:r>
        <w:rPr>
          <w:rFonts w:hint="eastAsia" w:ascii="仿宋_GB2312" w:hAnsi="Times New Roman" w:eastAsia="仿宋_GB2312"/>
          <w:sz w:val="30"/>
          <w:szCs w:val="30"/>
        </w:rPr>
        <w:fldChar w:fldCharType="end"/>
      </w:r>
      <w:r>
        <w:rPr>
          <w:rFonts w:hint="eastAsia" w:ascii="仿宋_GB2312" w:hAnsi="Times New Roman" w:eastAsia="仿宋_GB2312"/>
          <w:sz w:val="30"/>
          <w:szCs w:val="30"/>
        </w:rPr>
        <w:fldChar w:fldCharType="end"/>
      </w:r>
    </w:p>
    <w:p>
      <w:pPr>
        <w:pStyle w:val="10"/>
        <w:tabs>
          <w:tab w:val="right" w:leader="dot" w:pos="8306"/>
        </w:tabs>
        <w:rPr>
          <w:rFonts w:ascii="仿宋_GB2312" w:hAnsi="Times New Roman" w:eastAsia="仿宋_GB2312"/>
          <w:sz w:val="30"/>
          <w:szCs w:val="30"/>
        </w:rPr>
      </w:pPr>
      <w:r>
        <w:fldChar w:fldCharType="begin"/>
      </w:r>
      <w:r>
        <w:instrText xml:space="preserve"> HYPERLINK \l "_Toc18552" </w:instrText>
      </w:r>
      <w:r>
        <w:fldChar w:fldCharType="separate"/>
      </w:r>
      <w:r>
        <w:rPr>
          <w:rFonts w:hint="eastAsia" w:ascii="仿宋_GB2312" w:hAnsi="Times New Roman" w:eastAsia="仿宋_GB2312"/>
          <w:sz w:val="30"/>
          <w:szCs w:val="30"/>
        </w:rPr>
        <w:t>二、收入决算情况说明</w:t>
      </w:r>
      <w:r>
        <w:rPr>
          <w:rFonts w:hint="eastAsia" w:ascii="仿宋_GB2312" w:hAnsi="Times New Roman" w:eastAsia="仿宋_GB2312"/>
          <w:sz w:val="30"/>
          <w:szCs w:val="30"/>
        </w:rPr>
        <w:tab/>
      </w:r>
      <w:r>
        <w:rPr>
          <w:rFonts w:hint="eastAsia" w:ascii="仿宋_GB2312" w:hAnsi="Times New Roman" w:eastAsia="仿宋_GB2312"/>
          <w:sz w:val="30"/>
          <w:szCs w:val="30"/>
        </w:rPr>
        <w:fldChar w:fldCharType="begin"/>
      </w:r>
      <w:r>
        <w:rPr>
          <w:rFonts w:hint="eastAsia" w:ascii="仿宋_GB2312" w:hAnsi="Times New Roman" w:eastAsia="仿宋_GB2312"/>
          <w:sz w:val="30"/>
          <w:szCs w:val="30"/>
        </w:rPr>
        <w:instrText xml:space="preserve"> PAGEREF _Toc18552 \h </w:instrText>
      </w:r>
      <w:r>
        <w:rPr>
          <w:rFonts w:hint="eastAsia" w:ascii="仿宋_GB2312" w:hAnsi="Times New Roman" w:eastAsia="仿宋_GB2312"/>
          <w:sz w:val="30"/>
          <w:szCs w:val="30"/>
        </w:rPr>
        <w:fldChar w:fldCharType="separate"/>
      </w:r>
      <w:r>
        <w:rPr>
          <w:rFonts w:hint="eastAsia" w:ascii="仿宋_GB2312" w:hAnsi="Times New Roman" w:eastAsia="仿宋_GB2312"/>
          <w:sz w:val="30"/>
          <w:szCs w:val="30"/>
        </w:rPr>
        <w:t>4</w:t>
      </w:r>
      <w:r>
        <w:rPr>
          <w:rFonts w:hint="eastAsia" w:ascii="仿宋_GB2312" w:hAnsi="Times New Roman" w:eastAsia="仿宋_GB2312"/>
          <w:sz w:val="30"/>
          <w:szCs w:val="30"/>
        </w:rPr>
        <w:fldChar w:fldCharType="end"/>
      </w:r>
      <w:r>
        <w:rPr>
          <w:rFonts w:hint="eastAsia" w:ascii="仿宋_GB2312" w:hAnsi="Times New Roman" w:eastAsia="仿宋_GB2312"/>
          <w:sz w:val="30"/>
          <w:szCs w:val="30"/>
        </w:rPr>
        <w:fldChar w:fldCharType="end"/>
      </w:r>
    </w:p>
    <w:p>
      <w:pPr>
        <w:pStyle w:val="10"/>
        <w:tabs>
          <w:tab w:val="right" w:leader="dot" w:pos="8306"/>
        </w:tabs>
        <w:rPr>
          <w:rFonts w:ascii="仿宋_GB2312" w:hAnsi="Times New Roman" w:eastAsia="仿宋_GB2312"/>
          <w:sz w:val="30"/>
          <w:szCs w:val="30"/>
        </w:rPr>
      </w:pPr>
      <w:r>
        <w:fldChar w:fldCharType="begin"/>
      </w:r>
      <w:r>
        <w:instrText xml:space="preserve"> HYPERLINK \l "_Toc26952" </w:instrText>
      </w:r>
      <w:r>
        <w:fldChar w:fldCharType="separate"/>
      </w:r>
      <w:r>
        <w:rPr>
          <w:rFonts w:hint="eastAsia" w:ascii="仿宋_GB2312" w:hAnsi="Times New Roman" w:eastAsia="仿宋_GB2312"/>
          <w:sz w:val="30"/>
          <w:szCs w:val="30"/>
        </w:rPr>
        <w:t>三、支出决算情况说明</w:t>
      </w:r>
      <w:r>
        <w:rPr>
          <w:rFonts w:hint="eastAsia" w:ascii="仿宋_GB2312" w:hAnsi="Times New Roman" w:eastAsia="仿宋_GB2312"/>
          <w:sz w:val="30"/>
          <w:szCs w:val="30"/>
        </w:rPr>
        <w:tab/>
      </w:r>
      <w:r>
        <w:rPr>
          <w:rFonts w:hint="eastAsia" w:ascii="仿宋_GB2312" w:hAnsi="Times New Roman" w:eastAsia="仿宋_GB2312"/>
          <w:sz w:val="30"/>
          <w:szCs w:val="30"/>
        </w:rPr>
        <w:fldChar w:fldCharType="begin"/>
      </w:r>
      <w:r>
        <w:rPr>
          <w:rFonts w:hint="eastAsia" w:ascii="仿宋_GB2312" w:hAnsi="Times New Roman" w:eastAsia="仿宋_GB2312"/>
          <w:sz w:val="30"/>
          <w:szCs w:val="30"/>
        </w:rPr>
        <w:instrText xml:space="preserve"> PAGEREF _Toc26952 \h </w:instrText>
      </w:r>
      <w:r>
        <w:rPr>
          <w:rFonts w:hint="eastAsia" w:ascii="仿宋_GB2312" w:hAnsi="Times New Roman" w:eastAsia="仿宋_GB2312"/>
          <w:sz w:val="30"/>
          <w:szCs w:val="30"/>
        </w:rPr>
        <w:fldChar w:fldCharType="separate"/>
      </w:r>
      <w:r>
        <w:rPr>
          <w:rFonts w:hint="eastAsia" w:ascii="仿宋_GB2312" w:hAnsi="Times New Roman" w:eastAsia="仿宋_GB2312"/>
          <w:sz w:val="30"/>
          <w:szCs w:val="30"/>
        </w:rPr>
        <w:t>4</w:t>
      </w:r>
      <w:r>
        <w:rPr>
          <w:rFonts w:hint="eastAsia" w:ascii="仿宋_GB2312" w:hAnsi="Times New Roman" w:eastAsia="仿宋_GB2312"/>
          <w:sz w:val="30"/>
          <w:szCs w:val="30"/>
        </w:rPr>
        <w:fldChar w:fldCharType="end"/>
      </w:r>
      <w:r>
        <w:rPr>
          <w:rFonts w:hint="eastAsia" w:ascii="仿宋_GB2312" w:hAnsi="Times New Roman" w:eastAsia="仿宋_GB2312"/>
          <w:sz w:val="30"/>
          <w:szCs w:val="30"/>
        </w:rPr>
        <w:fldChar w:fldCharType="end"/>
      </w:r>
    </w:p>
    <w:p>
      <w:pPr>
        <w:pStyle w:val="10"/>
        <w:tabs>
          <w:tab w:val="right" w:leader="dot" w:pos="8306"/>
        </w:tabs>
        <w:rPr>
          <w:rFonts w:ascii="仿宋_GB2312" w:hAnsi="Times New Roman" w:eastAsia="仿宋_GB2312"/>
          <w:sz w:val="30"/>
          <w:szCs w:val="30"/>
        </w:rPr>
      </w:pPr>
      <w:r>
        <w:fldChar w:fldCharType="begin"/>
      </w:r>
      <w:r>
        <w:instrText xml:space="preserve"> HYPERLINK \l "_Toc1812" </w:instrText>
      </w:r>
      <w:r>
        <w:fldChar w:fldCharType="separate"/>
      </w:r>
      <w:r>
        <w:rPr>
          <w:rFonts w:hint="eastAsia" w:ascii="仿宋_GB2312" w:hAnsi="Times New Roman" w:eastAsia="仿宋_GB2312"/>
          <w:sz w:val="30"/>
          <w:szCs w:val="30"/>
        </w:rPr>
        <w:t>四、财政拨款收支决算总体情况说明</w:t>
      </w:r>
      <w:r>
        <w:rPr>
          <w:rFonts w:hint="eastAsia" w:ascii="仿宋_GB2312" w:hAnsi="Times New Roman" w:eastAsia="仿宋_GB2312"/>
          <w:sz w:val="30"/>
          <w:szCs w:val="30"/>
        </w:rPr>
        <w:tab/>
      </w:r>
      <w:r>
        <w:rPr>
          <w:rFonts w:hint="eastAsia" w:ascii="仿宋_GB2312" w:hAnsi="Times New Roman" w:eastAsia="仿宋_GB2312"/>
          <w:sz w:val="30"/>
          <w:szCs w:val="30"/>
        </w:rPr>
        <w:fldChar w:fldCharType="begin"/>
      </w:r>
      <w:r>
        <w:rPr>
          <w:rFonts w:hint="eastAsia" w:ascii="仿宋_GB2312" w:hAnsi="Times New Roman" w:eastAsia="仿宋_GB2312"/>
          <w:sz w:val="30"/>
          <w:szCs w:val="30"/>
        </w:rPr>
        <w:instrText xml:space="preserve"> PAGEREF _Toc1812 \h </w:instrText>
      </w:r>
      <w:r>
        <w:rPr>
          <w:rFonts w:hint="eastAsia" w:ascii="仿宋_GB2312" w:hAnsi="Times New Roman" w:eastAsia="仿宋_GB2312"/>
          <w:sz w:val="30"/>
          <w:szCs w:val="30"/>
        </w:rPr>
        <w:fldChar w:fldCharType="separate"/>
      </w:r>
      <w:r>
        <w:rPr>
          <w:rFonts w:hint="eastAsia" w:ascii="仿宋_GB2312" w:hAnsi="Times New Roman" w:eastAsia="仿宋_GB2312"/>
          <w:sz w:val="30"/>
          <w:szCs w:val="30"/>
        </w:rPr>
        <w:t>5</w:t>
      </w:r>
      <w:r>
        <w:rPr>
          <w:rFonts w:hint="eastAsia" w:ascii="仿宋_GB2312" w:hAnsi="Times New Roman" w:eastAsia="仿宋_GB2312"/>
          <w:sz w:val="30"/>
          <w:szCs w:val="30"/>
        </w:rPr>
        <w:fldChar w:fldCharType="end"/>
      </w:r>
      <w:r>
        <w:rPr>
          <w:rFonts w:hint="eastAsia" w:ascii="仿宋_GB2312" w:hAnsi="Times New Roman" w:eastAsia="仿宋_GB2312"/>
          <w:sz w:val="30"/>
          <w:szCs w:val="30"/>
        </w:rPr>
        <w:fldChar w:fldCharType="end"/>
      </w:r>
    </w:p>
    <w:p>
      <w:pPr>
        <w:pStyle w:val="10"/>
        <w:tabs>
          <w:tab w:val="right" w:leader="dot" w:pos="8306"/>
        </w:tabs>
        <w:rPr>
          <w:rFonts w:ascii="仿宋_GB2312" w:hAnsi="Times New Roman" w:eastAsia="仿宋_GB2312"/>
          <w:sz w:val="30"/>
          <w:szCs w:val="30"/>
        </w:rPr>
      </w:pPr>
      <w:r>
        <w:fldChar w:fldCharType="begin"/>
      </w:r>
      <w:r>
        <w:instrText xml:space="preserve"> HYPERLINK \l "_Toc10091" </w:instrText>
      </w:r>
      <w:r>
        <w:fldChar w:fldCharType="separate"/>
      </w:r>
      <w:r>
        <w:rPr>
          <w:rFonts w:hint="eastAsia" w:ascii="仿宋_GB2312" w:hAnsi="Times New Roman" w:eastAsia="仿宋_GB2312"/>
          <w:sz w:val="30"/>
          <w:szCs w:val="30"/>
        </w:rPr>
        <w:t>五、一般公共预算财政拨款支出决算情况说明</w:t>
      </w:r>
      <w:r>
        <w:rPr>
          <w:rFonts w:hint="eastAsia" w:ascii="仿宋_GB2312" w:hAnsi="Times New Roman" w:eastAsia="仿宋_GB2312"/>
          <w:sz w:val="30"/>
          <w:szCs w:val="30"/>
        </w:rPr>
        <w:tab/>
      </w:r>
      <w:r>
        <w:rPr>
          <w:rFonts w:hint="eastAsia" w:ascii="仿宋_GB2312" w:hAnsi="Times New Roman" w:eastAsia="仿宋_GB2312"/>
          <w:sz w:val="30"/>
          <w:szCs w:val="30"/>
        </w:rPr>
        <w:fldChar w:fldCharType="begin"/>
      </w:r>
      <w:r>
        <w:rPr>
          <w:rFonts w:hint="eastAsia" w:ascii="仿宋_GB2312" w:hAnsi="Times New Roman" w:eastAsia="仿宋_GB2312"/>
          <w:sz w:val="30"/>
          <w:szCs w:val="30"/>
        </w:rPr>
        <w:instrText xml:space="preserve"> PAGEREF _Toc10091 \h </w:instrText>
      </w:r>
      <w:r>
        <w:rPr>
          <w:rFonts w:hint="eastAsia" w:ascii="仿宋_GB2312" w:hAnsi="Times New Roman" w:eastAsia="仿宋_GB2312"/>
          <w:sz w:val="30"/>
          <w:szCs w:val="30"/>
        </w:rPr>
        <w:fldChar w:fldCharType="separate"/>
      </w:r>
      <w:r>
        <w:rPr>
          <w:rFonts w:hint="eastAsia" w:ascii="仿宋_GB2312" w:hAnsi="Times New Roman" w:eastAsia="仿宋_GB2312"/>
          <w:sz w:val="30"/>
          <w:szCs w:val="30"/>
        </w:rPr>
        <w:t>5</w:t>
      </w:r>
      <w:r>
        <w:rPr>
          <w:rFonts w:hint="eastAsia" w:ascii="仿宋_GB2312" w:hAnsi="Times New Roman" w:eastAsia="仿宋_GB2312"/>
          <w:sz w:val="30"/>
          <w:szCs w:val="30"/>
        </w:rPr>
        <w:fldChar w:fldCharType="end"/>
      </w:r>
      <w:r>
        <w:rPr>
          <w:rFonts w:hint="eastAsia" w:ascii="仿宋_GB2312" w:hAnsi="Times New Roman" w:eastAsia="仿宋_GB2312"/>
          <w:sz w:val="30"/>
          <w:szCs w:val="30"/>
        </w:rPr>
        <w:fldChar w:fldCharType="end"/>
      </w:r>
    </w:p>
    <w:p>
      <w:pPr>
        <w:pStyle w:val="10"/>
        <w:tabs>
          <w:tab w:val="right" w:leader="dot" w:pos="8306"/>
        </w:tabs>
        <w:rPr>
          <w:rFonts w:ascii="仿宋_GB2312" w:hAnsi="Times New Roman" w:eastAsia="仿宋_GB2312"/>
          <w:sz w:val="30"/>
          <w:szCs w:val="30"/>
        </w:rPr>
      </w:pPr>
      <w:r>
        <w:fldChar w:fldCharType="begin"/>
      </w:r>
      <w:r>
        <w:instrText xml:space="preserve"> HYPERLINK \l "_Toc10721" </w:instrText>
      </w:r>
      <w:r>
        <w:fldChar w:fldCharType="separate"/>
      </w:r>
      <w:r>
        <w:rPr>
          <w:rFonts w:hint="eastAsia" w:ascii="仿宋_GB2312" w:hAnsi="Times New Roman" w:eastAsia="仿宋_GB2312"/>
          <w:sz w:val="30"/>
          <w:szCs w:val="30"/>
        </w:rPr>
        <w:t>六、一般公共预算财政拨款基本支出决算情况说明</w:t>
      </w:r>
      <w:r>
        <w:rPr>
          <w:rFonts w:hint="eastAsia" w:ascii="仿宋_GB2312" w:hAnsi="Times New Roman" w:eastAsia="仿宋_GB2312"/>
          <w:sz w:val="30"/>
          <w:szCs w:val="30"/>
        </w:rPr>
        <w:tab/>
      </w:r>
      <w:r>
        <w:rPr>
          <w:rFonts w:hint="eastAsia" w:ascii="仿宋_GB2312" w:hAnsi="Times New Roman" w:eastAsia="仿宋_GB2312"/>
          <w:sz w:val="30"/>
          <w:szCs w:val="30"/>
        </w:rPr>
        <w:fldChar w:fldCharType="begin"/>
      </w:r>
      <w:r>
        <w:rPr>
          <w:rFonts w:hint="eastAsia" w:ascii="仿宋_GB2312" w:hAnsi="Times New Roman" w:eastAsia="仿宋_GB2312"/>
          <w:sz w:val="30"/>
          <w:szCs w:val="30"/>
        </w:rPr>
        <w:instrText xml:space="preserve"> PAGEREF _Toc10721 \h </w:instrText>
      </w:r>
      <w:r>
        <w:rPr>
          <w:rFonts w:hint="eastAsia" w:ascii="仿宋_GB2312" w:hAnsi="Times New Roman" w:eastAsia="仿宋_GB2312"/>
          <w:sz w:val="30"/>
          <w:szCs w:val="30"/>
        </w:rPr>
        <w:fldChar w:fldCharType="separate"/>
      </w:r>
      <w:r>
        <w:rPr>
          <w:rFonts w:hint="eastAsia" w:ascii="仿宋_GB2312" w:hAnsi="Times New Roman" w:eastAsia="仿宋_GB2312"/>
          <w:sz w:val="30"/>
          <w:szCs w:val="30"/>
        </w:rPr>
        <w:t>17</w:t>
      </w:r>
      <w:r>
        <w:rPr>
          <w:rFonts w:hint="eastAsia" w:ascii="仿宋_GB2312" w:hAnsi="Times New Roman" w:eastAsia="仿宋_GB2312"/>
          <w:sz w:val="30"/>
          <w:szCs w:val="30"/>
        </w:rPr>
        <w:fldChar w:fldCharType="end"/>
      </w:r>
      <w:r>
        <w:rPr>
          <w:rFonts w:hint="eastAsia" w:ascii="仿宋_GB2312" w:hAnsi="Times New Roman" w:eastAsia="仿宋_GB2312"/>
          <w:sz w:val="30"/>
          <w:szCs w:val="30"/>
        </w:rPr>
        <w:fldChar w:fldCharType="end"/>
      </w:r>
    </w:p>
    <w:p>
      <w:pPr>
        <w:pStyle w:val="10"/>
        <w:tabs>
          <w:tab w:val="right" w:leader="dot" w:pos="8306"/>
        </w:tabs>
        <w:rPr>
          <w:rFonts w:ascii="仿宋_GB2312" w:hAnsi="Times New Roman" w:eastAsia="仿宋_GB2312"/>
          <w:sz w:val="30"/>
          <w:szCs w:val="30"/>
        </w:rPr>
      </w:pPr>
      <w:r>
        <w:fldChar w:fldCharType="begin"/>
      </w:r>
      <w:r>
        <w:instrText xml:space="preserve"> HYPERLINK \l "_Toc17918" </w:instrText>
      </w:r>
      <w:r>
        <w:fldChar w:fldCharType="separate"/>
      </w:r>
      <w:r>
        <w:rPr>
          <w:rFonts w:hint="eastAsia" w:ascii="仿宋_GB2312" w:hAnsi="Times New Roman" w:eastAsia="仿宋_GB2312"/>
          <w:sz w:val="30"/>
          <w:szCs w:val="30"/>
        </w:rPr>
        <w:t>七、政府性基金预算财政拨款收支决算情况说明</w:t>
      </w:r>
      <w:r>
        <w:rPr>
          <w:rFonts w:hint="eastAsia" w:ascii="仿宋_GB2312" w:hAnsi="Times New Roman" w:eastAsia="仿宋_GB2312"/>
          <w:sz w:val="30"/>
          <w:szCs w:val="30"/>
        </w:rPr>
        <w:tab/>
      </w:r>
      <w:r>
        <w:rPr>
          <w:rFonts w:hint="eastAsia" w:ascii="仿宋_GB2312" w:hAnsi="Times New Roman" w:eastAsia="仿宋_GB2312"/>
          <w:sz w:val="30"/>
          <w:szCs w:val="30"/>
        </w:rPr>
        <w:fldChar w:fldCharType="begin"/>
      </w:r>
      <w:r>
        <w:rPr>
          <w:rFonts w:hint="eastAsia" w:ascii="仿宋_GB2312" w:hAnsi="Times New Roman" w:eastAsia="仿宋_GB2312"/>
          <w:sz w:val="30"/>
          <w:szCs w:val="30"/>
        </w:rPr>
        <w:instrText xml:space="preserve"> PAGEREF _Toc17918 \h </w:instrText>
      </w:r>
      <w:r>
        <w:rPr>
          <w:rFonts w:hint="eastAsia" w:ascii="仿宋_GB2312" w:hAnsi="Times New Roman" w:eastAsia="仿宋_GB2312"/>
          <w:sz w:val="30"/>
          <w:szCs w:val="30"/>
        </w:rPr>
        <w:fldChar w:fldCharType="separate"/>
      </w:r>
      <w:r>
        <w:rPr>
          <w:rFonts w:hint="eastAsia" w:ascii="仿宋_GB2312" w:hAnsi="Times New Roman" w:eastAsia="仿宋_GB2312"/>
          <w:sz w:val="30"/>
          <w:szCs w:val="30"/>
        </w:rPr>
        <w:t>18</w:t>
      </w:r>
      <w:r>
        <w:rPr>
          <w:rFonts w:hint="eastAsia" w:ascii="仿宋_GB2312" w:hAnsi="Times New Roman" w:eastAsia="仿宋_GB2312"/>
          <w:sz w:val="30"/>
          <w:szCs w:val="30"/>
        </w:rPr>
        <w:fldChar w:fldCharType="end"/>
      </w:r>
      <w:r>
        <w:rPr>
          <w:rFonts w:hint="eastAsia" w:ascii="仿宋_GB2312" w:hAnsi="Times New Roman" w:eastAsia="仿宋_GB2312"/>
          <w:sz w:val="30"/>
          <w:szCs w:val="30"/>
        </w:rPr>
        <w:fldChar w:fldCharType="end"/>
      </w:r>
    </w:p>
    <w:p>
      <w:pPr>
        <w:pStyle w:val="10"/>
        <w:tabs>
          <w:tab w:val="right" w:leader="dot" w:pos="8306"/>
        </w:tabs>
        <w:rPr>
          <w:rFonts w:ascii="仿宋_GB2312" w:hAnsi="Times New Roman" w:eastAsia="仿宋_GB2312"/>
          <w:sz w:val="30"/>
          <w:szCs w:val="30"/>
        </w:rPr>
      </w:pPr>
      <w:r>
        <w:fldChar w:fldCharType="begin"/>
      </w:r>
      <w:r>
        <w:instrText xml:space="preserve"> HYPERLINK \l "_Toc23897" </w:instrText>
      </w:r>
      <w:r>
        <w:fldChar w:fldCharType="separate"/>
      </w:r>
      <w:r>
        <w:rPr>
          <w:rFonts w:hint="eastAsia" w:ascii="仿宋_GB2312" w:hAnsi="Times New Roman" w:eastAsia="仿宋_GB2312"/>
          <w:sz w:val="30"/>
          <w:szCs w:val="30"/>
        </w:rPr>
        <w:t>八、国有资本经营预算财政拨款收支决算情况说明</w:t>
      </w:r>
      <w:r>
        <w:rPr>
          <w:rFonts w:hint="eastAsia" w:ascii="仿宋_GB2312" w:hAnsi="Times New Roman" w:eastAsia="仿宋_GB2312"/>
          <w:sz w:val="30"/>
          <w:szCs w:val="30"/>
        </w:rPr>
        <w:tab/>
      </w:r>
      <w:r>
        <w:rPr>
          <w:rFonts w:hint="eastAsia" w:ascii="仿宋_GB2312" w:hAnsi="Times New Roman" w:eastAsia="仿宋_GB2312"/>
          <w:sz w:val="30"/>
          <w:szCs w:val="30"/>
        </w:rPr>
        <w:fldChar w:fldCharType="begin"/>
      </w:r>
      <w:r>
        <w:rPr>
          <w:rFonts w:hint="eastAsia" w:ascii="仿宋_GB2312" w:hAnsi="Times New Roman" w:eastAsia="仿宋_GB2312"/>
          <w:sz w:val="30"/>
          <w:szCs w:val="30"/>
        </w:rPr>
        <w:instrText xml:space="preserve"> PAGEREF _Toc23897 \h </w:instrText>
      </w:r>
      <w:r>
        <w:rPr>
          <w:rFonts w:hint="eastAsia" w:ascii="仿宋_GB2312" w:hAnsi="Times New Roman" w:eastAsia="仿宋_GB2312"/>
          <w:sz w:val="30"/>
          <w:szCs w:val="30"/>
        </w:rPr>
        <w:fldChar w:fldCharType="separate"/>
      </w:r>
      <w:r>
        <w:rPr>
          <w:rFonts w:hint="eastAsia" w:ascii="仿宋_GB2312" w:hAnsi="Times New Roman" w:eastAsia="仿宋_GB2312"/>
          <w:sz w:val="30"/>
          <w:szCs w:val="30"/>
        </w:rPr>
        <w:t>18</w:t>
      </w:r>
      <w:r>
        <w:rPr>
          <w:rFonts w:hint="eastAsia" w:ascii="仿宋_GB2312" w:hAnsi="Times New Roman" w:eastAsia="仿宋_GB2312"/>
          <w:sz w:val="30"/>
          <w:szCs w:val="30"/>
        </w:rPr>
        <w:fldChar w:fldCharType="end"/>
      </w:r>
      <w:r>
        <w:rPr>
          <w:rFonts w:hint="eastAsia" w:ascii="仿宋_GB2312" w:hAnsi="Times New Roman" w:eastAsia="仿宋_GB2312"/>
          <w:sz w:val="30"/>
          <w:szCs w:val="30"/>
        </w:rPr>
        <w:fldChar w:fldCharType="end"/>
      </w:r>
    </w:p>
    <w:p>
      <w:pPr>
        <w:pStyle w:val="10"/>
        <w:tabs>
          <w:tab w:val="right" w:leader="dot" w:pos="8306"/>
        </w:tabs>
        <w:rPr>
          <w:rFonts w:ascii="仿宋_GB2312" w:hAnsi="Times New Roman" w:eastAsia="仿宋_GB2312"/>
          <w:sz w:val="30"/>
          <w:szCs w:val="30"/>
        </w:rPr>
      </w:pPr>
      <w:r>
        <w:fldChar w:fldCharType="begin"/>
      </w:r>
      <w:r>
        <w:instrText xml:space="preserve"> HYPERLINK \l "_Toc4518" </w:instrText>
      </w:r>
      <w:r>
        <w:fldChar w:fldCharType="separate"/>
      </w:r>
      <w:r>
        <w:rPr>
          <w:rFonts w:hint="eastAsia" w:ascii="仿宋_GB2312" w:hAnsi="Times New Roman" w:eastAsia="仿宋_GB2312"/>
          <w:sz w:val="30"/>
          <w:szCs w:val="30"/>
        </w:rPr>
        <w:t>九、一般公共预算财政拨款“三公”经费支出决算情况说明</w:t>
      </w:r>
      <w:r>
        <w:rPr>
          <w:rFonts w:hint="eastAsia" w:ascii="仿宋_GB2312" w:hAnsi="Times New Roman" w:eastAsia="仿宋_GB2312"/>
          <w:sz w:val="30"/>
          <w:szCs w:val="30"/>
        </w:rPr>
        <w:tab/>
      </w:r>
      <w:r>
        <w:rPr>
          <w:rFonts w:hint="eastAsia" w:ascii="仿宋_GB2312" w:hAnsi="Times New Roman" w:eastAsia="仿宋_GB2312"/>
          <w:sz w:val="30"/>
          <w:szCs w:val="30"/>
        </w:rPr>
        <w:fldChar w:fldCharType="begin"/>
      </w:r>
      <w:r>
        <w:rPr>
          <w:rFonts w:hint="eastAsia" w:ascii="仿宋_GB2312" w:hAnsi="Times New Roman" w:eastAsia="仿宋_GB2312"/>
          <w:sz w:val="30"/>
          <w:szCs w:val="30"/>
        </w:rPr>
        <w:instrText xml:space="preserve"> PAGEREF _Toc4518 \h </w:instrText>
      </w:r>
      <w:r>
        <w:rPr>
          <w:rFonts w:hint="eastAsia" w:ascii="仿宋_GB2312" w:hAnsi="Times New Roman" w:eastAsia="仿宋_GB2312"/>
          <w:sz w:val="30"/>
          <w:szCs w:val="30"/>
        </w:rPr>
        <w:fldChar w:fldCharType="separate"/>
      </w:r>
      <w:r>
        <w:rPr>
          <w:rFonts w:hint="eastAsia" w:ascii="仿宋_GB2312" w:hAnsi="Times New Roman" w:eastAsia="仿宋_GB2312"/>
          <w:sz w:val="30"/>
          <w:szCs w:val="30"/>
        </w:rPr>
        <w:t>18</w:t>
      </w:r>
      <w:r>
        <w:rPr>
          <w:rFonts w:hint="eastAsia" w:ascii="仿宋_GB2312" w:hAnsi="Times New Roman" w:eastAsia="仿宋_GB2312"/>
          <w:sz w:val="30"/>
          <w:szCs w:val="30"/>
        </w:rPr>
        <w:fldChar w:fldCharType="end"/>
      </w:r>
      <w:r>
        <w:rPr>
          <w:rFonts w:hint="eastAsia" w:ascii="仿宋_GB2312" w:hAnsi="Times New Roman" w:eastAsia="仿宋_GB2312"/>
          <w:sz w:val="30"/>
          <w:szCs w:val="30"/>
        </w:rPr>
        <w:fldChar w:fldCharType="end"/>
      </w:r>
    </w:p>
    <w:p>
      <w:pPr>
        <w:pStyle w:val="10"/>
        <w:tabs>
          <w:tab w:val="right" w:leader="dot" w:pos="8306"/>
        </w:tabs>
        <w:rPr>
          <w:rFonts w:ascii="仿宋_GB2312" w:hAnsi="Times New Roman" w:eastAsia="仿宋_GB2312"/>
          <w:sz w:val="30"/>
          <w:szCs w:val="30"/>
        </w:rPr>
      </w:pPr>
      <w:r>
        <w:fldChar w:fldCharType="begin"/>
      </w:r>
      <w:r>
        <w:instrText xml:space="preserve"> HYPERLINK \l "_Toc3411" </w:instrText>
      </w:r>
      <w:r>
        <w:fldChar w:fldCharType="separate"/>
      </w:r>
      <w:r>
        <w:rPr>
          <w:rFonts w:hint="eastAsia" w:ascii="仿宋_GB2312" w:hAnsi="Times New Roman" w:eastAsia="仿宋_GB2312"/>
          <w:sz w:val="30"/>
          <w:szCs w:val="30"/>
        </w:rPr>
        <w:t>十、机关运行经费支出情况说明</w:t>
      </w:r>
      <w:r>
        <w:rPr>
          <w:rFonts w:hint="eastAsia" w:ascii="仿宋_GB2312" w:hAnsi="Times New Roman" w:eastAsia="仿宋_GB2312"/>
          <w:sz w:val="30"/>
          <w:szCs w:val="30"/>
        </w:rPr>
        <w:tab/>
      </w:r>
      <w:r>
        <w:rPr>
          <w:rFonts w:hint="eastAsia" w:ascii="仿宋_GB2312" w:hAnsi="Times New Roman" w:eastAsia="仿宋_GB2312"/>
          <w:sz w:val="30"/>
          <w:szCs w:val="30"/>
        </w:rPr>
        <w:fldChar w:fldCharType="begin"/>
      </w:r>
      <w:r>
        <w:rPr>
          <w:rFonts w:hint="eastAsia" w:ascii="仿宋_GB2312" w:hAnsi="Times New Roman" w:eastAsia="仿宋_GB2312"/>
          <w:sz w:val="30"/>
          <w:szCs w:val="30"/>
        </w:rPr>
        <w:instrText xml:space="preserve"> PAGEREF _Toc3411 \h </w:instrText>
      </w:r>
      <w:r>
        <w:rPr>
          <w:rFonts w:hint="eastAsia" w:ascii="仿宋_GB2312" w:hAnsi="Times New Roman" w:eastAsia="仿宋_GB2312"/>
          <w:sz w:val="30"/>
          <w:szCs w:val="30"/>
        </w:rPr>
        <w:fldChar w:fldCharType="separate"/>
      </w:r>
      <w:r>
        <w:rPr>
          <w:rFonts w:hint="eastAsia" w:ascii="仿宋_GB2312" w:hAnsi="Times New Roman" w:eastAsia="仿宋_GB2312"/>
          <w:sz w:val="30"/>
          <w:szCs w:val="30"/>
        </w:rPr>
        <w:t>20</w:t>
      </w:r>
      <w:r>
        <w:rPr>
          <w:rFonts w:hint="eastAsia" w:ascii="仿宋_GB2312" w:hAnsi="Times New Roman" w:eastAsia="仿宋_GB2312"/>
          <w:sz w:val="30"/>
          <w:szCs w:val="30"/>
        </w:rPr>
        <w:fldChar w:fldCharType="end"/>
      </w:r>
      <w:r>
        <w:rPr>
          <w:rFonts w:hint="eastAsia" w:ascii="仿宋_GB2312" w:hAnsi="Times New Roman" w:eastAsia="仿宋_GB2312"/>
          <w:sz w:val="30"/>
          <w:szCs w:val="30"/>
        </w:rPr>
        <w:fldChar w:fldCharType="end"/>
      </w:r>
    </w:p>
    <w:p>
      <w:pPr>
        <w:pStyle w:val="10"/>
        <w:tabs>
          <w:tab w:val="right" w:leader="dot" w:pos="8306"/>
        </w:tabs>
        <w:rPr>
          <w:rFonts w:ascii="仿宋_GB2312" w:hAnsi="Times New Roman" w:eastAsia="仿宋_GB2312"/>
          <w:sz w:val="30"/>
          <w:szCs w:val="30"/>
        </w:rPr>
      </w:pPr>
      <w:r>
        <w:fldChar w:fldCharType="begin"/>
      </w:r>
      <w:r>
        <w:instrText xml:space="preserve"> HYPERLINK \l "_Toc31102" </w:instrText>
      </w:r>
      <w:r>
        <w:fldChar w:fldCharType="separate"/>
      </w:r>
      <w:r>
        <w:rPr>
          <w:rFonts w:hint="eastAsia" w:ascii="仿宋_GB2312" w:hAnsi="Times New Roman" w:eastAsia="仿宋_GB2312"/>
          <w:sz w:val="30"/>
          <w:szCs w:val="30"/>
        </w:rPr>
        <w:t>十一、政府采购支出情况说明</w:t>
      </w:r>
      <w:r>
        <w:rPr>
          <w:rFonts w:hint="eastAsia" w:ascii="仿宋_GB2312" w:hAnsi="Times New Roman" w:eastAsia="仿宋_GB2312"/>
          <w:sz w:val="30"/>
          <w:szCs w:val="30"/>
        </w:rPr>
        <w:tab/>
      </w:r>
      <w:r>
        <w:rPr>
          <w:rFonts w:hint="eastAsia" w:ascii="仿宋_GB2312" w:hAnsi="Times New Roman" w:eastAsia="仿宋_GB2312"/>
          <w:sz w:val="30"/>
          <w:szCs w:val="30"/>
        </w:rPr>
        <w:fldChar w:fldCharType="begin"/>
      </w:r>
      <w:r>
        <w:rPr>
          <w:rFonts w:hint="eastAsia" w:ascii="仿宋_GB2312" w:hAnsi="Times New Roman" w:eastAsia="仿宋_GB2312"/>
          <w:sz w:val="30"/>
          <w:szCs w:val="30"/>
        </w:rPr>
        <w:instrText xml:space="preserve"> PAGEREF _Toc31102 \h </w:instrText>
      </w:r>
      <w:r>
        <w:rPr>
          <w:rFonts w:hint="eastAsia" w:ascii="仿宋_GB2312" w:hAnsi="Times New Roman" w:eastAsia="仿宋_GB2312"/>
          <w:sz w:val="30"/>
          <w:szCs w:val="30"/>
        </w:rPr>
        <w:fldChar w:fldCharType="separate"/>
      </w:r>
      <w:r>
        <w:rPr>
          <w:rFonts w:hint="eastAsia" w:ascii="仿宋_GB2312" w:hAnsi="Times New Roman" w:eastAsia="仿宋_GB2312"/>
          <w:sz w:val="30"/>
          <w:szCs w:val="30"/>
        </w:rPr>
        <w:t>20</w:t>
      </w:r>
      <w:r>
        <w:rPr>
          <w:rFonts w:hint="eastAsia" w:ascii="仿宋_GB2312" w:hAnsi="Times New Roman" w:eastAsia="仿宋_GB2312"/>
          <w:sz w:val="30"/>
          <w:szCs w:val="30"/>
        </w:rPr>
        <w:fldChar w:fldCharType="end"/>
      </w:r>
      <w:r>
        <w:rPr>
          <w:rFonts w:hint="eastAsia" w:ascii="仿宋_GB2312" w:hAnsi="Times New Roman" w:eastAsia="仿宋_GB2312"/>
          <w:sz w:val="30"/>
          <w:szCs w:val="30"/>
        </w:rPr>
        <w:fldChar w:fldCharType="end"/>
      </w:r>
    </w:p>
    <w:p>
      <w:pPr>
        <w:pStyle w:val="10"/>
        <w:tabs>
          <w:tab w:val="right" w:leader="dot" w:pos="8306"/>
        </w:tabs>
        <w:rPr>
          <w:rFonts w:ascii="仿宋_GB2312" w:hAnsi="Times New Roman" w:eastAsia="仿宋_GB2312"/>
          <w:sz w:val="30"/>
          <w:szCs w:val="30"/>
        </w:rPr>
      </w:pPr>
      <w:r>
        <w:fldChar w:fldCharType="begin"/>
      </w:r>
      <w:r>
        <w:instrText xml:space="preserve"> HYPERLINK \l "_Toc23709" </w:instrText>
      </w:r>
      <w:r>
        <w:fldChar w:fldCharType="separate"/>
      </w:r>
      <w:r>
        <w:rPr>
          <w:rFonts w:hint="eastAsia" w:ascii="仿宋_GB2312" w:hAnsi="Times New Roman" w:eastAsia="仿宋_GB2312"/>
          <w:sz w:val="30"/>
          <w:szCs w:val="30"/>
        </w:rPr>
        <w:t>十二、国有资产占有使用情况说明</w:t>
      </w:r>
      <w:r>
        <w:rPr>
          <w:rFonts w:hint="eastAsia" w:ascii="仿宋_GB2312" w:hAnsi="Times New Roman" w:eastAsia="仿宋_GB2312"/>
          <w:sz w:val="30"/>
          <w:szCs w:val="30"/>
        </w:rPr>
        <w:tab/>
      </w:r>
      <w:r>
        <w:rPr>
          <w:rFonts w:hint="eastAsia" w:ascii="仿宋_GB2312" w:hAnsi="Times New Roman" w:eastAsia="仿宋_GB2312"/>
          <w:sz w:val="30"/>
          <w:szCs w:val="30"/>
        </w:rPr>
        <w:fldChar w:fldCharType="begin"/>
      </w:r>
      <w:r>
        <w:rPr>
          <w:rFonts w:hint="eastAsia" w:ascii="仿宋_GB2312" w:hAnsi="Times New Roman" w:eastAsia="仿宋_GB2312"/>
          <w:sz w:val="30"/>
          <w:szCs w:val="30"/>
        </w:rPr>
        <w:instrText xml:space="preserve"> PAGEREF _Toc23709 \h </w:instrText>
      </w:r>
      <w:r>
        <w:rPr>
          <w:rFonts w:hint="eastAsia" w:ascii="仿宋_GB2312" w:hAnsi="Times New Roman" w:eastAsia="仿宋_GB2312"/>
          <w:sz w:val="30"/>
          <w:szCs w:val="30"/>
        </w:rPr>
        <w:fldChar w:fldCharType="separate"/>
      </w:r>
      <w:r>
        <w:rPr>
          <w:rFonts w:hint="eastAsia" w:ascii="仿宋_GB2312" w:hAnsi="Times New Roman" w:eastAsia="仿宋_GB2312"/>
          <w:sz w:val="30"/>
          <w:szCs w:val="30"/>
        </w:rPr>
        <w:t>21</w:t>
      </w:r>
      <w:r>
        <w:rPr>
          <w:rFonts w:hint="eastAsia" w:ascii="仿宋_GB2312" w:hAnsi="Times New Roman" w:eastAsia="仿宋_GB2312"/>
          <w:sz w:val="30"/>
          <w:szCs w:val="30"/>
        </w:rPr>
        <w:fldChar w:fldCharType="end"/>
      </w:r>
      <w:r>
        <w:rPr>
          <w:rFonts w:hint="eastAsia" w:ascii="仿宋_GB2312" w:hAnsi="Times New Roman" w:eastAsia="仿宋_GB2312"/>
          <w:sz w:val="30"/>
          <w:szCs w:val="30"/>
        </w:rPr>
        <w:fldChar w:fldCharType="end"/>
      </w:r>
    </w:p>
    <w:p>
      <w:pPr>
        <w:pStyle w:val="10"/>
        <w:tabs>
          <w:tab w:val="right" w:leader="dot" w:pos="8306"/>
        </w:tabs>
        <w:rPr>
          <w:rFonts w:ascii="仿宋_GB2312" w:hAnsi="Times New Roman" w:eastAsia="仿宋_GB2312"/>
          <w:sz w:val="30"/>
          <w:szCs w:val="30"/>
        </w:rPr>
      </w:pPr>
      <w:r>
        <w:fldChar w:fldCharType="begin"/>
      </w:r>
      <w:r>
        <w:instrText xml:space="preserve"> HYPERLINK \l "_Toc11467" </w:instrText>
      </w:r>
      <w:r>
        <w:fldChar w:fldCharType="separate"/>
      </w:r>
      <w:r>
        <w:rPr>
          <w:rFonts w:hint="eastAsia" w:ascii="仿宋_GB2312" w:hAnsi="Times New Roman" w:eastAsia="仿宋_GB2312"/>
          <w:sz w:val="30"/>
          <w:szCs w:val="30"/>
        </w:rPr>
        <w:t>十三、预算绩效情况说明</w:t>
      </w:r>
      <w:r>
        <w:rPr>
          <w:rFonts w:hint="eastAsia" w:ascii="仿宋_GB2312" w:hAnsi="Times New Roman" w:eastAsia="仿宋_GB2312"/>
          <w:sz w:val="30"/>
          <w:szCs w:val="30"/>
        </w:rPr>
        <w:tab/>
      </w:r>
      <w:r>
        <w:rPr>
          <w:rFonts w:hint="eastAsia" w:ascii="仿宋_GB2312" w:hAnsi="Times New Roman" w:eastAsia="仿宋_GB2312"/>
          <w:sz w:val="30"/>
          <w:szCs w:val="30"/>
        </w:rPr>
        <w:fldChar w:fldCharType="begin"/>
      </w:r>
      <w:r>
        <w:rPr>
          <w:rFonts w:hint="eastAsia" w:ascii="仿宋_GB2312" w:hAnsi="Times New Roman" w:eastAsia="仿宋_GB2312"/>
          <w:sz w:val="30"/>
          <w:szCs w:val="30"/>
        </w:rPr>
        <w:instrText xml:space="preserve"> PAGEREF _Toc11467 \h </w:instrText>
      </w:r>
      <w:r>
        <w:rPr>
          <w:rFonts w:hint="eastAsia" w:ascii="仿宋_GB2312" w:hAnsi="Times New Roman" w:eastAsia="仿宋_GB2312"/>
          <w:sz w:val="30"/>
          <w:szCs w:val="30"/>
        </w:rPr>
        <w:fldChar w:fldCharType="separate"/>
      </w:r>
      <w:r>
        <w:rPr>
          <w:rFonts w:hint="eastAsia" w:ascii="仿宋_GB2312" w:hAnsi="Times New Roman" w:eastAsia="仿宋_GB2312"/>
          <w:sz w:val="30"/>
          <w:szCs w:val="30"/>
        </w:rPr>
        <w:t>21</w:t>
      </w:r>
      <w:r>
        <w:rPr>
          <w:rFonts w:hint="eastAsia" w:ascii="仿宋_GB2312" w:hAnsi="Times New Roman" w:eastAsia="仿宋_GB2312"/>
          <w:sz w:val="30"/>
          <w:szCs w:val="30"/>
        </w:rPr>
        <w:fldChar w:fldCharType="end"/>
      </w:r>
      <w:r>
        <w:rPr>
          <w:rFonts w:hint="eastAsia" w:ascii="仿宋_GB2312" w:hAnsi="Times New Roman" w:eastAsia="仿宋_GB2312"/>
          <w:sz w:val="30"/>
          <w:szCs w:val="30"/>
        </w:rPr>
        <w:fldChar w:fldCharType="end"/>
      </w:r>
    </w:p>
    <w:p>
      <w:pPr>
        <w:pStyle w:val="10"/>
        <w:tabs>
          <w:tab w:val="right" w:leader="dot" w:pos="8306"/>
        </w:tabs>
        <w:rPr>
          <w:rFonts w:ascii="仿宋_GB2312" w:hAnsi="Times New Roman" w:eastAsia="仿宋_GB2312"/>
          <w:sz w:val="30"/>
          <w:szCs w:val="30"/>
        </w:rPr>
      </w:pPr>
      <w:r>
        <w:fldChar w:fldCharType="begin"/>
      </w:r>
      <w:r>
        <w:instrText xml:space="preserve"> HYPERLINK \l "_Toc15949" </w:instrText>
      </w:r>
      <w:r>
        <w:fldChar w:fldCharType="separate"/>
      </w:r>
      <w:r>
        <w:rPr>
          <w:rFonts w:hint="eastAsia" w:ascii="仿宋_GB2312" w:hAnsi="Times New Roman" w:eastAsia="仿宋_GB2312"/>
          <w:sz w:val="30"/>
          <w:szCs w:val="30"/>
        </w:rPr>
        <w:t>十四、教育、医疗卫生、社会保障和就业、住房保障、涉农补贴等民生支出情况说明</w:t>
      </w:r>
      <w:r>
        <w:rPr>
          <w:rFonts w:hint="eastAsia" w:ascii="仿宋_GB2312" w:hAnsi="Times New Roman" w:eastAsia="仿宋_GB2312"/>
          <w:sz w:val="30"/>
          <w:szCs w:val="30"/>
        </w:rPr>
        <w:tab/>
      </w:r>
      <w:r>
        <w:rPr>
          <w:rFonts w:hint="eastAsia" w:ascii="仿宋_GB2312" w:hAnsi="Times New Roman" w:eastAsia="仿宋_GB2312"/>
          <w:sz w:val="30"/>
          <w:szCs w:val="30"/>
        </w:rPr>
        <w:fldChar w:fldCharType="begin"/>
      </w:r>
      <w:r>
        <w:rPr>
          <w:rFonts w:hint="eastAsia" w:ascii="仿宋_GB2312" w:hAnsi="Times New Roman" w:eastAsia="仿宋_GB2312"/>
          <w:sz w:val="30"/>
          <w:szCs w:val="30"/>
        </w:rPr>
        <w:instrText xml:space="preserve"> PAGEREF _Toc15949 \h </w:instrText>
      </w:r>
      <w:r>
        <w:rPr>
          <w:rFonts w:hint="eastAsia" w:ascii="仿宋_GB2312" w:hAnsi="Times New Roman" w:eastAsia="仿宋_GB2312"/>
          <w:sz w:val="30"/>
          <w:szCs w:val="30"/>
        </w:rPr>
        <w:fldChar w:fldCharType="separate"/>
      </w:r>
      <w:r>
        <w:rPr>
          <w:rFonts w:hint="eastAsia" w:ascii="仿宋_GB2312" w:hAnsi="Times New Roman" w:eastAsia="仿宋_GB2312"/>
          <w:sz w:val="30"/>
          <w:szCs w:val="30"/>
        </w:rPr>
        <w:t>21</w:t>
      </w:r>
      <w:r>
        <w:rPr>
          <w:rFonts w:hint="eastAsia" w:ascii="仿宋_GB2312" w:hAnsi="Times New Roman" w:eastAsia="仿宋_GB2312"/>
          <w:sz w:val="30"/>
          <w:szCs w:val="30"/>
        </w:rPr>
        <w:fldChar w:fldCharType="end"/>
      </w:r>
      <w:r>
        <w:rPr>
          <w:rFonts w:hint="eastAsia" w:ascii="仿宋_GB2312" w:hAnsi="Times New Roman" w:eastAsia="仿宋_GB2312"/>
          <w:sz w:val="30"/>
          <w:szCs w:val="30"/>
        </w:rPr>
        <w:fldChar w:fldCharType="end"/>
      </w:r>
    </w:p>
    <w:p>
      <w:pPr>
        <w:pStyle w:val="9"/>
        <w:tabs>
          <w:tab w:val="right" w:leader="dot" w:pos="8306"/>
          <w:tab w:val="clear" w:pos="8296"/>
        </w:tabs>
        <w:rPr>
          <w:rFonts w:ascii="仿宋_GB2312" w:hAnsi="Times New Roman" w:eastAsia="仿宋_GB2312" w:cs="Times New Roman"/>
          <w:sz w:val="30"/>
          <w:szCs w:val="30"/>
        </w:rPr>
      </w:pPr>
      <w:r>
        <w:fldChar w:fldCharType="begin"/>
      </w:r>
      <w:r>
        <w:instrText xml:space="preserve"> HYPERLINK \l "_Toc30612" </w:instrText>
      </w:r>
      <w:r>
        <w:fldChar w:fldCharType="separate"/>
      </w:r>
      <w:r>
        <w:rPr>
          <w:rFonts w:hint="eastAsia" w:ascii="仿宋_GB2312" w:hAnsi="Times New Roman" w:eastAsia="仿宋_GB2312" w:cs="Times New Roman"/>
          <w:sz w:val="30"/>
          <w:szCs w:val="30"/>
        </w:rPr>
        <w:t>第四部分  名词解释</w:t>
      </w:r>
      <w:r>
        <w:rPr>
          <w:rFonts w:hint="eastAsia" w:ascii="仿宋_GB2312" w:hAnsi="Times New Roman" w:eastAsia="仿宋_GB2312" w:cs="Times New Roman"/>
          <w:sz w:val="30"/>
          <w:szCs w:val="30"/>
        </w:rPr>
        <w:tab/>
      </w:r>
      <w:r>
        <w:rPr>
          <w:rFonts w:hint="eastAsia" w:ascii="仿宋_GB2312" w:hAnsi="Times New Roman" w:eastAsia="仿宋_GB2312" w:cs="Times New Roman"/>
          <w:sz w:val="30"/>
          <w:szCs w:val="30"/>
        </w:rPr>
        <w:fldChar w:fldCharType="begin"/>
      </w:r>
      <w:r>
        <w:rPr>
          <w:rFonts w:hint="eastAsia" w:ascii="仿宋_GB2312" w:hAnsi="Times New Roman" w:eastAsia="仿宋_GB2312" w:cs="Times New Roman"/>
          <w:sz w:val="30"/>
          <w:szCs w:val="30"/>
        </w:rPr>
        <w:instrText xml:space="preserve"> PAGEREF _Toc30612 \h </w:instrText>
      </w:r>
      <w:r>
        <w:rPr>
          <w:rFonts w:hint="eastAsia" w:ascii="仿宋_GB2312" w:hAnsi="Times New Roman" w:eastAsia="仿宋_GB2312" w:cs="Times New Roman"/>
          <w:sz w:val="30"/>
          <w:szCs w:val="30"/>
        </w:rPr>
        <w:fldChar w:fldCharType="separate"/>
      </w:r>
      <w:r>
        <w:rPr>
          <w:rFonts w:hint="eastAsia" w:ascii="仿宋_GB2312" w:hAnsi="Times New Roman" w:eastAsia="仿宋_GB2312" w:cs="Times New Roman"/>
          <w:sz w:val="30"/>
          <w:szCs w:val="30"/>
        </w:rPr>
        <w:t>29</w:t>
      </w:r>
      <w:r>
        <w:rPr>
          <w:rFonts w:hint="eastAsia" w:ascii="仿宋_GB2312" w:hAnsi="Times New Roman" w:eastAsia="仿宋_GB2312" w:cs="Times New Roman"/>
          <w:sz w:val="30"/>
          <w:szCs w:val="30"/>
        </w:rPr>
        <w:fldChar w:fldCharType="end"/>
      </w:r>
      <w:r>
        <w:rPr>
          <w:rFonts w:hint="eastAsia" w:ascii="仿宋_GB2312" w:hAnsi="Times New Roman" w:eastAsia="仿宋_GB2312" w:cs="Times New Roman"/>
          <w:sz w:val="30"/>
          <w:szCs w:val="30"/>
        </w:rPr>
        <w:fldChar w:fldCharType="end"/>
      </w:r>
    </w:p>
    <w:p>
      <w:pPr>
        <w:pStyle w:val="10"/>
        <w:tabs>
          <w:tab w:val="right" w:leader="dot" w:pos="8296"/>
        </w:tabs>
        <w:spacing w:after="0" w:line="600" w:lineRule="exact"/>
        <w:rPr>
          <w:rFonts w:ascii="Times New Roman" w:hAnsi="Times New Roman" w:eastAsia="仿宋_GB2312"/>
          <w:sz w:val="32"/>
          <w:szCs w:val="32"/>
        </w:rPr>
        <w:sectPr>
          <w:footerReference r:id="rId5" w:type="default"/>
          <w:pgSz w:w="11906" w:h="16838"/>
          <w:pgMar w:top="1440" w:right="1800" w:bottom="1440" w:left="1800" w:header="851" w:footer="992" w:gutter="0"/>
          <w:pgNumType w:start="1"/>
          <w:cols w:space="720" w:num="1"/>
          <w:docGrid w:type="lines" w:linePitch="312" w:charSpace="0"/>
        </w:sectPr>
      </w:pPr>
      <w:r>
        <w:rPr>
          <w:rFonts w:hint="eastAsia" w:ascii="仿宋_GB2312" w:hAnsi="Times New Roman" w:eastAsia="仿宋_GB2312"/>
          <w:sz w:val="30"/>
          <w:szCs w:val="30"/>
        </w:rPr>
        <w:fldChar w:fldCharType="end"/>
      </w:r>
    </w:p>
    <w:p/>
    <w:p>
      <w:pPr>
        <w:pStyle w:val="2"/>
        <w:spacing w:before="0" w:after="0" w:line="600" w:lineRule="exact"/>
        <w:jc w:val="center"/>
        <w:rPr>
          <w:rFonts w:ascii="方正小标宋简体" w:hAnsi="方正小标宋简体" w:eastAsia="方正小标宋简体" w:cs="方正小标宋简体"/>
          <w:b w:val="0"/>
          <w:sz w:val="48"/>
          <w:szCs w:val="48"/>
        </w:rPr>
      </w:pPr>
    </w:p>
    <w:p>
      <w:pPr>
        <w:pStyle w:val="2"/>
        <w:spacing w:before="0" w:after="0" w:line="600" w:lineRule="exact"/>
        <w:jc w:val="center"/>
        <w:rPr>
          <w:rFonts w:ascii="方正小标宋简体" w:hAnsi="方正小标宋简体" w:eastAsia="方正小标宋简体" w:cs="方正小标宋简体"/>
          <w:b w:val="0"/>
        </w:rPr>
      </w:pPr>
      <w:bookmarkStart w:id="0" w:name="_Toc859"/>
      <w:r>
        <w:rPr>
          <w:rFonts w:hint="eastAsia" w:ascii="方正小标宋简体" w:hAnsi="方正小标宋简体" w:eastAsia="方正小标宋简体" w:cs="方正小标宋简体"/>
          <w:b w:val="0"/>
        </w:rPr>
        <w:t>第一部分  概 况</w:t>
      </w:r>
      <w:bookmarkEnd w:id="0"/>
    </w:p>
    <w:p>
      <w:pPr>
        <w:spacing w:line="600" w:lineRule="exact"/>
      </w:pPr>
    </w:p>
    <w:p>
      <w:pPr>
        <w:pStyle w:val="3"/>
        <w:spacing w:before="0" w:after="0" w:line="600" w:lineRule="exact"/>
        <w:ind w:firstLine="600" w:firstLineChars="200"/>
        <w:rPr>
          <w:rFonts w:ascii="黑体" w:hAnsi="黑体" w:eastAsia="黑体"/>
          <w:b w:val="0"/>
          <w:bCs w:val="0"/>
          <w:sz w:val="30"/>
          <w:szCs w:val="30"/>
        </w:rPr>
      </w:pPr>
      <w:bookmarkStart w:id="1" w:name="_Toc21919"/>
      <w:r>
        <w:rPr>
          <w:rFonts w:hint="eastAsia" w:ascii="黑体" w:hAnsi="黑体" w:eastAsia="黑体"/>
          <w:b w:val="0"/>
          <w:bCs w:val="0"/>
          <w:sz w:val="30"/>
          <w:szCs w:val="30"/>
        </w:rPr>
        <w:t>一、主要职责</w:t>
      </w:r>
      <w:bookmarkEnd w:id="1"/>
    </w:p>
    <w:p>
      <w:pPr>
        <w:spacing w:line="580" w:lineRule="exact"/>
        <w:ind w:firstLine="600"/>
        <w:rPr>
          <w:rFonts w:ascii="仿宋_GB2312" w:eastAsia="仿宋_GB2312"/>
          <w:sz w:val="30"/>
          <w:szCs w:val="30"/>
        </w:rPr>
      </w:pPr>
      <w:r>
        <w:rPr>
          <w:rFonts w:eastAsia="仿宋_GB2312"/>
          <w:sz w:val="30"/>
          <w:szCs w:val="30"/>
          <w:highlight w:val="none"/>
        </w:rPr>
        <w:t>（一）执行本级人民代表大会的决议和上级国家行政机关的决定和命令，发布决定和命令，贯彻落实党和国家的各项方针政策和法律、法规；</w:t>
      </w:r>
      <w:r>
        <w:rPr>
          <w:highlight w:val="none"/>
        </w:rPr>
        <w:br w:type="textWrapping"/>
      </w:r>
      <w:r>
        <w:rPr>
          <w:rFonts w:eastAsia="仿宋_GB2312"/>
          <w:sz w:val="30"/>
          <w:szCs w:val="30"/>
          <w:highlight w:val="none"/>
        </w:rPr>
        <w:t xml:space="preserve">    （二）执行本行政区域内的经济和社会发展计划、预算等，管理本行政区域内的经济、教育、科学、文化体育传媒事业、社会保障、卫生、环境保护、农业和财政、民政、司法行政、社会治安综合治理、计划生育等行政工作，搞好征兵、预备役工作和拥军优抚等工作；</w:t>
      </w:r>
      <w:r>
        <w:rPr>
          <w:highlight w:val="none"/>
        </w:rPr>
        <w:br w:type="textWrapping"/>
      </w:r>
      <w:r>
        <w:rPr>
          <w:rFonts w:eastAsia="仿宋_GB2312"/>
          <w:sz w:val="30"/>
          <w:szCs w:val="30"/>
          <w:highlight w:val="none"/>
        </w:rPr>
        <w:t xml:space="preserve">    （三）负责本辖区统筹城乡经济发展，城乡一体化建设的组织实施、农业产业结构调整、人才资源开发、城乡居民和农民的劳动和社会保障工作；</w:t>
      </w:r>
      <w:r>
        <w:rPr>
          <w:highlight w:val="none"/>
        </w:rPr>
        <w:br w:type="textWrapping"/>
      </w:r>
      <w:r>
        <w:rPr>
          <w:rFonts w:eastAsia="仿宋_GB2312"/>
          <w:sz w:val="30"/>
          <w:szCs w:val="30"/>
          <w:highlight w:val="none"/>
        </w:rPr>
        <w:t xml:space="preserve">    （四）认真执行村镇建设和管理规划，负责辖区内的环境卫生、环保环卫等工作，依法进行管理和监督，并做好防火、防灾、防汛、防震、救灾、社会救济等工作以及村委会和社区居委会的日常管理工作；</w:t>
      </w:r>
      <w:r>
        <w:rPr>
          <w:highlight w:val="none"/>
        </w:rPr>
        <w:br w:type="textWrapping"/>
      </w:r>
      <w:r>
        <w:rPr>
          <w:rFonts w:eastAsia="仿宋_GB2312"/>
          <w:sz w:val="30"/>
          <w:szCs w:val="30"/>
          <w:highlight w:val="none"/>
        </w:rPr>
        <w:t xml:space="preserve">    （五）保护全民所有财产和劳动群众集体所有财产，保护公民私人所有的合法财产，维护社会秩序，保障公民的人身权利、民主权利和其他权利；</w:t>
      </w:r>
      <w:r>
        <w:rPr>
          <w:highlight w:val="none"/>
        </w:rPr>
        <w:br w:type="textWrapping"/>
      </w:r>
      <w:r>
        <w:rPr>
          <w:rFonts w:eastAsia="仿宋_GB2312"/>
          <w:sz w:val="30"/>
          <w:szCs w:val="30"/>
          <w:highlight w:val="none"/>
        </w:rPr>
        <w:t xml:space="preserve">    （六）保护各种经济组织的合法权益；</w:t>
      </w:r>
      <w:r>
        <w:rPr>
          <w:highlight w:val="none"/>
        </w:rPr>
        <w:br w:type="textWrapping"/>
      </w:r>
      <w:r>
        <w:rPr>
          <w:rFonts w:eastAsia="仿宋_GB2312"/>
          <w:sz w:val="30"/>
          <w:szCs w:val="30"/>
          <w:highlight w:val="none"/>
        </w:rPr>
        <w:t xml:space="preserve">    （七）保障宪法和法律赋予妇女的男女平等、同工同酬和婚姻自由等各项权利；</w:t>
      </w:r>
      <w:r>
        <w:rPr>
          <w:highlight w:val="none"/>
        </w:rPr>
        <w:br w:type="textWrapping"/>
      </w:r>
      <w:r>
        <w:rPr>
          <w:rFonts w:eastAsia="仿宋_GB2312"/>
          <w:sz w:val="30"/>
          <w:szCs w:val="30"/>
          <w:highlight w:val="none"/>
        </w:rPr>
        <w:t xml:space="preserve">    （八）办理上级人民政府交办的其他事项等。</w:t>
      </w:r>
    </w:p>
    <w:p>
      <w:pPr>
        <w:pStyle w:val="3"/>
        <w:spacing w:before="0" w:after="0" w:line="600" w:lineRule="exact"/>
        <w:ind w:firstLine="600" w:firstLineChars="200"/>
        <w:rPr>
          <w:rFonts w:ascii="黑体" w:hAnsi="黑体" w:eastAsia="黑体"/>
          <w:b w:val="0"/>
          <w:bCs w:val="0"/>
          <w:sz w:val="30"/>
          <w:szCs w:val="30"/>
        </w:rPr>
      </w:pPr>
      <w:bookmarkStart w:id="2" w:name="_Toc17388"/>
      <w:r>
        <w:rPr>
          <w:rFonts w:hint="eastAsia" w:ascii="黑体" w:hAnsi="黑体" w:eastAsia="黑体"/>
          <w:b w:val="0"/>
          <w:bCs w:val="0"/>
          <w:sz w:val="30"/>
          <w:szCs w:val="30"/>
        </w:rPr>
        <w:t>二、机构设置</w:t>
      </w:r>
      <w:bookmarkEnd w:id="2"/>
    </w:p>
    <w:p>
      <w:pPr>
        <w:spacing w:line="600" w:lineRule="exact"/>
        <w:ind w:firstLine="600" w:firstLineChars="200"/>
        <w:rPr>
          <w:rFonts w:ascii="Times New Roman" w:hAnsi="Times New Roman" w:eastAsia="仿宋_GB2312"/>
          <w:sz w:val="30"/>
          <w:szCs w:val="30"/>
        </w:rPr>
      </w:pPr>
      <w:r>
        <w:rPr>
          <w:rFonts w:hint="eastAsia" w:ascii="Times New Roman" w:hAnsi="Times New Roman" w:eastAsia="仿宋_GB2312" w:cs="仿宋_GB2312"/>
          <w:sz w:val="30"/>
          <w:szCs w:val="30"/>
        </w:rPr>
        <w:t>天津市津南区北闸口镇人民政府部门</w:t>
      </w:r>
      <w:r>
        <w:rPr>
          <w:rFonts w:ascii="Times New Roman" w:hAnsi="Times New Roman" w:eastAsia="仿宋_GB2312"/>
          <w:sz w:val="30"/>
          <w:szCs w:val="30"/>
        </w:rPr>
        <w:t>内设</w:t>
      </w:r>
      <w:r>
        <w:rPr>
          <w:rFonts w:hint="eastAsia" w:ascii="Times New Roman" w:hAnsi="Times New Roman" w:eastAsia="仿宋_GB2312"/>
          <w:sz w:val="30"/>
          <w:szCs w:val="30"/>
          <w:u w:val="none"/>
          <w:lang w:val="en-US" w:eastAsia="zh-CN"/>
        </w:rPr>
        <w:t>7</w:t>
      </w:r>
      <w:r>
        <w:rPr>
          <w:rFonts w:ascii="Times New Roman" w:hAnsi="Times New Roman" w:eastAsia="仿宋_GB2312"/>
          <w:sz w:val="30"/>
          <w:szCs w:val="30"/>
        </w:rPr>
        <w:t>个职能处室</w:t>
      </w:r>
      <w:r>
        <w:rPr>
          <w:rFonts w:hint="eastAsia" w:ascii="Times New Roman" w:hAnsi="Times New Roman" w:eastAsia="仿宋_GB2312" w:cs="仿宋_GB2312"/>
          <w:sz w:val="30"/>
          <w:szCs w:val="30"/>
        </w:rPr>
        <w:t>；下辖5个预算单位。纳入天津市津南区北闸口镇人民政府2022年度部门决算编制范围的单位包括：</w:t>
      </w:r>
      <w:r>
        <w:rPr>
          <w:rFonts w:hint="eastAsia" w:ascii="Times New Roman" w:hAnsi="Times New Roman" w:eastAsia="仿宋_GB2312" w:cs="仿宋_GB2312"/>
          <w:sz w:val="30"/>
          <w:szCs w:val="30"/>
        </w:rPr>
        <w:br w:type="textWrapping"/>
      </w:r>
      <w:r>
        <w:rPr>
          <w:rFonts w:hint="eastAsia" w:ascii="Times New Roman" w:hAnsi="Times New Roman" w:eastAsia="仿宋_GB2312" w:cs="仿宋_GB2312"/>
          <w:sz w:val="30"/>
          <w:szCs w:val="30"/>
        </w:rPr>
        <w:t>　　1.天津市津南区北闸口镇人民政府(本级)</w:t>
      </w:r>
      <w:r>
        <w:rPr>
          <w:rFonts w:hint="eastAsia" w:ascii="Times New Roman" w:hAnsi="Times New Roman" w:eastAsia="仿宋_GB2312" w:cs="仿宋_GB2312"/>
          <w:sz w:val="30"/>
          <w:szCs w:val="30"/>
        </w:rPr>
        <w:br w:type="textWrapping"/>
      </w:r>
      <w:r>
        <w:rPr>
          <w:rFonts w:hint="eastAsia" w:ascii="Times New Roman" w:hAnsi="Times New Roman" w:eastAsia="仿宋_GB2312" w:cs="仿宋_GB2312"/>
          <w:sz w:val="30"/>
          <w:szCs w:val="30"/>
        </w:rPr>
        <w:t>　　2.天津市津南区北闸口镇党群服务中心</w:t>
      </w:r>
      <w:r>
        <w:rPr>
          <w:rFonts w:hint="eastAsia" w:ascii="Times New Roman" w:hAnsi="Times New Roman" w:eastAsia="仿宋_GB2312" w:cs="仿宋_GB2312"/>
          <w:sz w:val="30"/>
          <w:szCs w:val="30"/>
        </w:rPr>
        <w:br w:type="textWrapping"/>
      </w:r>
      <w:r>
        <w:rPr>
          <w:rFonts w:hint="eastAsia" w:ascii="Times New Roman" w:hAnsi="Times New Roman" w:eastAsia="仿宋_GB2312" w:cs="仿宋_GB2312"/>
          <w:sz w:val="30"/>
          <w:szCs w:val="30"/>
        </w:rPr>
        <w:t>　　3.天津市津南区北闸口镇农业农村事务服务中心</w:t>
      </w:r>
      <w:r>
        <w:rPr>
          <w:rFonts w:hint="eastAsia" w:ascii="Times New Roman" w:hAnsi="Times New Roman" w:eastAsia="仿宋_GB2312" w:cs="仿宋_GB2312"/>
          <w:sz w:val="30"/>
          <w:szCs w:val="30"/>
        </w:rPr>
        <w:br w:type="textWrapping"/>
      </w:r>
      <w:r>
        <w:rPr>
          <w:rFonts w:hint="eastAsia" w:ascii="Times New Roman" w:hAnsi="Times New Roman" w:eastAsia="仿宋_GB2312" w:cs="仿宋_GB2312"/>
          <w:sz w:val="30"/>
          <w:szCs w:val="30"/>
        </w:rPr>
        <w:t>　　4.天津市津南区北闸口镇镇域经济发展服务中心</w:t>
      </w:r>
      <w:r>
        <w:rPr>
          <w:rFonts w:hint="eastAsia" w:ascii="Times New Roman" w:hAnsi="Times New Roman" w:eastAsia="仿宋_GB2312" w:cs="仿宋_GB2312"/>
          <w:sz w:val="30"/>
          <w:szCs w:val="30"/>
        </w:rPr>
        <w:br w:type="textWrapping"/>
      </w:r>
      <w:r>
        <w:rPr>
          <w:rFonts w:hint="eastAsia" w:ascii="Times New Roman" w:hAnsi="Times New Roman" w:eastAsia="仿宋_GB2312" w:cs="仿宋_GB2312"/>
          <w:sz w:val="30"/>
          <w:szCs w:val="30"/>
        </w:rPr>
        <w:t>　　5.天津市津南区北闸口镇综合治理中心</w:t>
      </w:r>
      <w:r>
        <w:rPr>
          <w:rFonts w:hint="eastAsia" w:ascii="Times New Roman" w:hAnsi="Times New Roman" w:eastAsia="仿宋_GB2312" w:cs="仿宋_GB2312"/>
          <w:sz w:val="30"/>
          <w:szCs w:val="30"/>
        </w:rPr>
        <w:br w:type="textWrapping"/>
      </w:r>
      <w:r>
        <w:rPr>
          <w:rFonts w:hint="eastAsia" w:ascii="Times New Roman" w:hAnsi="Times New Roman" w:eastAsia="仿宋_GB2312" w:cs="仿宋_GB2312"/>
          <w:sz w:val="30"/>
          <w:szCs w:val="30"/>
        </w:rPr>
        <w:t>　　6.天津市津南区北闸口镇退役军人服务站</w:t>
      </w:r>
    </w:p>
    <w:p>
      <w:pPr>
        <w:spacing w:line="600" w:lineRule="exact"/>
        <w:rPr>
          <w:rFonts w:eastAsia="楷体_GB2312"/>
          <w:b/>
          <w:sz w:val="30"/>
          <w:szCs w:val="30"/>
        </w:rPr>
        <w:sectPr>
          <w:footerReference r:id="rId6" w:type="default"/>
          <w:pgSz w:w="11906" w:h="16838"/>
          <w:pgMar w:top="1440" w:right="1800" w:bottom="1440" w:left="1800" w:header="851" w:footer="992" w:gutter="0"/>
          <w:pgNumType w:start="1"/>
          <w:cols w:space="720" w:num="1"/>
          <w:docGrid w:type="lines" w:linePitch="312" w:charSpace="0"/>
        </w:sectPr>
      </w:pPr>
      <w:r>
        <w:rPr>
          <w:rFonts w:eastAsia="楷体_GB2312"/>
          <w:b/>
          <w:sz w:val="30"/>
          <w:szCs w:val="30"/>
        </w:rPr>
        <w:br w:type="textWrapping"/>
      </w:r>
    </w:p>
    <w:p>
      <w:pPr>
        <w:spacing w:line="600" w:lineRule="exact"/>
        <w:rPr>
          <w:rFonts w:eastAsia="楷体_GB2312"/>
          <w:b/>
          <w:sz w:val="30"/>
          <w:szCs w:val="30"/>
        </w:rPr>
      </w:pPr>
    </w:p>
    <w:p>
      <w:pPr>
        <w:pStyle w:val="2"/>
        <w:spacing w:before="0" w:after="0" w:line="600" w:lineRule="exact"/>
        <w:jc w:val="center"/>
        <w:rPr>
          <w:rFonts w:ascii="方正小标宋简体" w:hAnsi="方正小标宋简体" w:eastAsia="方正小标宋简体" w:cs="方正小标宋简体"/>
          <w:b w:val="0"/>
        </w:rPr>
      </w:pPr>
      <w:bookmarkStart w:id="3" w:name="_Toc24747"/>
      <w:r>
        <w:rPr>
          <w:rFonts w:ascii="方正小标宋简体" w:hAnsi="方正小标宋简体" w:eastAsia="方正小标宋简体" w:cs="方正小标宋简体"/>
          <w:b w:val="0"/>
        </w:rPr>
        <w:t>第</w:t>
      </w:r>
      <w:r>
        <w:rPr>
          <w:rFonts w:hint="eastAsia" w:ascii="方正小标宋简体" w:hAnsi="方正小标宋简体" w:eastAsia="方正小标宋简体" w:cs="方正小标宋简体"/>
          <w:b w:val="0"/>
        </w:rPr>
        <w:t>二</w:t>
      </w:r>
      <w:r>
        <w:rPr>
          <w:rFonts w:ascii="方正小标宋简体" w:hAnsi="方正小标宋简体" w:eastAsia="方正小标宋简体" w:cs="方正小标宋简体"/>
          <w:b w:val="0"/>
        </w:rPr>
        <w:t xml:space="preserve">部分  </w:t>
      </w:r>
      <w:r>
        <w:rPr>
          <w:rFonts w:hint="eastAsia" w:ascii="方正小标宋简体" w:hAnsi="方正小标宋简体" w:eastAsia="方正小标宋简体" w:cs="方正小标宋简体"/>
          <w:b w:val="0"/>
        </w:rPr>
        <w:t>2022</w:t>
      </w:r>
      <w:r>
        <w:rPr>
          <w:rFonts w:ascii="方正小标宋简体" w:hAnsi="方正小标宋简体" w:eastAsia="方正小标宋简体" w:cs="方正小标宋简体"/>
          <w:b w:val="0"/>
        </w:rPr>
        <w:t>年度部门决算</w:t>
      </w:r>
      <w:r>
        <w:rPr>
          <w:rFonts w:hint="eastAsia" w:ascii="方正小标宋简体" w:hAnsi="方正小标宋简体" w:eastAsia="方正小标宋简体" w:cs="方正小标宋简体"/>
          <w:b w:val="0"/>
        </w:rPr>
        <w:t>表</w:t>
      </w:r>
      <w:bookmarkEnd w:id="3"/>
    </w:p>
    <w:p>
      <w:pPr>
        <w:spacing w:line="600" w:lineRule="exact"/>
      </w:pPr>
    </w:p>
    <w:p>
      <w:pPr>
        <w:pStyle w:val="3"/>
        <w:spacing w:before="0" w:after="0" w:line="800" w:lineRule="exact"/>
        <w:ind w:firstLine="600" w:firstLineChars="200"/>
        <w:rPr>
          <w:rFonts w:ascii="黑体" w:hAnsi="黑体" w:eastAsia="黑体"/>
          <w:b w:val="0"/>
          <w:sz w:val="30"/>
          <w:szCs w:val="30"/>
        </w:rPr>
      </w:pPr>
      <w:bookmarkStart w:id="4" w:name="_Toc20142"/>
      <w:r>
        <w:rPr>
          <w:rFonts w:ascii="黑体" w:hAnsi="黑体" w:eastAsia="黑体"/>
          <w:b w:val="0"/>
          <w:sz w:val="30"/>
          <w:szCs w:val="30"/>
        </w:rPr>
        <w:t>一</w:t>
      </w:r>
      <w:r>
        <w:rPr>
          <w:rFonts w:hint="eastAsia" w:ascii="黑体" w:hAnsi="黑体" w:eastAsia="黑体"/>
          <w:b w:val="0"/>
          <w:sz w:val="30"/>
          <w:szCs w:val="30"/>
        </w:rPr>
        <w:t>、</w:t>
      </w:r>
      <w:r>
        <w:rPr>
          <w:rFonts w:ascii="黑体" w:hAnsi="黑体" w:eastAsia="黑体"/>
          <w:b w:val="0"/>
          <w:sz w:val="30"/>
          <w:szCs w:val="30"/>
        </w:rPr>
        <w:t>《</w:t>
      </w:r>
      <w:r>
        <w:rPr>
          <w:rFonts w:hint="eastAsia" w:ascii="黑体" w:hAnsi="黑体" w:eastAsia="黑体"/>
          <w:b w:val="0"/>
          <w:sz w:val="30"/>
          <w:szCs w:val="30"/>
        </w:rPr>
        <w:t>收入</w:t>
      </w:r>
      <w:r>
        <w:rPr>
          <w:rFonts w:ascii="黑体" w:hAnsi="黑体" w:eastAsia="黑体"/>
          <w:b w:val="0"/>
          <w:sz w:val="30"/>
          <w:szCs w:val="30"/>
        </w:rPr>
        <w:t>支出</w:t>
      </w:r>
      <w:r>
        <w:rPr>
          <w:rFonts w:hint="eastAsia" w:ascii="黑体" w:hAnsi="黑体" w:eastAsia="黑体"/>
          <w:b w:val="0"/>
          <w:sz w:val="30"/>
          <w:szCs w:val="30"/>
        </w:rPr>
        <w:t>决算总</w:t>
      </w:r>
      <w:r>
        <w:rPr>
          <w:rFonts w:ascii="黑体" w:hAnsi="黑体" w:eastAsia="黑体"/>
          <w:b w:val="0"/>
          <w:sz w:val="30"/>
          <w:szCs w:val="30"/>
        </w:rPr>
        <w:t>表》</w:t>
      </w:r>
      <w:bookmarkEnd w:id="4"/>
    </w:p>
    <w:p>
      <w:pPr>
        <w:pStyle w:val="3"/>
        <w:spacing w:before="0" w:after="0" w:line="800" w:lineRule="exact"/>
        <w:ind w:firstLine="600" w:firstLineChars="200"/>
        <w:rPr>
          <w:rFonts w:ascii="黑体" w:hAnsi="黑体" w:eastAsia="黑体"/>
          <w:b w:val="0"/>
          <w:sz w:val="30"/>
          <w:szCs w:val="30"/>
        </w:rPr>
      </w:pPr>
      <w:bookmarkStart w:id="5" w:name="_Toc1616"/>
      <w:r>
        <w:rPr>
          <w:rFonts w:ascii="黑体" w:hAnsi="黑体" w:eastAsia="黑体"/>
          <w:b w:val="0"/>
          <w:sz w:val="30"/>
          <w:szCs w:val="30"/>
        </w:rPr>
        <w:t>二、《收入</w:t>
      </w:r>
      <w:r>
        <w:rPr>
          <w:rFonts w:hint="eastAsia" w:ascii="黑体" w:hAnsi="黑体" w:eastAsia="黑体"/>
          <w:b w:val="0"/>
          <w:sz w:val="30"/>
          <w:szCs w:val="30"/>
        </w:rPr>
        <w:t>决算</w:t>
      </w:r>
      <w:r>
        <w:rPr>
          <w:rFonts w:ascii="黑体" w:hAnsi="黑体" w:eastAsia="黑体"/>
          <w:b w:val="0"/>
          <w:sz w:val="30"/>
          <w:szCs w:val="30"/>
        </w:rPr>
        <w:t>表</w:t>
      </w:r>
      <w:r>
        <w:rPr>
          <w:rFonts w:hint="eastAsia" w:ascii="黑体" w:hAnsi="黑体" w:eastAsia="黑体"/>
          <w:b w:val="0"/>
          <w:sz w:val="30"/>
          <w:szCs w:val="30"/>
        </w:rPr>
        <w:t>（按功能分类列示）</w:t>
      </w:r>
      <w:r>
        <w:rPr>
          <w:rFonts w:ascii="黑体" w:hAnsi="黑体" w:eastAsia="黑体"/>
          <w:b w:val="0"/>
          <w:sz w:val="30"/>
          <w:szCs w:val="30"/>
        </w:rPr>
        <w:t>》</w:t>
      </w:r>
      <w:bookmarkEnd w:id="5"/>
    </w:p>
    <w:p>
      <w:pPr>
        <w:pStyle w:val="3"/>
        <w:spacing w:before="0" w:after="0" w:line="800" w:lineRule="exact"/>
        <w:ind w:firstLine="600" w:firstLineChars="200"/>
        <w:rPr>
          <w:rFonts w:ascii="黑体" w:hAnsi="黑体" w:eastAsia="黑体"/>
          <w:b w:val="0"/>
          <w:sz w:val="30"/>
          <w:szCs w:val="30"/>
        </w:rPr>
      </w:pPr>
      <w:bookmarkStart w:id="6" w:name="_Toc12050"/>
      <w:r>
        <w:rPr>
          <w:rFonts w:hint="eastAsia" w:ascii="黑体" w:hAnsi="黑体" w:eastAsia="黑体"/>
          <w:b w:val="0"/>
          <w:sz w:val="30"/>
          <w:szCs w:val="30"/>
        </w:rPr>
        <w:t>三</w:t>
      </w:r>
      <w:r>
        <w:rPr>
          <w:rFonts w:ascii="黑体" w:hAnsi="黑体" w:eastAsia="黑体"/>
          <w:b w:val="0"/>
          <w:sz w:val="30"/>
          <w:szCs w:val="30"/>
        </w:rPr>
        <w:t>、《收入</w:t>
      </w:r>
      <w:r>
        <w:rPr>
          <w:rFonts w:hint="eastAsia" w:ascii="黑体" w:hAnsi="黑体" w:eastAsia="黑体"/>
          <w:b w:val="0"/>
          <w:sz w:val="30"/>
          <w:szCs w:val="30"/>
        </w:rPr>
        <w:t>决算</w:t>
      </w:r>
      <w:r>
        <w:rPr>
          <w:rFonts w:ascii="黑体" w:hAnsi="黑体" w:eastAsia="黑体"/>
          <w:b w:val="0"/>
          <w:sz w:val="30"/>
          <w:szCs w:val="30"/>
        </w:rPr>
        <w:t>表</w:t>
      </w:r>
      <w:r>
        <w:rPr>
          <w:rFonts w:hint="eastAsia" w:ascii="黑体" w:hAnsi="黑体" w:eastAsia="黑体"/>
          <w:b w:val="0"/>
          <w:sz w:val="30"/>
          <w:szCs w:val="30"/>
        </w:rPr>
        <w:t>（按单位列示）</w:t>
      </w:r>
      <w:r>
        <w:rPr>
          <w:rFonts w:ascii="黑体" w:hAnsi="黑体" w:eastAsia="黑体"/>
          <w:b w:val="0"/>
          <w:sz w:val="30"/>
          <w:szCs w:val="30"/>
        </w:rPr>
        <w:t>》</w:t>
      </w:r>
      <w:bookmarkEnd w:id="6"/>
    </w:p>
    <w:p>
      <w:pPr>
        <w:pStyle w:val="3"/>
        <w:spacing w:before="0" w:after="0" w:line="800" w:lineRule="exact"/>
        <w:ind w:firstLine="600" w:firstLineChars="200"/>
        <w:rPr>
          <w:rFonts w:ascii="黑体" w:hAnsi="黑体" w:eastAsia="黑体"/>
          <w:b w:val="0"/>
          <w:sz w:val="30"/>
          <w:szCs w:val="30"/>
        </w:rPr>
      </w:pPr>
      <w:bookmarkStart w:id="7" w:name="_Toc1989"/>
      <w:r>
        <w:rPr>
          <w:rFonts w:hint="eastAsia" w:ascii="黑体" w:hAnsi="黑体" w:eastAsia="黑体"/>
          <w:b w:val="0"/>
          <w:sz w:val="30"/>
          <w:szCs w:val="30"/>
        </w:rPr>
        <w:t>四、</w:t>
      </w:r>
      <w:r>
        <w:rPr>
          <w:rFonts w:ascii="黑体" w:hAnsi="黑体" w:eastAsia="黑体"/>
          <w:b w:val="0"/>
          <w:sz w:val="30"/>
          <w:szCs w:val="30"/>
        </w:rPr>
        <w:t>《支出</w:t>
      </w:r>
      <w:r>
        <w:rPr>
          <w:rFonts w:hint="eastAsia" w:ascii="黑体" w:hAnsi="黑体" w:eastAsia="黑体"/>
          <w:b w:val="0"/>
          <w:sz w:val="30"/>
          <w:szCs w:val="30"/>
        </w:rPr>
        <w:t>决算</w:t>
      </w:r>
      <w:r>
        <w:rPr>
          <w:rFonts w:ascii="黑体" w:hAnsi="黑体" w:eastAsia="黑体"/>
          <w:b w:val="0"/>
          <w:sz w:val="30"/>
          <w:szCs w:val="30"/>
        </w:rPr>
        <w:t>表》</w:t>
      </w:r>
      <w:bookmarkEnd w:id="7"/>
    </w:p>
    <w:p>
      <w:pPr>
        <w:pStyle w:val="3"/>
        <w:spacing w:before="0" w:after="0" w:line="800" w:lineRule="exact"/>
        <w:ind w:firstLine="600" w:firstLineChars="200"/>
        <w:rPr>
          <w:rFonts w:ascii="黑体" w:hAnsi="黑体" w:eastAsia="黑体"/>
          <w:b w:val="0"/>
          <w:sz w:val="30"/>
          <w:szCs w:val="30"/>
        </w:rPr>
      </w:pPr>
      <w:bookmarkStart w:id="8" w:name="_Toc32498"/>
      <w:r>
        <w:rPr>
          <w:rFonts w:ascii="黑体" w:hAnsi="黑体" w:eastAsia="黑体"/>
          <w:b w:val="0"/>
          <w:sz w:val="30"/>
          <w:szCs w:val="30"/>
        </w:rPr>
        <w:t>五</w:t>
      </w:r>
      <w:r>
        <w:rPr>
          <w:rFonts w:hint="eastAsia" w:ascii="黑体" w:hAnsi="黑体" w:eastAsia="黑体"/>
          <w:b w:val="0"/>
          <w:sz w:val="30"/>
          <w:szCs w:val="30"/>
        </w:rPr>
        <w:t>、</w:t>
      </w:r>
      <w:r>
        <w:rPr>
          <w:rFonts w:ascii="黑体" w:hAnsi="黑体" w:eastAsia="黑体"/>
          <w:b w:val="0"/>
          <w:sz w:val="30"/>
          <w:szCs w:val="30"/>
        </w:rPr>
        <w:t>《财政拨款</w:t>
      </w:r>
      <w:r>
        <w:rPr>
          <w:rFonts w:hint="eastAsia" w:ascii="黑体" w:hAnsi="黑体" w:eastAsia="黑体"/>
          <w:b w:val="0"/>
          <w:sz w:val="30"/>
          <w:szCs w:val="30"/>
        </w:rPr>
        <w:t>收入</w:t>
      </w:r>
      <w:r>
        <w:rPr>
          <w:rFonts w:ascii="黑体" w:hAnsi="黑体" w:eastAsia="黑体"/>
          <w:b w:val="0"/>
          <w:sz w:val="30"/>
          <w:szCs w:val="30"/>
        </w:rPr>
        <w:t>支出</w:t>
      </w:r>
      <w:r>
        <w:rPr>
          <w:rFonts w:hint="eastAsia" w:ascii="黑体" w:hAnsi="黑体" w:eastAsia="黑体"/>
          <w:b w:val="0"/>
          <w:sz w:val="30"/>
          <w:szCs w:val="30"/>
        </w:rPr>
        <w:t>决算总</w:t>
      </w:r>
      <w:r>
        <w:rPr>
          <w:rFonts w:ascii="黑体" w:hAnsi="黑体" w:eastAsia="黑体"/>
          <w:b w:val="0"/>
          <w:sz w:val="30"/>
          <w:szCs w:val="30"/>
        </w:rPr>
        <w:t>表》</w:t>
      </w:r>
      <w:bookmarkEnd w:id="8"/>
    </w:p>
    <w:p>
      <w:pPr>
        <w:pStyle w:val="3"/>
        <w:spacing w:before="0" w:after="0" w:line="800" w:lineRule="exact"/>
        <w:ind w:firstLine="600" w:firstLineChars="200"/>
        <w:rPr>
          <w:rFonts w:ascii="黑体" w:hAnsi="黑体" w:eastAsia="黑体"/>
          <w:b w:val="0"/>
          <w:sz w:val="30"/>
          <w:szCs w:val="30"/>
        </w:rPr>
      </w:pPr>
      <w:bookmarkStart w:id="9" w:name="_Toc26379"/>
      <w:r>
        <w:rPr>
          <w:rFonts w:ascii="黑体" w:hAnsi="黑体" w:eastAsia="黑体"/>
          <w:b w:val="0"/>
          <w:sz w:val="30"/>
          <w:szCs w:val="30"/>
        </w:rPr>
        <w:t>六</w:t>
      </w:r>
      <w:r>
        <w:rPr>
          <w:rFonts w:hint="eastAsia" w:ascii="黑体" w:hAnsi="黑体" w:eastAsia="黑体"/>
          <w:b w:val="0"/>
          <w:sz w:val="30"/>
          <w:szCs w:val="30"/>
        </w:rPr>
        <w:t>、</w:t>
      </w:r>
      <w:r>
        <w:rPr>
          <w:rFonts w:ascii="黑体" w:hAnsi="黑体" w:eastAsia="黑体"/>
          <w:b w:val="0"/>
          <w:sz w:val="30"/>
          <w:szCs w:val="30"/>
        </w:rPr>
        <w:t>《一般公共预算财政拨款支出</w:t>
      </w:r>
      <w:r>
        <w:rPr>
          <w:rFonts w:hint="eastAsia" w:ascii="黑体" w:hAnsi="黑体" w:eastAsia="黑体"/>
          <w:b w:val="0"/>
          <w:sz w:val="30"/>
          <w:szCs w:val="30"/>
        </w:rPr>
        <w:t>决算</w:t>
      </w:r>
      <w:r>
        <w:rPr>
          <w:rFonts w:ascii="黑体" w:hAnsi="黑体" w:eastAsia="黑体"/>
          <w:b w:val="0"/>
          <w:sz w:val="30"/>
          <w:szCs w:val="30"/>
        </w:rPr>
        <w:t>表》</w:t>
      </w:r>
      <w:bookmarkEnd w:id="9"/>
    </w:p>
    <w:p>
      <w:pPr>
        <w:pStyle w:val="3"/>
        <w:spacing w:before="0" w:after="0" w:line="800" w:lineRule="exact"/>
        <w:ind w:firstLine="600" w:firstLineChars="200"/>
        <w:rPr>
          <w:rFonts w:ascii="黑体" w:hAnsi="黑体" w:eastAsia="黑体"/>
          <w:b w:val="0"/>
          <w:sz w:val="30"/>
          <w:szCs w:val="30"/>
        </w:rPr>
      </w:pPr>
      <w:bookmarkStart w:id="10" w:name="_Toc4498"/>
      <w:r>
        <w:rPr>
          <w:rFonts w:ascii="黑体" w:hAnsi="黑体" w:eastAsia="黑体"/>
          <w:b w:val="0"/>
          <w:sz w:val="30"/>
          <w:szCs w:val="30"/>
        </w:rPr>
        <w:t>七</w:t>
      </w:r>
      <w:r>
        <w:rPr>
          <w:rFonts w:hint="eastAsia" w:ascii="黑体" w:hAnsi="黑体" w:eastAsia="黑体"/>
          <w:b w:val="0"/>
          <w:sz w:val="30"/>
          <w:szCs w:val="30"/>
        </w:rPr>
        <w:t>、</w:t>
      </w:r>
      <w:r>
        <w:rPr>
          <w:rFonts w:ascii="黑体" w:hAnsi="黑体" w:eastAsia="黑体"/>
          <w:b w:val="0"/>
          <w:sz w:val="30"/>
          <w:szCs w:val="30"/>
        </w:rPr>
        <w:t>《一般公共预算财政拨款基本支出</w:t>
      </w:r>
      <w:r>
        <w:rPr>
          <w:rFonts w:hint="eastAsia" w:ascii="黑体" w:hAnsi="黑体" w:eastAsia="黑体"/>
          <w:b w:val="0"/>
          <w:sz w:val="30"/>
          <w:szCs w:val="30"/>
        </w:rPr>
        <w:t>决算</w:t>
      </w:r>
      <w:r>
        <w:rPr>
          <w:rFonts w:ascii="黑体" w:hAnsi="黑体" w:eastAsia="黑体"/>
          <w:b w:val="0"/>
          <w:sz w:val="30"/>
          <w:szCs w:val="30"/>
        </w:rPr>
        <w:t>表》</w:t>
      </w:r>
      <w:bookmarkEnd w:id="10"/>
    </w:p>
    <w:p>
      <w:pPr>
        <w:pStyle w:val="3"/>
        <w:spacing w:before="0" w:after="0" w:line="800" w:lineRule="exact"/>
        <w:ind w:firstLine="600" w:firstLineChars="200"/>
        <w:rPr>
          <w:rFonts w:ascii="黑体" w:hAnsi="黑体" w:eastAsia="黑体"/>
          <w:b w:val="0"/>
          <w:sz w:val="30"/>
          <w:szCs w:val="30"/>
        </w:rPr>
      </w:pPr>
      <w:bookmarkStart w:id="11" w:name="_Toc18038"/>
      <w:r>
        <w:rPr>
          <w:rFonts w:hint="eastAsia" w:ascii="黑体" w:hAnsi="黑体" w:eastAsia="黑体"/>
          <w:b w:val="0"/>
          <w:sz w:val="30"/>
          <w:szCs w:val="30"/>
        </w:rPr>
        <w:t>八、</w:t>
      </w:r>
      <w:r>
        <w:rPr>
          <w:rFonts w:ascii="黑体" w:hAnsi="黑体" w:eastAsia="黑体"/>
          <w:b w:val="0"/>
          <w:sz w:val="30"/>
          <w:szCs w:val="30"/>
        </w:rPr>
        <w:t>《政府性基金预算财政拨款</w:t>
      </w:r>
      <w:r>
        <w:rPr>
          <w:rFonts w:hint="eastAsia" w:ascii="黑体" w:hAnsi="黑体" w:eastAsia="黑体"/>
          <w:b w:val="0"/>
          <w:sz w:val="30"/>
          <w:szCs w:val="30"/>
        </w:rPr>
        <w:t>收入</w:t>
      </w:r>
      <w:r>
        <w:rPr>
          <w:rFonts w:ascii="黑体" w:hAnsi="黑体" w:eastAsia="黑体"/>
          <w:b w:val="0"/>
          <w:sz w:val="30"/>
          <w:szCs w:val="30"/>
        </w:rPr>
        <w:t>支出</w:t>
      </w:r>
      <w:r>
        <w:rPr>
          <w:rFonts w:hint="eastAsia" w:ascii="黑体" w:hAnsi="黑体" w:eastAsia="黑体"/>
          <w:b w:val="0"/>
          <w:sz w:val="30"/>
          <w:szCs w:val="30"/>
        </w:rPr>
        <w:t>决算</w:t>
      </w:r>
      <w:r>
        <w:rPr>
          <w:rFonts w:ascii="黑体" w:hAnsi="黑体" w:eastAsia="黑体"/>
          <w:b w:val="0"/>
          <w:sz w:val="30"/>
          <w:szCs w:val="30"/>
        </w:rPr>
        <w:t>表》</w:t>
      </w:r>
      <w:bookmarkEnd w:id="11"/>
    </w:p>
    <w:p>
      <w:pPr>
        <w:pStyle w:val="3"/>
        <w:spacing w:before="0" w:after="0" w:line="800" w:lineRule="exact"/>
        <w:ind w:firstLine="600" w:firstLineChars="200"/>
        <w:rPr>
          <w:rFonts w:ascii="黑体" w:hAnsi="黑体" w:eastAsia="黑体"/>
          <w:b w:val="0"/>
          <w:sz w:val="30"/>
          <w:szCs w:val="30"/>
        </w:rPr>
      </w:pPr>
      <w:bookmarkStart w:id="12" w:name="_Toc13200"/>
      <w:r>
        <w:rPr>
          <w:rFonts w:hint="eastAsia" w:ascii="黑体" w:hAnsi="黑体" w:eastAsia="黑体"/>
          <w:b w:val="0"/>
          <w:sz w:val="30"/>
          <w:szCs w:val="30"/>
        </w:rPr>
        <w:t>九、</w:t>
      </w:r>
      <w:r>
        <w:rPr>
          <w:rFonts w:ascii="黑体" w:hAnsi="黑体" w:eastAsia="黑体"/>
          <w:b w:val="0"/>
          <w:sz w:val="30"/>
          <w:szCs w:val="30"/>
        </w:rPr>
        <w:t>《国有资本经营预算财政拨款</w:t>
      </w:r>
      <w:r>
        <w:rPr>
          <w:rFonts w:hint="eastAsia" w:ascii="黑体" w:hAnsi="黑体" w:eastAsia="黑体"/>
          <w:b w:val="0"/>
          <w:sz w:val="30"/>
          <w:szCs w:val="30"/>
        </w:rPr>
        <w:t>收入支出决算</w:t>
      </w:r>
      <w:r>
        <w:rPr>
          <w:rFonts w:ascii="黑体" w:hAnsi="黑体" w:eastAsia="黑体"/>
          <w:b w:val="0"/>
          <w:sz w:val="30"/>
          <w:szCs w:val="30"/>
        </w:rPr>
        <w:t>表》</w:t>
      </w:r>
      <w:bookmarkEnd w:id="12"/>
    </w:p>
    <w:p>
      <w:pPr>
        <w:pStyle w:val="3"/>
        <w:spacing w:before="0" w:after="0" w:line="800" w:lineRule="exact"/>
        <w:ind w:firstLine="600" w:firstLineChars="200"/>
        <w:rPr>
          <w:rFonts w:ascii="黑体" w:hAnsi="黑体" w:eastAsia="黑体"/>
          <w:b w:val="0"/>
          <w:sz w:val="30"/>
          <w:szCs w:val="30"/>
        </w:rPr>
      </w:pPr>
      <w:bookmarkStart w:id="13" w:name="_Toc3423"/>
      <w:r>
        <w:rPr>
          <w:rFonts w:hint="eastAsia" w:ascii="黑体" w:hAnsi="黑体" w:eastAsia="黑体"/>
          <w:b w:val="0"/>
          <w:sz w:val="30"/>
          <w:szCs w:val="30"/>
        </w:rPr>
        <w:t>十、</w:t>
      </w:r>
      <w:r>
        <w:rPr>
          <w:rFonts w:ascii="黑体" w:hAnsi="黑体" w:eastAsia="黑体"/>
          <w:b w:val="0"/>
          <w:sz w:val="30"/>
          <w:szCs w:val="30"/>
        </w:rPr>
        <w:t>《一般公共预算财政拨款“三公”经费支出</w:t>
      </w:r>
      <w:r>
        <w:rPr>
          <w:rFonts w:hint="eastAsia" w:ascii="黑体" w:hAnsi="黑体" w:eastAsia="黑体"/>
          <w:b w:val="0"/>
          <w:sz w:val="30"/>
          <w:szCs w:val="30"/>
        </w:rPr>
        <w:t>决算</w:t>
      </w:r>
      <w:r>
        <w:rPr>
          <w:rFonts w:ascii="黑体" w:hAnsi="黑体" w:eastAsia="黑体"/>
          <w:b w:val="0"/>
          <w:sz w:val="30"/>
          <w:szCs w:val="30"/>
        </w:rPr>
        <w:t>表》</w:t>
      </w:r>
      <w:bookmarkEnd w:id="13"/>
    </w:p>
    <w:p>
      <w:pPr>
        <w:pStyle w:val="3"/>
        <w:spacing w:before="0" w:after="0" w:line="800" w:lineRule="exact"/>
        <w:ind w:firstLine="600" w:firstLineChars="200"/>
        <w:rPr>
          <w:rFonts w:ascii="黑体" w:hAnsi="黑体" w:eastAsia="黑体"/>
          <w:b w:val="0"/>
          <w:sz w:val="30"/>
          <w:szCs w:val="30"/>
        </w:rPr>
      </w:pPr>
      <w:bookmarkStart w:id="14" w:name="_Toc3915"/>
      <w:r>
        <w:rPr>
          <w:rFonts w:ascii="黑体" w:hAnsi="黑体" w:eastAsia="黑体"/>
          <w:b w:val="0"/>
          <w:sz w:val="30"/>
          <w:szCs w:val="30"/>
        </w:rPr>
        <w:t>十</w:t>
      </w:r>
      <w:r>
        <w:rPr>
          <w:rFonts w:hint="eastAsia" w:ascii="黑体" w:hAnsi="黑体" w:eastAsia="黑体"/>
          <w:b w:val="0"/>
          <w:sz w:val="30"/>
          <w:szCs w:val="30"/>
        </w:rPr>
        <w:t>一、</w:t>
      </w:r>
      <w:r>
        <w:rPr>
          <w:rFonts w:ascii="黑体" w:hAnsi="黑体" w:eastAsia="黑体"/>
          <w:b w:val="0"/>
          <w:sz w:val="30"/>
          <w:szCs w:val="30"/>
        </w:rPr>
        <w:t>《项目支出决算表》</w:t>
      </w:r>
      <w:bookmarkEnd w:id="14"/>
    </w:p>
    <w:p>
      <w:pPr>
        <w:spacing w:line="800" w:lineRule="exact"/>
      </w:pPr>
      <w:r>
        <w:rPr>
          <w:rFonts w:hint="eastAsia" w:eastAsia="楷体"/>
          <w:sz w:val="30"/>
          <w:szCs w:val="30"/>
        </w:rPr>
        <w:t>注：以上决算公开表均作为附表，附于决算公开说明文档后。</w:t>
      </w:r>
    </w:p>
    <w:p>
      <w:pPr>
        <w:pStyle w:val="3"/>
        <w:numPr>
          <w:ilvl w:val="0"/>
          <w:numId w:val="1"/>
        </w:numPr>
        <w:spacing w:before="0" w:after="0" w:line="800" w:lineRule="exact"/>
        <w:ind w:firstLine="600" w:firstLineChars="200"/>
        <w:rPr>
          <w:rFonts w:ascii="黑体" w:hAnsi="黑体" w:eastAsia="黑体"/>
          <w:b w:val="0"/>
          <w:bCs w:val="0"/>
          <w:sz w:val="30"/>
          <w:szCs w:val="30"/>
        </w:rPr>
      </w:pPr>
      <w:bookmarkStart w:id="15" w:name="_Toc17260"/>
      <w:r>
        <w:rPr>
          <w:rFonts w:hint="eastAsia" w:ascii="黑体" w:hAnsi="黑体" w:eastAsia="黑体"/>
          <w:b w:val="0"/>
          <w:bCs w:val="0"/>
          <w:sz w:val="30"/>
          <w:szCs w:val="30"/>
        </w:rPr>
        <w:t>关于空表的说明</w:t>
      </w:r>
      <w:bookmarkEnd w:id="15"/>
    </w:p>
    <w:p>
      <w:pPr>
        <w:spacing w:line="600" w:lineRule="exact"/>
        <w:rPr>
          <w:rFonts w:ascii="仿宋_GB2312" w:eastAsia="仿宋_GB2312" w:cs="仿宋_GB2312"/>
          <w:sz w:val="30"/>
          <w:szCs w:val="30"/>
        </w:rPr>
        <w:sectPr>
          <w:pgSz w:w="11906" w:h="16838"/>
          <w:pgMar w:top="1440" w:right="1800" w:bottom="1440" w:left="1800" w:header="851" w:footer="992" w:gutter="0"/>
          <w:cols w:space="720" w:num="1"/>
          <w:docGrid w:type="lines" w:linePitch="312" w:charSpace="0"/>
        </w:sectPr>
      </w:pPr>
      <w:r>
        <w:rPr>
          <w:rFonts w:hint="eastAsia" w:ascii="仿宋_GB2312" w:eastAsia="仿宋_GB2312" w:cs="仿宋_GB2312"/>
          <w:sz w:val="30"/>
          <w:szCs w:val="30"/>
        </w:rPr>
        <w:t xml:space="preserve">    天津市津南区北闸口镇人民政府</w:t>
      </w:r>
      <w:r>
        <w:rPr>
          <w:rFonts w:hint="default" w:ascii="Times New Roman" w:hAnsi="Times New Roman" w:eastAsia="仿宋_GB2312" w:cs="Times New Roman"/>
          <w:sz w:val="30"/>
          <w:szCs w:val="30"/>
        </w:rPr>
        <w:t>2022</w:t>
      </w:r>
      <w:r>
        <w:rPr>
          <w:rFonts w:hint="eastAsia" w:ascii="仿宋_GB2312" w:eastAsia="仿宋_GB2312" w:cs="仿宋_GB2312"/>
          <w:sz w:val="30"/>
          <w:szCs w:val="30"/>
        </w:rPr>
        <w:t>年度国有资本经营预算财政拨款收入支出决算表为空表。</w:t>
      </w:r>
    </w:p>
    <w:p>
      <w:pPr>
        <w:spacing w:line="600" w:lineRule="exact"/>
        <w:rPr>
          <w:rFonts w:ascii="仿宋_GB2312" w:eastAsia="仿宋_GB2312" w:cs="仿宋_GB2312"/>
          <w:sz w:val="30"/>
          <w:szCs w:val="30"/>
        </w:rPr>
      </w:pPr>
    </w:p>
    <w:p>
      <w:pPr>
        <w:pStyle w:val="2"/>
        <w:spacing w:before="0" w:after="0" w:line="600" w:lineRule="exact"/>
        <w:jc w:val="center"/>
        <w:rPr>
          <w:rFonts w:ascii="方正小标宋简体" w:hAnsi="方正小标宋简体" w:eastAsia="方正小标宋简体" w:cs="方正小标宋简体"/>
          <w:b w:val="0"/>
        </w:rPr>
      </w:pPr>
      <w:bookmarkStart w:id="16" w:name="_Toc396"/>
      <w:r>
        <w:rPr>
          <w:rFonts w:ascii="方正小标宋简体" w:hAnsi="方正小标宋简体" w:eastAsia="方正小标宋简体" w:cs="方正小标宋简体"/>
          <w:b w:val="0"/>
        </w:rPr>
        <w:t>第</w:t>
      </w:r>
      <w:r>
        <w:rPr>
          <w:rFonts w:hint="eastAsia" w:ascii="方正小标宋简体" w:hAnsi="方正小标宋简体" w:eastAsia="方正小标宋简体" w:cs="方正小标宋简体"/>
          <w:b w:val="0"/>
        </w:rPr>
        <w:t>三</w:t>
      </w:r>
      <w:r>
        <w:rPr>
          <w:rFonts w:ascii="方正小标宋简体" w:hAnsi="方正小标宋简体" w:eastAsia="方正小标宋简体" w:cs="方正小标宋简体"/>
          <w:b w:val="0"/>
        </w:rPr>
        <w:t xml:space="preserve">部分  </w:t>
      </w:r>
      <w:r>
        <w:rPr>
          <w:rFonts w:hint="eastAsia" w:ascii="方正小标宋简体" w:hAnsi="方正小标宋简体" w:eastAsia="方正小标宋简体" w:cs="方正小标宋简体"/>
          <w:b w:val="0"/>
        </w:rPr>
        <w:t>2022</w:t>
      </w:r>
      <w:r>
        <w:rPr>
          <w:rFonts w:ascii="方正小标宋简体" w:hAnsi="方正小标宋简体" w:eastAsia="方正小标宋简体" w:cs="方正小标宋简体"/>
          <w:b w:val="0"/>
        </w:rPr>
        <w:t>年度部门决算</w:t>
      </w:r>
      <w:r>
        <w:rPr>
          <w:rFonts w:hint="eastAsia" w:ascii="方正小标宋简体" w:hAnsi="方正小标宋简体" w:eastAsia="方正小标宋简体" w:cs="方正小标宋简体"/>
          <w:b w:val="0"/>
        </w:rPr>
        <w:t>情况</w:t>
      </w:r>
      <w:r>
        <w:rPr>
          <w:rFonts w:ascii="方正小标宋简体" w:hAnsi="方正小标宋简体" w:eastAsia="方正小标宋简体" w:cs="方正小标宋简体"/>
          <w:b w:val="0"/>
        </w:rPr>
        <w:t>说明</w:t>
      </w:r>
      <w:bookmarkEnd w:id="16"/>
    </w:p>
    <w:p>
      <w:pPr>
        <w:spacing w:line="600" w:lineRule="exact"/>
        <w:ind w:firstLine="600" w:firstLineChars="200"/>
        <w:rPr>
          <w:rFonts w:ascii="黑体" w:eastAsia="黑体"/>
          <w:sz w:val="30"/>
          <w:szCs w:val="30"/>
        </w:rPr>
      </w:pPr>
    </w:p>
    <w:p>
      <w:pPr>
        <w:pStyle w:val="3"/>
        <w:spacing w:before="0" w:after="0" w:line="600" w:lineRule="exact"/>
        <w:ind w:firstLine="600" w:firstLineChars="200"/>
        <w:rPr>
          <w:rFonts w:ascii="黑体" w:hAnsi="黑体" w:eastAsia="黑体"/>
          <w:b w:val="0"/>
          <w:sz w:val="30"/>
          <w:szCs w:val="30"/>
        </w:rPr>
      </w:pPr>
      <w:bookmarkStart w:id="17" w:name="_Toc24340"/>
      <w:r>
        <w:rPr>
          <w:rFonts w:hint="eastAsia" w:ascii="黑体" w:hAnsi="黑体" w:eastAsia="黑体"/>
          <w:b w:val="0"/>
          <w:sz w:val="30"/>
          <w:szCs w:val="30"/>
        </w:rPr>
        <w:t>一、收入支出决算总体情况说明</w:t>
      </w:r>
      <w:bookmarkEnd w:id="17"/>
    </w:p>
    <w:p>
      <w:pPr>
        <w:keepNext w:val="0"/>
        <w:keepLines w:val="0"/>
        <w:pageBreakBefore w:val="0"/>
        <w:widowControl w:val="0"/>
        <w:kinsoku/>
        <w:wordWrap/>
        <w:overflowPunct/>
        <w:topLinePunct w:val="0"/>
        <w:autoSpaceDE/>
        <w:autoSpaceDN/>
        <w:bidi w:val="0"/>
        <w:adjustRightInd w:val="0"/>
        <w:snapToGrid/>
        <w:spacing w:line="600" w:lineRule="exact"/>
        <w:textAlignment w:val="baseline"/>
        <w:rPr>
          <w:rFonts w:eastAsia="楷体_GB2312"/>
          <w:b/>
          <w:sz w:val="30"/>
          <w:szCs w:val="30"/>
        </w:rPr>
      </w:pPr>
      <w:r>
        <w:rPr>
          <w:rFonts w:hint="eastAsia" w:eastAsia="仿宋_GB2312"/>
          <w:sz w:val="30"/>
          <w:szCs w:val="30"/>
        </w:rPr>
        <w:t xml:space="preserve">    </w:t>
      </w:r>
      <w:r>
        <w:rPr>
          <w:rFonts w:hint="eastAsia" w:ascii="仿宋_GB2312" w:eastAsia="仿宋_GB2312" w:cs="仿宋_GB2312"/>
          <w:sz w:val="30"/>
          <w:szCs w:val="30"/>
        </w:rPr>
        <w:t>天津市津南区北闸口镇人民政府2022年度收入、支出决算总计789132164.99元。与2021年度相比，收、支总计各增加242237785.37元，增长44.29%，主要原因是</w:t>
      </w:r>
      <w:r>
        <w:rPr>
          <w:rFonts w:hint="eastAsia" w:ascii="仿宋_GB2312" w:eastAsia="仿宋_GB2312" w:cs="仿宋_GB2312"/>
          <w:sz w:val="30"/>
          <w:szCs w:val="30"/>
          <w:lang w:eastAsia="zh-CN"/>
        </w:rPr>
        <w:t>按照上级要求增加海河工业区北闸口拓展区基础设施建设工程等政府性基金预算财政拨款收入支出</w:t>
      </w:r>
      <w:r>
        <w:rPr>
          <w:rFonts w:hint="eastAsia" w:eastAsia="仿宋_GB2312"/>
          <w:sz w:val="30"/>
          <w:szCs w:val="30"/>
        </w:rPr>
        <w:t>。</w:t>
      </w:r>
    </w:p>
    <w:p>
      <w:pPr>
        <w:pStyle w:val="3"/>
        <w:spacing w:before="0" w:after="0" w:line="600" w:lineRule="exact"/>
        <w:ind w:firstLine="600" w:firstLineChars="200"/>
        <w:rPr>
          <w:rFonts w:ascii="黑体" w:hAnsi="黑体" w:eastAsia="黑体" w:cs="仿宋_GB2312"/>
          <w:b w:val="0"/>
          <w:sz w:val="30"/>
          <w:szCs w:val="30"/>
        </w:rPr>
      </w:pPr>
      <w:bookmarkStart w:id="18" w:name="_Toc18552"/>
      <w:r>
        <w:rPr>
          <w:rFonts w:hint="eastAsia" w:ascii="黑体" w:hAnsi="黑体" w:eastAsia="黑体" w:cs="仿宋_GB2312"/>
          <w:b w:val="0"/>
          <w:sz w:val="30"/>
          <w:szCs w:val="30"/>
        </w:rPr>
        <w:t>二、收入决算情况说明</w:t>
      </w:r>
      <w:bookmarkEnd w:id="18"/>
    </w:p>
    <w:p>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textAlignment w:val="baseline"/>
        <w:rPr>
          <w:rFonts w:hint="eastAsia" w:ascii="仿宋_GB2312" w:eastAsia="仿宋_GB2312" w:cs="仿宋_GB2312"/>
          <w:sz w:val="30"/>
          <w:szCs w:val="30"/>
          <w:lang w:eastAsia="zh-CN"/>
        </w:rPr>
      </w:pPr>
      <w:r>
        <w:rPr>
          <w:rFonts w:hint="eastAsia" w:ascii="仿宋_GB2312" w:eastAsia="仿宋_GB2312" w:cs="仿宋_GB2312"/>
          <w:sz w:val="30"/>
          <w:szCs w:val="30"/>
          <w:lang w:eastAsia="zh-CN"/>
        </w:rPr>
        <w:t>天津市津南区北闸口镇人民政府2022年度本年收入合计669503079.65元，与2021年度相比增加271675829.70元，主要原因是按照上级要求增加海河工业区北闸口拓展区基础设施建设工程等政府性基金预算财政拨款收入。其中：一般公共预算财政拨款收入98902582.37元，占14.77%；政府性基金预算财政拨款收入538400619.00元，占80.42%；其他收入32199878.28元，占4.81%。</w:t>
      </w:r>
    </w:p>
    <w:p>
      <w:pPr>
        <w:pStyle w:val="3"/>
        <w:spacing w:before="0" w:after="0" w:line="600" w:lineRule="exact"/>
        <w:ind w:firstLine="600" w:firstLineChars="200"/>
        <w:rPr>
          <w:rFonts w:ascii="黑体" w:hAnsi="黑体" w:eastAsia="黑体" w:cs="仿宋_GB2312"/>
          <w:b w:val="0"/>
          <w:sz w:val="30"/>
          <w:szCs w:val="30"/>
        </w:rPr>
      </w:pPr>
      <w:bookmarkStart w:id="19" w:name="_Toc26952"/>
      <w:r>
        <w:rPr>
          <w:rFonts w:hint="eastAsia" w:ascii="黑体" w:hAnsi="黑体" w:eastAsia="黑体" w:cs="仿宋_GB2312"/>
          <w:b w:val="0"/>
          <w:sz w:val="30"/>
          <w:szCs w:val="30"/>
        </w:rPr>
        <w:t>三、</w:t>
      </w:r>
      <w:r>
        <w:rPr>
          <w:rFonts w:ascii="黑体" w:hAnsi="黑体" w:eastAsia="黑体" w:cs="仿宋_GB2312"/>
          <w:b w:val="0"/>
          <w:sz w:val="30"/>
          <w:szCs w:val="30"/>
        </w:rPr>
        <w:t>支出</w:t>
      </w:r>
      <w:r>
        <w:rPr>
          <w:rFonts w:hint="eastAsia" w:ascii="黑体" w:hAnsi="黑体" w:eastAsia="黑体" w:cs="仿宋_GB2312"/>
          <w:b w:val="0"/>
          <w:sz w:val="30"/>
          <w:szCs w:val="30"/>
        </w:rPr>
        <w:t>决算</w:t>
      </w:r>
      <w:r>
        <w:rPr>
          <w:rFonts w:ascii="黑体" w:hAnsi="黑体" w:eastAsia="黑体" w:cs="仿宋_GB2312"/>
          <w:b w:val="0"/>
          <w:sz w:val="30"/>
          <w:szCs w:val="30"/>
        </w:rPr>
        <w:t>情况</w:t>
      </w:r>
      <w:r>
        <w:rPr>
          <w:rFonts w:hint="eastAsia" w:ascii="黑体" w:hAnsi="黑体" w:eastAsia="黑体" w:cs="仿宋_GB2312"/>
          <w:b w:val="0"/>
          <w:sz w:val="30"/>
          <w:szCs w:val="30"/>
        </w:rPr>
        <w:t>说明</w:t>
      </w:r>
      <w:bookmarkEnd w:id="19"/>
    </w:p>
    <w:p>
      <w:pPr>
        <w:spacing w:line="600" w:lineRule="exact"/>
        <w:ind w:firstLine="600" w:firstLineChars="200"/>
        <w:rPr>
          <w:rFonts w:eastAsia="仿宋_GB2312"/>
          <w:sz w:val="30"/>
          <w:szCs w:val="30"/>
        </w:rPr>
      </w:pPr>
      <w:r>
        <w:rPr>
          <w:rFonts w:hint="eastAsia" w:ascii="仿宋_GB2312" w:eastAsia="仿宋_GB2312" w:cs="仿宋_GB2312"/>
          <w:sz w:val="30"/>
          <w:szCs w:val="30"/>
        </w:rPr>
        <w:t>天津市津南区北闸口镇人民政府2022年度本年支出合计754293290.44元，与2021年度相比增加325649530.20元，主要原因是</w:t>
      </w:r>
      <w:r>
        <w:rPr>
          <w:rFonts w:hint="eastAsia" w:ascii="仿宋_GB2312" w:eastAsia="仿宋_GB2312" w:cs="仿宋_GB2312"/>
          <w:sz w:val="30"/>
          <w:szCs w:val="30"/>
          <w:lang w:eastAsia="zh-CN"/>
        </w:rPr>
        <w:t>按照上级要求增加海河工业区北闸口拓展区基础设施建设工程等政府性基金预算财政拨款支出</w:t>
      </w:r>
      <w:r>
        <w:rPr>
          <w:rFonts w:hint="eastAsia" w:ascii="仿宋_GB2312" w:eastAsia="仿宋_GB2312" w:cs="仿宋_GB2312"/>
          <w:sz w:val="30"/>
          <w:szCs w:val="30"/>
        </w:rPr>
        <w:t>。其中：基本支出41033749.83元，占5.44%；项目支出713259540.61元，占94.56%。</w:t>
      </w:r>
    </w:p>
    <w:p>
      <w:pPr>
        <w:pStyle w:val="3"/>
        <w:spacing w:before="0" w:after="0" w:line="600" w:lineRule="exact"/>
        <w:ind w:firstLine="600" w:firstLineChars="200"/>
        <w:rPr>
          <w:rFonts w:ascii="黑体" w:hAnsi="黑体" w:eastAsia="黑体"/>
          <w:b w:val="0"/>
          <w:sz w:val="30"/>
          <w:szCs w:val="30"/>
        </w:rPr>
      </w:pPr>
      <w:bookmarkStart w:id="20" w:name="_Toc1812"/>
      <w:r>
        <w:rPr>
          <w:rFonts w:hint="eastAsia" w:ascii="黑体" w:hAnsi="黑体" w:eastAsia="黑体"/>
          <w:b w:val="0"/>
          <w:sz w:val="30"/>
          <w:szCs w:val="30"/>
        </w:rPr>
        <w:t>四、财政拨款收支决算总体情况说明</w:t>
      </w:r>
      <w:bookmarkEnd w:id="20"/>
    </w:p>
    <w:p>
      <w:pPr>
        <w:spacing w:line="600" w:lineRule="exact"/>
        <w:rPr>
          <w:rFonts w:eastAsia="楷体_GB2312"/>
          <w:b/>
          <w:sz w:val="30"/>
          <w:szCs w:val="30"/>
        </w:rPr>
      </w:pPr>
      <w:r>
        <w:rPr>
          <w:rFonts w:hint="eastAsia" w:eastAsia="仿宋_GB2312"/>
          <w:sz w:val="30"/>
          <w:szCs w:val="30"/>
        </w:rPr>
        <w:t xml:space="preserve">    </w:t>
      </w:r>
      <w:r>
        <w:rPr>
          <w:rFonts w:hint="eastAsia" w:ascii="仿宋_GB2312" w:eastAsia="仿宋_GB2312" w:cs="仿宋_GB2312"/>
          <w:sz w:val="30"/>
          <w:szCs w:val="30"/>
        </w:rPr>
        <w:t>天津市津南区北闸口镇人民政府2022年度财政拨款收入、支出决算总计638651758.56元。与2021年度相比，财政拨款收、支总计各增加241946892.82元，增长60.99%，主要原因是</w:t>
      </w:r>
      <w:r>
        <w:rPr>
          <w:rFonts w:hint="eastAsia" w:ascii="仿宋_GB2312" w:eastAsia="仿宋_GB2312" w:cs="仿宋_GB2312"/>
          <w:sz w:val="30"/>
          <w:szCs w:val="30"/>
          <w:lang w:eastAsia="zh-CN"/>
        </w:rPr>
        <w:t>按照上级要求增加海河工业区北闸口拓展区基础设施建设工程等政府性基金预算财政拨款收入支出</w:t>
      </w:r>
      <w:r>
        <w:rPr>
          <w:rFonts w:hint="eastAsia" w:eastAsia="仿宋_GB2312"/>
          <w:sz w:val="30"/>
          <w:szCs w:val="30"/>
        </w:rPr>
        <w:t>。</w:t>
      </w:r>
    </w:p>
    <w:p>
      <w:pPr>
        <w:pStyle w:val="3"/>
        <w:spacing w:before="0" w:after="0" w:line="600" w:lineRule="exact"/>
        <w:ind w:firstLine="600" w:firstLineChars="200"/>
        <w:rPr>
          <w:rFonts w:ascii="黑体" w:hAnsi="黑体" w:eastAsia="黑体"/>
          <w:b w:val="0"/>
          <w:sz w:val="30"/>
          <w:szCs w:val="30"/>
        </w:rPr>
      </w:pPr>
      <w:bookmarkStart w:id="21" w:name="_Toc10091"/>
      <w:r>
        <w:rPr>
          <w:rFonts w:ascii="黑体" w:hAnsi="黑体" w:eastAsia="黑体"/>
          <w:b w:val="0"/>
          <w:sz w:val="30"/>
          <w:szCs w:val="30"/>
        </w:rPr>
        <w:t>五</w:t>
      </w:r>
      <w:r>
        <w:rPr>
          <w:rFonts w:hint="eastAsia" w:ascii="黑体" w:hAnsi="黑体" w:eastAsia="黑体"/>
          <w:b w:val="0"/>
          <w:sz w:val="30"/>
          <w:szCs w:val="30"/>
        </w:rPr>
        <w:t>、</w:t>
      </w:r>
      <w:r>
        <w:rPr>
          <w:rFonts w:ascii="黑体" w:hAnsi="黑体" w:eastAsia="黑体"/>
          <w:b w:val="0"/>
          <w:sz w:val="30"/>
          <w:szCs w:val="30"/>
        </w:rPr>
        <w:t>一般公共预算财政拨款支出决算情况</w:t>
      </w:r>
      <w:r>
        <w:rPr>
          <w:rFonts w:hint="eastAsia" w:ascii="黑体" w:hAnsi="黑体" w:eastAsia="黑体"/>
          <w:b w:val="0"/>
          <w:sz w:val="30"/>
          <w:szCs w:val="30"/>
        </w:rPr>
        <w:t>说明</w:t>
      </w:r>
      <w:bookmarkEnd w:id="21"/>
    </w:p>
    <w:p>
      <w:pPr>
        <w:spacing w:line="600" w:lineRule="exact"/>
        <w:ind w:left="480" w:leftChars="200"/>
        <w:rPr>
          <w:rFonts w:ascii="楷体" w:hAnsi="楷体" w:eastAsia="楷体" w:cs="仿宋_GB2312"/>
          <w:b/>
          <w:sz w:val="30"/>
          <w:szCs w:val="30"/>
        </w:rPr>
      </w:pPr>
      <w:r>
        <w:rPr>
          <w:rFonts w:hint="eastAsia" w:ascii="楷体" w:hAnsi="楷体" w:eastAsia="楷体" w:cs="仿宋_GB2312"/>
          <w:b/>
          <w:sz w:val="30"/>
          <w:szCs w:val="30"/>
        </w:rPr>
        <w:t>（一）总体情况</w:t>
      </w:r>
    </w:p>
    <w:p>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textAlignment w:val="baseline"/>
        <w:rPr>
          <w:rFonts w:hint="eastAsia" w:eastAsia="仿宋_GB2312"/>
          <w:sz w:val="30"/>
          <w:szCs w:val="30"/>
          <w:lang w:eastAsia="zh-CN"/>
        </w:rPr>
      </w:pPr>
      <w:r>
        <w:rPr>
          <w:rFonts w:hint="eastAsia" w:ascii="仿宋_GB2312" w:eastAsia="仿宋_GB2312" w:cs="仿宋_GB2312"/>
          <w:sz w:val="30"/>
          <w:szCs w:val="30"/>
        </w:rPr>
        <w:t>天津市津南区北闸口镇人民政府2022年度一般公共预算财政拨款支出合计98902582.37元，占本年支出合计的</w:t>
      </w:r>
      <w:r>
        <w:rPr>
          <w:rFonts w:hint="eastAsia" w:ascii="仿宋_GB2312" w:eastAsia="仿宋_GB2312" w:cs="仿宋_GB2312"/>
          <w:sz w:val="30"/>
          <w:szCs w:val="30"/>
          <w:lang w:val="en-US" w:eastAsia="zh-CN"/>
        </w:rPr>
        <w:t>13.11</w:t>
      </w:r>
      <w:r>
        <w:rPr>
          <w:rFonts w:hint="eastAsia" w:ascii="仿宋_GB2312" w:eastAsia="仿宋_GB2312" w:cs="仿宋_GB2312"/>
          <w:sz w:val="30"/>
          <w:szCs w:val="30"/>
        </w:rPr>
        <w:t>%。与2021年度相比，一般公共预算财政拨款支出减少296152908.18元，下降74.96%，主要原因是</w:t>
      </w:r>
      <w:r>
        <w:rPr>
          <w:rFonts w:hint="eastAsia" w:ascii="仿宋_GB2312" w:eastAsia="仿宋_GB2312" w:cs="仿宋_GB2312"/>
          <w:sz w:val="30"/>
          <w:szCs w:val="30"/>
          <w:lang w:eastAsia="zh-CN"/>
        </w:rPr>
        <w:t>核算</w:t>
      </w:r>
      <w:r>
        <w:rPr>
          <w:rFonts w:hint="eastAsia" w:ascii="仿宋_GB2312" w:eastAsia="仿宋_GB2312" w:cs="仿宋_GB2312"/>
          <w:sz w:val="30"/>
          <w:szCs w:val="30"/>
          <w:u w:val="none"/>
        </w:rPr>
        <w:t>口径变更，学校、卫生院事业单位划归区教育、卫生系统核算</w:t>
      </w:r>
      <w:r>
        <w:rPr>
          <w:rFonts w:hint="eastAsia" w:ascii="仿宋_GB2312" w:eastAsia="仿宋_GB2312" w:cs="仿宋_GB2312"/>
          <w:sz w:val="30"/>
          <w:szCs w:val="30"/>
          <w:u w:val="none"/>
          <w:lang w:eastAsia="zh-CN"/>
        </w:rPr>
        <w:t>。</w:t>
      </w:r>
    </w:p>
    <w:p>
      <w:pPr>
        <w:spacing w:line="600" w:lineRule="exact"/>
        <w:ind w:firstLine="602" w:firstLineChars="200"/>
        <w:rPr>
          <w:rFonts w:ascii="楷体" w:hAnsi="楷体" w:eastAsia="楷体" w:cs="仿宋_GB2312"/>
          <w:b/>
          <w:sz w:val="30"/>
          <w:szCs w:val="30"/>
        </w:rPr>
      </w:pPr>
      <w:r>
        <w:rPr>
          <w:rFonts w:hint="eastAsia" w:ascii="楷体" w:hAnsi="楷体" w:eastAsia="楷体" w:cs="仿宋_GB2312"/>
          <w:b/>
          <w:sz w:val="30"/>
          <w:szCs w:val="30"/>
        </w:rPr>
        <w:t>（二）支出结构情况</w:t>
      </w:r>
    </w:p>
    <w:p>
      <w:pPr>
        <w:spacing w:line="600" w:lineRule="exact"/>
        <w:ind w:firstLine="645"/>
        <w:jc w:val="both"/>
        <w:rPr>
          <w:rFonts w:ascii="仿宋_GB2312" w:eastAsia="仿宋_GB2312" w:cs="仿宋_GB2312"/>
          <w:sz w:val="30"/>
          <w:szCs w:val="30"/>
        </w:rPr>
      </w:pPr>
      <w:r>
        <w:rPr>
          <w:rFonts w:hint="eastAsia" w:eastAsia="楷体"/>
          <w:sz w:val="30"/>
          <w:szCs w:val="30"/>
        </w:rPr>
        <w:t>2022</w:t>
      </w:r>
      <w:r>
        <w:rPr>
          <w:rFonts w:hint="eastAsia" w:ascii="仿宋_GB2312" w:eastAsia="仿宋_GB2312" w:cs="仿宋_GB2312"/>
          <w:sz w:val="30"/>
          <w:szCs w:val="30"/>
        </w:rPr>
        <w:t>年度一般公共预算财政拨款支出98902582.37元，主要用于以下方面：</w:t>
      </w:r>
      <w:r>
        <w:rPr>
          <w:rFonts w:hint="eastAsia" w:ascii="仿宋_GB2312" w:eastAsia="仿宋_GB2312" w:cs="仿宋_GB2312"/>
          <w:sz w:val="30"/>
          <w:szCs w:val="30"/>
        </w:rPr>
        <w:br w:type="textWrapping"/>
      </w:r>
      <w:r>
        <w:rPr>
          <w:rFonts w:hint="eastAsia" w:ascii="仿宋_GB2312" w:eastAsia="仿宋_GB2312" w:cs="仿宋_GB2312"/>
          <w:sz w:val="30"/>
          <w:szCs w:val="30"/>
        </w:rPr>
        <w:t xml:space="preserve">    一般公共服务支出（类）支出35913456.70元，占36.31%；</w:t>
      </w:r>
      <w:r>
        <w:rPr>
          <w:rFonts w:hint="eastAsia" w:ascii="仿宋_GB2312" w:eastAsia="仿宋_GB2312" w:cs="仿宋_GB2312"/>
          <w:sz w:val="30"/>
          <w:szCs w:val="30"/>
        </w:rPr>
        <w:br w:type="textWrapping"/>
      </w:r>
      <w:r>
        <w:rPr>
          <w:rFonts w:hint="eastAsia" w:ascii="仿宋_GB2312" w:eastAsia="仿宋_GB2312" w:cs="仿宋_GB2312"/>
          <w:sz w:val="30"/>
          <w:szCs w:val="30"/>
        </w:rPr>
        <w:t xml:space="preserve">    公共安全支出（类）支出1166108.96元，占1.18%；</w:t>
      </w:r>
      <w:r>
        <w:rPr>
          <w:rFonts w:hint="eastAsia" w:ascii="仿宋_GB2312" w:eastAsia="仿宋_GB2312" w:cs="仿宋_GB2312"/>
          <w:sz w:val="30"/>
          <w:szCs w:val="30"/>
        </w:rPr>
        <w:br w:type="textWrapping"/>
      </w:r>
      <w:r>
        <w:rPr>
          <w:rFonts w:hint="eastAsia" w:ascii="仿宋_GB2312" w:eastAsia="仿宋_GB2312" w:cs="仿宋_GB2312"/>
          <w:sz w:val="30"/>
          <w:szCs w:val="30"/>
        </w:rPr>
        <w:t xml:space="preserve">    教育支出（类）支出529672.50元，占0.54%；</w:t>
      </w:r>
      <w:r>
        <w:rPr>
          <w:rFonts w:hint="eastAsia" w:ascii="仿宋_GB2312" w:eastAsia="仿宋_GB2312" w:cs="仿宋_GB2312"/>
          <w:sz w:val="30"/>
          <w:szCs w:val="30"/>
        </w:rPr>
        <w:br w:type="textWrapping"/>
      </w:r>
      <w:r>
        <w:rPr>
          <w:rFonts w:hint="eastAsia" w:ascii="仿宋_GB2312" w:eastAsia="仿宋_GB2312" w:cs="仿宋_GB2312"/>
          <w:sz w:val="30"/>
          <w:szCs w:val="30"/>
        </w:rPr>
        <w:t xml:space="preserve">    文化旅游体育与传媒支出（类）支出437440.00元，占0.44%；</w:t>
      </w:r>
      <w:r>
        <w:rPr>
          <w:rFonts w:hint="eastAsia" w:ascii="仿宋_GB2312" w:eastAsia="仿宋_GB2312" w:cs="仿宋_GB2312"/>
          <w:sz w:val="30"/>
          <w:szCs w:val="30"/>
        </w:rPr>
        <w:br w:type="textWrapping"/>
      </w:r>
      <w:r>
        <w:rPr>
          <w:rFonts w:hint="eastAsia" w:ascii="仿宋_GB2312" w:eastAsia="仿宋_GB2312" w:cs="仿宋_GB2312"/>
          <w:sz w:val="30"/>
          <w:szCs w:val="30"/>
        </w:rPr>
        <w:t xml:space="preserve">    社会保障和就业支出（类）支出32939136.47元，占33.30%；</w:t>
      </w:r>
      <w:r>
        <w:rPr>
          <w:rFonts w:hint="eastAsia" w:ascii="仿宋_GB2312" w:eastAsia="仿宋_GB2312" w:cs="仿宋_GB2312"/>
          <w:sz w:val="30"/>
          <w:szCs w:val="30"/>
        </w:rPr>
        <w:br w:type="textWrapping"/>
      </w:r>
      <w:r>
        <w:rPr>
          <w:rFonts w:hint="eastAsia" w:ascii="仿宋_GB2312" w:eastAsia="仿宋_GB2312" w:cs="仿宋_GB2312"/>
          <w:sz w:val="30"/>
          <w:szCs w:val="30"/>
        </w:rPr>
        <w:t xml:space="preserve">    卫生健康支出（类）支出6498903.24元，占6.57%；</w:t>
      </w:r>
      <w:r>
        <w:rPr>
          <w:rFonts w:hint="eastAsia" w:ascii="仿宋_GB2312" w:eastAsia="仿宋_GB2312" w:cs="仿宋_GB2312"/>
          <w:sz w:val="30"/>
          <w:szCs w:val="30"/>
        </w:rPr>
        <w:br w:type="textWrapping"/>
      </w:r>
      <w:r>
        <w:rPr>
          <w:rFonts w:hint="eastAsia" w:ascii="仿宋_GB2312" w:eastAsia="仿宋_GB2312" w:cs="仿宋_GB2312"/>
          <w:sz w:val="30"/>
          <w:szCs w:val="30"/>
        </w:rPr>
        <w:t xml:space="preserve">    节能环保支出（类）支出4000366.20元，占4.04%；</w:t>
      </w:r>
      <w:r>
        <w:rPr>
          <w:rFonts w:hint="eastAsia" w:ascii="仿宋_GB2312" w:eastAsia="仿宋_GB2312" w:cs="仿宋_GB2312"/>
          <w:sz w:val="30"/>
          <w:szCs w:val="30"/>
        </w:rPr>
        <w:br w:type="textWrapping"/>
      </w:r>
      <w:r>
        <w:rPr>
          <w:rFonts w:hint="eastAsia" w:ascii="仿宋_GB2312" w:eastAsia="仿宋_GB2312" w:cs="仿宋_GB2312"/>
          <w:sz w:val="30"/>
          <w:szCs w:val="30"/>
        </w:rPr>
        <w:t xml:space="preserve">    城乡社区支出（类）支出6422516.60元，占6.49%；</w:t>
      </w:r>
      <w:r>
        <w:rPr>
          <w:rFonts w:hint="eastAsia" w:ascii="仿宋_GB2312" w:eastAsia="仿宋_GB2312" w:cs="仿宋_GB2312"/>
          <w:sz w:val="30"/>
          <w:szCs w:val="30"/>
        </w:rPr>
        <w:br w:type="textWrapping"/>
      </w:r>
      <w:r>
        <w:rPr>
          <w:rFonts w:hint="eastAsia" w:ascii="仿宋_GB2312" w:eastAsia="仿宋_GB2312" w:cs="仿宋_GB2312"/>
          <w:sz w:val="30"/>
          <w:szCs w:val="30"/>
        </w:rPr>
        <w:t xml:space="preserve">    农林水支出（类）支出9250378.70元，占9.35%；</w:t>
      </w:r>
      <w:r>
        <w:rPr>
          <w:rFonts w:hint="eastAsia" w:ascii="仿宋_GB2312" w:eastAsia="仿宋_GB2312" w:cs="仿宋_GB2312"/>
          <w:sz w:val="30"/>
          <w:szCs w:val="30"/>
        </w:rPr>
        <w:br w:type="textWrapping"/>
      </w:r>
      <w:r>
        <w:rPr>
          <w:rFonts w:hint="eastAsia" w:ascii="仿宋_GB2312" w:eastAsia="仿宋_GB2312" w:cs="仿宋_GB2312"/>
          <w:sz w:val="30"/>
          <w:szCs w:val="30"/>
        </w:rPr>
        <w:t xml:space="preserve">    住房保障支出（类）支出1744603.00元，占1.76%。</w:t>
      </w:r>
    </w:p>
    <w:p>
      <w:pPr>
        <w:numPr>
          <w:ilvl w:val="0"/>
          <w:numId w:val="2"/>
        </w:numPr>
        <w:spacing w:line="600" w:lineRule="exact"/>
        <w:ind w:firstLine="602" w:firstLineChars="200"/>
        <w:rPr>
          <w:rFonts w:ascii="楷体" w:hAnsi="楷体" w:eastAsia="楷体" w:cs="仿宋_GB2312"/>
          <w:b/>
          <w:sz w:val="30"/>
          <w:szCs w:val="30"/>
        </w:rPr>
      </w:pPr>
      <w:r>
        <w:rPr>
          <w:rFonts w:ascii="楷体" w:hAnsi="楷体" w:eastAsia="楷体" w:cs="仿宋_GB2312"/>
          <w:b/>
          <w:sz w:val="30"/>
          <w:szCs w:val="30"/>
        </w:rPr>
        <w:t>具体情况</w:t>
      </w:r>
    </w:p>
    <w:p>
      <w:pPr>
        <w:spacing w:line="600" w:lineRule="exact"/>
        <w:ind w:firstLine="645"/>
        <w:jc w:val="both"/>
        <w:rPr>
          <w:rFonts w:hint="default" w:ascii="仿宋_GB2312" w:eastAsia="仿宋_GB2312" w:cs="仿宋_GB2312"/>
          <w:sz w:val="30"/>
          <w:szCs w:val="30"/>
          <w:lang w:val="en-US"/>
        </w:rPr>
      </w:pPr>
      <w:r>
        <w:rPr>
          <w:rFonts w:hint="eastAsia" w:ascii="仿宋_GB2312" w:eastAsia="仿宋_GB2312" w:cs="仿宋_GB2312"/>
          <w:sz w:val="30"/>
          <w:szCs w:val="30"/>
        </w:rPr>
        <w:t>2022年度一般公共预算财政拨款支出年初预算为149915136.14元，支出决算为98902582.37元，完成年初预算的65.97%。其中：</w:t>
      </w:r>
      <w:r>
        <w:rPr>
          <w:rFonts w:hint="eastAsia" w:ascii="仿宋_GB2312" w:eastAsia="仿宋_GB2312" w:cs="仿宋_GB2312"/>
          <w:sz w:val="30"/>
          <w:szCs w:val="30"/>
        </w:rPr>
        <w:br w:type="textWrapping"/>
      </w:r>
      <w:r>
        <w:rPr>
          <w:rFonts w:hint="eastAsia" w:ascii="仿宋_GB2312" w:eastAsia="仿宋_GB2312" w:cs="仿宋_GB2312"/>
          <w:sz w:val="30"/>
          <w:szCs w:val="30"/>
        </w:rPr>
        <w:t xml:space="preserve">    一般公共服务支出（类）人大事务（款）其他人大事务支出（项）年初预算为</w:t>
      </w:r>
      <w:r>
        <w:rPr>
          <w:rFonts w:hint="eastAsia" w:ascii="仿宋_GB2312" w:eastAsia="仿宋_GB2312" w:cs="仿宋_GB2312"/>
          <w:sz w:val="30"/>
          <w:szCs w:val="30"/>
          <w:lang w:val="en-US" w:eastAsia="zh-CN"/>
        </w:rPr>
        <w:t>140000.00</w:t>
      </w:r>
      <w:r>
        <w:rPr>
          <w:rFonts w:hint="eastAsia" w:ascii="仿宋_GB2312" w:eastAsia="仿宋_GB2312" w:cs="仿宋_GB2312"/>
          <w:sz w:val="30"/>
          <w:szCs w:val="30"/>
        </w:rPr>
        <w:t>元，支出决算为51481.50元，完成年初预算数的</w:t>
      </w:r>
      <w:r>
        <w:rPr>
          <w:rFonts w:hint="eastAsia" w:ascii="仿宋_GB2312" w:eastAsia="仿宋_GB2312" w:cs="仿宋_GB2312"/>
          <w:sz w:val="30"/>
          <w:szCs w:val="30"/>
          <w:lang w:val="en-US" w:eastAsia="zh-CN"/>
        </w:rPr>
        <w:t>36.77</w:t>
      </w:r>
      <w:r>
        <w:rPr>
          <w:rFonts w:hint="eastAsia" w:ascii="仿宋_GB2312" w:eastAsia="仿宋_GB2312" w:cs="仿宋_GB2312"/>
          <w:sz w:val="30"/>
          <w:szCs w:val="30"/>
        </w:rPr>
        <w:t>%，决算数小于年初预算数的主要原因是</w:t>
      </w:r>
      <w:r>
        <w:rPr>
          <w:rFonts w:hint="eastAsia" w:ascii="仿宋_GB2312" w:eastAsia="仿宋_GB2312" w:cs="仿宋_GB2312"/>
          <w:sz w:val="30"/>
          <w:szCs w:val="30"/>
          <w:lang w:eastAsia="zh-CN"/>
        </w:rPr>
        <w:t>按照实际发生列支</w:t>
      </w:r>
      <w:r>
        <w:rPr>
          <w:rFonts w:hint="eastAsia" w:ascii="仿宋_GB2312" w:eastAsia="仿宋_GB2312" w:cs="仿宋_GB2312"/>
          <w:sz w:val="30"/>
          <w:szCs w:val="30"/>
        </w:rPr>
        <w:t>。</w:t>
      </w:r>
      <w:r>
        <w:rPr>
          <w:rFonts w:hint="eastAsia" w:ascii="仿宋_GB2312" w:eastAsia="仿宋_GB2312" w:cs="仿宋_GB2312"/>
          <w:sz w:val="30"/>
          <w:szCs w:val="30"/>
        </w:rPr>
        <w:br w:type="textWrapping"/>
      </w:r>
      <w:r>
        <w:rPr>
          <w:rFonts w:hint="eastAsia" w:ascii="仿宋_GB2312" w:eastAsia="仿宋_GB2312" w:cs="仿宋_GB2312"/>
          <w:sz w:val="30"/>
          <w:szCs w:val="30"/>
        </w:rPr>
        <w:t xml:space="preserve">    一般公共服务支出（类）政府办公厅（室）及相关机构事务（款）行政运行（项）年初预算为</w:t>
      </w:r>
      <w:r>
        <w:rPr>
          <w:rFonts w:hint="eastAsia" w:ascii="仿宋_GB2312" w:eastAsia="仿宋_GB2312" w:cs="仿宋_GB2312"/>
          <w:sz w:val="30"/>
          <w:szCs w:val="30"/>
          <w:lang w:val="en-US" w:eastAsia="zh-CN"/>
        </w:rPr>
        <w:t>24804600.62</w:t>
      </w:r>
      <w:r>
        <w:rPr>
          <w:rFonts w:hint="eastAsia" w:ascii="仿宋_GB2312" w:eastAsia="仿宋_GB2312" w:cs="仿宋_GB2312"/>
          <w:sz w:val="30"/>
          <w:szCs w:val="30"/>
        </w:rPr>
        <w:t>元，支出决算为21865484.41元，完成年初预算数的</w:t>
      </w:r>
      <w:r>
        <w:rPr>
          <w:rFonts w:hint="eastAsia" w:ascii="仿宋_GB2312" w:eastAsia="仿宋_GB2312" w:cs="仿宋_GB2312"/>
          <w:sz w:val="30"/>
          <w:szCs w:val="30"/>
          <w:lang w:val="en-US" w:eastAsia="zh-CN"/>
        </w:rPr>
        <w:t>88.15</w:t>
      </w:r>
      <w:r>
        <w:rPr>
          <w:rFonts w:hint="eastAsia" w:ascii="仿宋_GB2312" w:eastAsia="仿宋_GB2312" w:cs="仿宋_GB2312"/>
          <w:sz w:val="30"/>
          <w:szCs w:val="30"/>
        </w:rPr>
        <w:t>%，决算数小于年初预算数的主要原因是</w:t>
      </w:r>
      <w:r>
        <w:rPr>
          <w:rFonts w:hint="eastAsia" w:ascii="仿宋_GB2312" w:eastAsia="仿宋_GB2312" w:cs="仿宋_GB2312"/>
          <w:sz w:val="30"/>
          <w:szCs w:val="30"/>
          <w:lang w:eastAsia="zh-CN"/>
        </w:rPr>
        <w:t>按照实际发生列支</w:t>
      </w:r>
      <w:r>
        <w:rPr>
          <w:rFonts w:hint="eastAsia" w:ascii="仿宋_GB2312" w:eastAsia="仿宋_GB2312" w:cs="仿宋_GB2312"/>
          <w:sz w:val="30"/>
          <w:szCs w:val="30"/>
        </w:rPr>
        <w:t>。</w:t>
      </w:r>
      <w:r>
        <w:rPr>
          <w:rFonts w:hint="eastAsia" w:ascii="仿宋_GB2312" w:eastAsia="仿宋_GB2312" w:cs="仿宋_GB2312"/>
          <w:sz w:val="30"/>
          <w:szCs w:val="30"/>
        </w:rPr>
        <w:br w:type="textWrapping"/>
      </w:r>
      <w:r>
        <w:rPr>
          <w:rFonts w:hint="eastAsia" w:ascii="仿宋_GB2312" w:eastAsia="仿宋_GB2312" w:cs="仿宋_GB2312"/>
          <w:sz w:val="30"/>
          <w:szCs w:val="30"/>
        </w:rPr>
        <w:t xml:space="preserve">    一般公共服务支出（类）政府办公厅（室）及相关机构事务（款）信访事务（项）年初预算为</w:t>
      </w:r>
      <w:r>
        <w:rPr>
          <w:rFonts w:hint="eastAsia" w:ascii="仿宋_GB2312" w:eastAsia="仿宋_GB2312" w:cs="仿宋_GB2312"/>
          <w:sz w:val="30"/>
          <w:szCs w:val="30"/>
          <w:lang w:val="en-US" w:eastAsia="zh-CN"/>
        </w:rPr>
        <w:t>500000.00</w:t>
      </w:r>
      <w:r>
        <w:rPr>
          <w:rFonts w:hint="eastAsia" w:ascii="仿宋_GB2312" w:eastAsia="仿宋_GB2312" w:cs="仿宋_GB2312"/>
          <w:sz w:val="30"/>
          <w:szCs w:val="30"/>
        </w:rPr>
        <w:t>元，支出决算为497977.75元，完成年初预算数的</w:t>
      </w:r>
      <w:r>
        <w:rPr>
          <w:rFonts w:hint="eastAsia" w:ascii="仿宋_GB2312" w:eastAsia="仿宋_GB2312" w:cs="仿宋_GB2312"/>
          <w:sz w:val="30"/>
          <w:szCs w:val="30"/>
          <w:lang w:val="en-US" w:eastAsia="zh-CN"/>
        </w:rPr>
        <w:t>99.59</w:t>
      </w:r>
      <w:r>
        <w:rPr>
          <w:rFonts w:hint="eastAsia" w:ascii="仿宋_GB2312" w:eastAsia="仿宋_GB2312" w:cs="仿宋_GB2312"/>
          <w:sz w:val="30"/>
          <w:szCs w:val="30"/>
        </w:rPr>
        <w:t>%，决算数小于年初预算数的主要原因是</w:t>
      </w:r>
      <w:r>
        <w:rPr>
          <w:rFonts w:hint="eastAsia" w:ascii="仿宋_GB2312" w:eastAsia="仿宋_GB2312" w:cs="仿宋_GB2312"/>
          <w:sz w:val="30"/>
          <w:szCs w:val="30"/>
          <w:lang w:eastAsia="zh-CN"/>
        </w:rPr>
        <w:t>按照实际发生列支，基本完成预算</w:t>
      </w:r>
      <w:r>
        <w:rPr>
          <w:rFonts w:hint="eastAsia" w:ascii="仿宋_GB2312" w:eastAsia="仿宋_GB2312" w:cs="仿宋_GB2312"/>
          <w:sz w:val="30"/>
          <w:szCs w:val="30"/>
        </w:rPr>
        <w:t>。</w:t>
      </w:r>
      <w:r>
        <w:rPr>
          <w:rFonts w:hint="eastAsia" w:ascii="仿宋_GB2312" w:eastAsia="仿宋_GB2312" w:cs="仿宋_GB2312"/>
          <w:sz w:val="30"/>
          <w:szCs w:val="30"/>
        </w:rPr>
        <w:br w:type="textWrapping"/>
      </w:r>
      <w:r>
        <w:rPr>
          <w:rFonts w:hint="eastAsia" w:ascii="仿宋_GB2312" w:eastAsia="仿宋_GB2312" w:cs="仿宋_GB2312"/>
          <w:sz w:val="30"/>
          <w:szCs w:val="30"/>
        </w:rPr>
        <w:t xml:space="preserve">    一般公共服务支出（类）政府办公厅（室）及相关机构事务（款）事业运行（项）年初预算为</w:t>
      </w:r>
      <w:r>
        <w:rPr>
          <w:rFonts w:hint="eastAsia" w:ascii="仿宋_GB2312" w:eastAsia="仿宋_GB2312" w:cs="仿宋_GB2312"/>
          <w:sz w:val="30"/>
          <w:szCs w:val="30"/>
          <w:lang w:val="en-US" w:eastAsia="zh-CN"/>
        </w:rPr>
        <w:t>11754009.62</w:t>
      </w:r>
      <w:r>
        <w:rPr>
          <w:rFonts w:hint="eastAsia" w:ascii="仿宋_GB2312" w:eastAsia="仿宋_GB2312" w:cs="仿宋_GB2312"/>
          <w:sz w:val="30"/>
          <w:szCs w:val="30"/>
        </w:rPr>
        <w:t>元，支出决算为11120287.12元，完成年初预算数的</w:t>
      </w:r>
      <w:r>
        <w:rPr>
          <w:rFonts w:hint="eastAsia" w:ascii="仿宋_GB2312" w:eastAsia="仿宋_GB2312" w:cs="仿宋_GB2312"/>
          <w:sz w:val="30"/>
          <w:szCs w:val="30"/>
          <w:lang w:val="en-US" w:eastAsia="zh-CN"/>
        </w:rPr>
        <w:t>94.61</w:t>
      </w:r>
      <w:r>
        <w:rPr>
          <w:rFonts w:hint="eastAsia" w:ascii="仿宋_GB2312" w:eastAsia="仿宋_GB2312" w:cs="仿宋_GB2312"/>
          <w:sz w:val="30"/>
          <w:szCs w:val="30"/>
        </w:rPr>
        <w:t>%，决算数小于年初预算数的主要原因是</w:t>
      </w:r>
      <w:r>
        <w:rPr>
          <w:rFonts w:hint="eastAsia" w:ascii="仿宋_GB2312" w:eastAsia="仿宋_GB2312" w:cs="仿宋_GB2312"/>
          <w:sz w:val="30"/>
          <w:szCs w:val="30"/>
          <w:lang w:eastAsia="zh-CN"/>
        </w:rPr>
        <w:t>按照实际发生列支</w:t>
      </w:r>
      <w:r>
        <w:rPr>
          <w:rFonts w:hint="eastAsia" w:ascii="仿宋_GB2312" w:eastAsia="仿宋_GB2312" w:cs="仿宋_GB2312"/>
          <w:sz w:val="30"/>
          <w:szCs w:val="30"/>
        </w:rPr>
        <w:t>。</w:t>
      </w:r>
      <w:r>
        <w:rPr>
          <w:rFonts w:hint="eastAsia" w:ascii="仿宋_GB2312" w:eastAsia="仿宋_GB2312" w:cs="仿宋_GB2312"/>
          <w:sz w:val="30"/>
          <w:szCs w:val="30"/>
        </w:rPr>
        <w:br w:type="textWrapping"/>
      </w:r>
      <w:r>
        <w:rPr>
          <w:rFonts w:hint="eastAsia" w:ascii="仿宋_GB2312" w:eastAsia="仿宋_GB2312" w:cs="仿宋_GB2312"/>
          <w:sz w:val="30"/>
          <w:szCs w:val="30"/>
        </w:rPr>
        <w:t xml:space="preserve">    一般公共服务支出（类）统计信息事务（款）统计抽样调查（项）年初预算为</w:t>
      </w:r>
      <w:r>
        <w:rPr>
          <w:rFonts w:hint="eastAsia" w:ascii="仿宋_GB2312" w:eastAsia="仿宋_GB2312" w:cs="仿宋_GB2312"/>
          <w:sz w:val="30"/>
          <w:szCs w:val="30"/>
          <w:lang w:val="en-US" w:eastAsia="zh-CN"/>
        </w:rPr>
        <w:t>5000.00</w:t>
      </w:r>
      <w:r>
        <w:rPr>
          <w:rFonts w:hint="eastAsia" w:ascii="仿宋_GB2312" w:eastAsia="仿宋_GB2312" w:cs="仿宋_GB2312"/>
          <w:sz w:val="30"/>
          <w:szCs w:val="30"/>
        </w:rPr>
        <w:t>元，支出决算为4060.00元，完成年初预算数的</w:t>
      </w:r>
      <w:r>
        <w:rPr>
          <w:rFonts w:hint="eastAsia" w:ascii="仿宋_GB2312" w:eastAsia="仿宋_GB2312" w:cs="仿宋_GB2312"/>
          <w:sz w:val="30"/>
          <w:szCs w:val="30"/>
          <w:lang w:val="en-US" w:eastAsia="zh-CN"/>
        </w:rPr>
        <w:t>81.20</w:t>
      </w:r>
      <w:r>
        <w:rPr>
          <w:rFonts w:hint="eastAsia" w:ascii="仿宋_GB2312" w:eastAsia="仿宋_GB2312" w:cs="仿宋_GB2312"/>
          <w:sz w:val="30"/>
          <w:szCs w:val="30"/>
        </w:rPr>
        <w:t>%，决算数小于年初预算数的主要原因是</w:t>
      </w:r>
      <w:r>
        <w:rPr>
          <w:rFonts w:hint="eastAsia" w:ascii="仿宋_GB2312" w:eastAsia="仿宋_GB2312" w:cs="仿宋_GB2312"/>
          <w:sz w:val="30"/>
          <w:szCs w:val="30"/>
          <w:lang w:eastAsia="zh-CN"/>
        </w:rPr>
        <w:t>按照实际发生列支</w:t>
      </w:r>
      <w:r>
        <w:rPr>
          <w:rFonts w:hint="eastAsia" w:ascii="仿宋_GB2312" w:eastAsia="仿宋_GB2312" w:cs="仿宋_GB2312"/>
          <w:sz w:val="30"/>
          <w:szCs w:val="30"/>
        </w:rPr>
        <w:t>。</w:t>
      </w:r>
      <w:r>
        <w:rPr>
          <w:rFonts w:hint="eastAsia" w:ascii="仿宋_GB2312" w:eastAsia="仿宋_GB2312" w:cs="仿宋_GB2312"/>
          <w:sz w:val="30"/>
          <w:szCs w:val="30"/>
        </w:rPr>
        <w:br w:type="textWrapping"/>
      </w:r>
      <w:r>
        <w:rPr>
          <w:rFonts w:hint="eastAsia" w:ascii="仿宋_GB2312" w:eastAsia="仿宋_GB2312" w:cs="仿宋_GB2312"/>
          <w:sz w:val="30"/>
          <w:szCs w:val="30"/>
        </w:rPr>
        <w:t xml:space="preserve">    一般公共服务支出（类）财政事务（款）其他财政事务支出（项）年初预算为</w:t>
      </w:r>
      <w:r>
        <w:rPr>
          <w:rFonts w:hint="eastAsia" w:ascii="仿宋_GB2312" w:eastAsia="仿宋_GB2312" w:cs="仿宋_GB2312"/>
          <w:sz w:val="30"/>
          <w:szCs w:val="30"/>
          <w:lang w:val="en-US" w:eastAsia="zh-CN"/>
        </w:rPr>
        <w:t>1063000.00</w:t>
      </w:r>
      <w:r>
        <w:rPr>
          <w:rFonts w:hint="eastAsia" w:ascii="仿宋_GB2312" w:eastAsia="仿宋_GB2312" w:cs="仿宋_GB2312"/>
          <w:sz w:val="30"/>
          <w:szCs w:val="30"/>
        </w:rPr>
        <w:t>元，支出决算为210400.00元，完成年初预算数的</w:t>
      </w:r>
      <w:r>
        <w:rPr>
          <w:rFonts w:hint="eastAsia" w:ascii="仿宋_GB2312" w:eastAsia="仿宋_GB2312" w:cs="仿宋_GB2312"/>
          <w:sz w:val="30"/>
          <w:szCs w:val="30"/>
          <w:lang w:val="en-US" w:eastAsia="zh-CN"/>
        </w:rPr>
        <w:t>19.79</w:t>
      </w:r>
      <w:r>
        <w:rPr>
          <w:rFonts w:hint="eastAsia" w:ascii="仿宋_GB2312" w:eastAsia="仿宋_GB2312" w:cs="仿宋_GB2312"/>
          <w:sz w:val="30"/>
          <w:szCs w:val="30"/>
        </w:rPr>
        <w:t>%，决算数小于年初预算数的主要原因是</w:t>
      </w:r>
      <w:r>
        <w:rPr>
          <w:rFonts w:hint="eastAsia" w:ascii="仿宋_GB2312" w:eastAsia="仿宋_GB2312" w:cs="仿宋_GB2312"/>
          <w:sz w:val="30"/>
          <w:szCs w:val="30"/>
          <w:lang w:eastAsia="zh-CN"/>
        </w:rPr>
        <w:t>缩减财务事务开支</w:t>
      </w:r>
      <w:r>
        <w:rPr>
          <w:rFonts w:hint="eastAsia" w:ascii="仿宋_GB2312" w:eastAsia="仿宋_GB2312" w:cs="仿宋_GB2312"/>
          <w:sz w:val="30"/>
          <w:szCs w:val="30"/>
        </w:rPr>
        <w:t>。</w:t>
      </w:r>
      <w:r>
        <w:rPr>
          <w:rFonts w:hint="eastAsia" w:ascii="仿宋_GB2312" w:eastAsia="仿宋_GB2312" w:cs="仿宋_GB2312"/>
          <w:sz w:val="30"/>
          <w:szCs w:val="30"/>
        </w:rPr>
        <w:br w:type="textWrapping"/>
      </w:r>
      <w:r>
        <w:rPr>
          <w:rFonts w:hint="eastAsia" w:ascii="仿宋_GB2312" w:eastAsia="仿宋_GB2312" w:cs="仿宋_GB2312"/>
          <w:sz w:val="30"/>
          <w:szCs w:val="30"/>
        </w:rPr>
        <w:t xml:space="preserve">    一般公共服务支出（类）纪检监察事务（款）其他纪检监察事务支出（项）年初预算为</w:t>
      </w:r>
      <w:r>
        <w:rPr>
          <w:rFonts w:hint="eastAsia" w:ascii="仿宋_GB2312" w:eastAsia="仿宋_GB2312" w:cs="仿宋_GB2312"/>
          <w:sz w:val="30"/>
          <w:szCs w:val="30"/>
          <w:lang w:val="en-US" w:eastAsia="zh-CN"/>
        </w:rPr>
        <w:t>26500.00</w:t>
      </w:r>
      <w:r>
        <w:rPr>
          <w:rFonts w:hint="eastAsia" w:ascii="仿宋_GB2312" w:eastAsia="仿宋_GB2312" w:cs="仿宋_GB2312"/>
          <w:sz w:val="30"/>
          <w:szCs w:val="30"/>
        </w:rPr>
        <w:t>元，支出决算为22110.00元，完成年初预算数的</w:t>
      </w:r>
      <w:r>
        <w:rPr>
          <w:rFonts w:hint="eastAsia" w:ascii="仿宋_GB2312" w:eastAsia="仿宋_GB2312" w:cs="仿宋_GB2312"/>
          <w:sz w:val="30"/>
          <w:szCs w:val="30"/>
          <w:lang w:val="en-US" w:eastAsia="zh-CN"/>
        </w:rPr>
        <w:t>83.43</w:t>
      </w:r>
      <w:r>
        <w:rPr>
          <w:rFonts w:hint="eastAsia" w:ascii="仿宋_GB2312" w:eastAsia="仿宋_GB2312" w:cs="仿宋_GB2312"/>
          <w:sz w:val="30"/>
          <w:szCs w:val="30"/>
        </w:rPr>
        <w:t>%，决算数小于年初预算数的主要原因是</w:t>
      </w:r>
      <w:r>
        <w:rPr>
          <w:rFonts w:hint="eastAsia" w:ascii="仿宋_GB2312" w:eastAsia="仿宋_GB2312" w:cs="仿宋_GB2312"/>
          <w:sz w:val="30"/>
          <w:szCs w:val="30"/>
          <w:lang w:eastAsia="zh-CN"/>
        </w:rPr>
        <w:t>按照实际发生列支</w:t>
      </w:r>
      <w:r>
        <w:rPr>
          <w:rFonts w:hint="eastAsia" w:ascii="仿宋_GB2312" w:eastAsia="仿宋_GB2312" w:cs="仿宋_GB2312"/>
          <w:sz w:val="30"/>
          <w:szCs w:val="30"/>
        </w:rPr>
        <w:t>。</w:t>
      </w:r>
      <w:r>
        <w:rPr>
          <w:rFonts w:hint="eastAsia" w:ascii="仿宋_GB2312" w:eastAsia="仿宋_GB2312" w:cs="仿宋_GB2312"/>
          <w:sz w:val="30"/>
          <w:szCs w:val="30"/>
        </w:rPr>
        <w:br w:type="textWrapping"/>
      </w:r>
      <w:r>
        <w:rPr>
          <w:rFonts w:hint="eastAsia" w:ascii="仿宋_GB2312" w:eastAsia="仿宋_GB2312" w:cs="仿宋_GB2312"/>
          <w:sz w:val="30"/>
          <w:szCs w:val="30"/>
        </w:rPr>
        <w:t xml:space="preserve">    一般公共服务支出（类）党委办公厅（室）及相关机构事务（款）行政运行（项）年初预算为</w:t>
      </w:r>
      <w:r>
        <w:rPr>
          <w:rFonts w:hint="eastAsia" w:ascii="仿宋_GB2312" w:eastAsia="仿宋_GB2312" w:cs="仿宋_GB2312"/>
          <w:sz w:val="30"/>
          <w:szCs w:val="30"/>
          <w:lang w:val="en-US" w:eastAsia="zh-CN"/>
        </w:rPr>
        <w:t>51000.00</w:t>
      </w:r>
      <w:r>
        <w:rPr>
          <w:rFonts w:hint="eastAsia" w:ascii="仿宋_GB2312" w:eastAsia="仿宋_GB2312" w:cs="仿宋_GB2312"/>
          <w:sz w:val="30"/>
          <w:szCs w:val="30"/>
        </w:rPr>
        <w:t>元，支出决算为980.00元，完成年初预算数的</w:t>
      </w:r>
      <w:r>
        <w:rPr>
          <w:rFonts w:hint="eastAsia" w:ascii="仿宋_GB2312" w:eastAsia="仿宋_GB2312" w:cs="仿宋_GB2312"/>
          <w:sz w:val="30"/>
          <w:szCs w:val="30"/>
          <w:lang w:val="en-US" w:eastAsia="zh-CN"/>
        </w:rPr>
        <w:t>1.92</w:t>
      </w:r>
      <w:r>
        <w:rPr>
          <w:rFonts w:hint="eastAsia" w:ascii="仿宋_GB2312" w:eastAsia="仿宋_GB2312" w:cs="仿宋_GB2312"/>
          <w:sz w:val="30"/>
          <w:szCs w:val="30"/>
        </w:rPr>
        <w:t>%，决算数小于年初预算数的主要原因是</w:t>
      </w:r>
      <w:r>
        <w:rPr>
          <w:rFonts w:hint="eastAsia" w:ascii="仿宋_GB2312" w:eastAsia="仿宋_GB2312" w:cs="仿宋_GB2312"/>
          <w:sz w:val="30"/>
          <w:szCs w:val="30"/>
          <w:lang w:eastAsia="zh-CN"/>
        </w:rPr>
        <w:t>疫情原因，部分活动延期开展</w:t>
      </w:r>
      <w:r>
        <w:rPr>
          <w:rFonts w:hint="eastAsia" w:ascii="仿宋_GB2312" w:eastAsia="仿宋_GB2312" w:cs="仿宋_GB2312"/>
          <w:sz w:val="30"/>
          <w:szCs w:val="30"/>
        </w:rPr>
        <w:t>。</w:t>
      </w:r>
      <w:r>
        <w:rPr>
          <w:rFonts w:hint="eastAsia" w:ascii="仿宋_GB2312" w:eastAsia="仿宋_GB2312" w:cs="仿宋_GB2312"/>
          <w:sz w:val="30"/>
          <w:szCs w:val="30"/>
        </w:rPr>
        <w:br w:type="textWrapping"/>
      </w:r>
      <w:r>
        <w:rPr>
          <w:rFonts w:hint="eastAsia" w:ascii="仿宋_GB2312" w:eastAsia="仿宋_GB2312" w:cs="仿宋_GB2312"/>
          <w:sz w:val="30"/>
          <w:szCs w:val="30"/>
        </w:rPr>
        <w:t xml:space="preserve">    一般公共服务支出（类）组织事务（款）其他组织事务支出（项）年初预算为</w:t>
      </w:r>
      <w:r>
        <w:rPr>
          <w:rFonts w:hint="eastAsia" w:ascii="仿宋_GB2312" w:eastAsia="仿宋_GB2312" w:cs="仿宋_GB2312"/>
          <w:sz w:val="30"/>
          <w:szCs w:val="30"/>
          <w:lang w:val="en-US" w:eastAsia="zh-CN"/>
        </w:rPr>
        <w:t>2136100.00</w:t>
      </w:r>
      <w:r>
        <w:rPr>
          <w:rFonts w:hint="eastAsia" w:ascii="仿宋_GB2312" w:eastAsia="仿宋_GB2312" w:cs="仿宋_GB2312"/>
          <w:sz w:val="30"/>
          <w:szCs w:val="30"/>
        </w:rPr>
        <w:t>元，支出决算为1982275.92元，完成年初预算数的</w:t>
      </w:r>
      <w:r>
        <w:rPr>
          <w:rFonts w:hint="eastAsia" w:ascii="仿宋_GB2312" w:eastAsia="仿宋_GB2312" w:cs="仿宋_GB2312"/>
          <w:sz w:val="30"/>
          <w:szCs w:val="30"/>
          <w:lang w:val="en-US" w:eastAsia="zh-CN"/>
        </w:rPr>
        <w:t>92.80</w:t>
      </w:r>
      <w:r>
        <w:rPr>
          <w:rFonts w:hint="eastAsia" w:ascii="仿宋_GB2312" w:eastAsia="仿宋_GB2312" w:cs="仿宋_GB2312"/>
          <w:sz w:val="30"/>
          <w:szCs w:val="30"/>
        </w:rPr>
        <w:t>%，决算数小于年初预算数的主要原因是</w:t>
      </w:r>
      <w:r>
        <w:rPr>
          <w:rFonts w:hint="eastAsia" w:ascii="仿宋_GB2312" w:eastAsia="仿宋_GB2312" w:cs="仿宋_GB2312"/>
          <w:sz w:val="30"/>
          <w:szCs w:val="30"/>
          <w:lang w:eastAsia="zh-CN"/>
        </w:rPr>
        <w:t>按照实际发生列支</w:t>
      </w:r>
      <w:r>
        <w:rPr>
          <w:rFonts w:hint="eastAsia" w:ascii="仿宋_GB2312" w:eastAsia="仿宋_GB2312" w:cs="仿宋_GB2312"/>
          <w:sz w:val="30"/>
          <w:szCs w:val="30"/>
        </w:rPr>
        <w:t>。</w:t>
      </w:r>
      <w:r>
        <w:rPr>
          <w:rFonts w:hint="eastAsia" w:ascii="仿宋_GB2312" w:eastAsia="仿宋_GB2312" w:cs="仿宋_GB2312"/>
          <w:sz w:val="30"/>
          <w:szCs w:val="30"/>
        </w:rPr>
        <w:br w:type="textWrapping"/>
      </w:r>
      <w:r>
        <w:rPr>
          <w:rFonts w:hint="eastAsia" w:ascii="仿宋_GB2312" w:eastAsia="仿宋_GB2312" w:cs="仿宋_GB2312"/>
          <w:sz w:val="30"/>
          <w:szCs w:val="30"/>
        </w:rPr>
        <w:t xml:space="preserve">    一般公共服务支出（类）市场监督管理事务（款）其他市场监督管理事务（项）年初预算为</w:t>
      </w:r>
      <w:r>
        <w:rPr>
          <w:rFonts w:hint="eastAsia" w:ascii="仿宋_GB2312" w:eastAsia="仿宋_GB2312" w:cs="仿宋_GB2312"/>
          <w:sz w:val="30"/>
          <w:szCs w:val="30"/>
          <w:lang w:val="en-US" w:eastAsia="zh-CN"/>
        </w:rPr>
        <w:t>494800.00</w:t>
      </w:r>
      <w:r>
        <w:rPr>
          <w:rFonts w:hint="eastAsia" w:ascii="仿宋_GB2312" w:eastAsia="仿宋_GB2312" w:cs="仿宋_GB2312"/>
          <w:sz w:val="30"/>
          <w:szCs w:val="30"/>
        </w:rPr>
        <w:t>元，支出决算为124800.00元，完成年初预算数的</w:t>
      </w:r>
      <w:r>
        <w:rPr>
          <w:rFonts w:hint="eastAsia" w:ascii="仿宋_GB2312" w:eastAsia="仿宋_GB2312" w:cs="仿宋_GB2312"/>
          <w:sz w:val="30"/>
          <w:szCs w:val="30"/>
          <w:u w:val="none"/>
          <w:lang w:val="en-US" w:eastAsia="zh-CN"/>
        </w:rPr>
        <w:t>25.22</w:t>
      </w:r>
      <w:r>
        <w:rPr>
          <w:rFonts w:hint="eastAsia" w:ascii="仿宋_GB2312" w:eastAsia="仿宋_GB2312" w:cs="仿宋_GB2312"/>
          <w:sz w:val="30"/>
          <w:szCs w:val="30"/>
          <w:u w:val="none"/>
        </w:rPr>
        <w:t>%，决算数小于年初预算数的主要原因是</w:t>
      </w:r>
      <w:r>
        <w:rPr>
          <w:rFonts w:hint="eastAsia" w:ascii="仿宋_GB2312" w:eastAsia="仿宋_GB2312" w:cs="仿宋_GB2312"/>
          <w:sz w:val="30"/>
          <w:szCs w:val="30"/>
          <w:u w:val="none"/>
          <w:lang w:eastAsia="zh-CN"/>
        </w:rPr>
        <w:t>根据上级主管部门的安排执行</w:t>
      </w:r>
      <w:r>
        <w:rPr>
          <w:rFonts w:hint="eastAsia" w:ascii="仿宋_GB2312" w:eastAsia="仿宋_GB2312" w:cs="仿宋_GB2312"/>
          <w:sz w:val="30"/>
          <w:szCs w:val="30"/>
        </w:rPr>
        <w:t>。</w:t>
      </w:r>
      <w:r>
        <w:rPr>
          <w:rFonts w:hint="eastAsia" w:ascii="仿宋_GB2312" w:eastAsia="仿宋_GB2312" w:cs="仿宋_GB2312"/>
          <w:sz w:val="30"/>
          <w:szCs w:val="30"/>
        </w:rPr>
        <w:br w:type="textWrapping"/>
      </w:r>
      <w:r>
        <w:rPr>
          <w:rFonts w:hint="eastAsia" w:ascii="仿宋_GB2312" w:eastAsia="仿宋_GB2312" w:cs="仿宋_GB2312"/>
          <w:sz w:val="30"/>
          <w:szCs w:val="30"/>
        </w:rPr>
        <w:t xml:space="preserve">    一般公共服务支出（类）其他一般公共服务支出（款）其他一般公共服务支出（项）年初预算为</w:t>
      </w:r>
      <w:r>
        <w:rPr>
          <w:rFonts w:hint="eastAsia" w:ascii="仿宋_GB2312" w:eastAsia="仿宋_GB2312" w:cs="仿宋_GB2312"/>
          <w:sz w:val="30"/>
          <w:szCs w:val="30"/>
          <w:lang w:val="en-US" w:eastAsia="zh-CN"/>
        </w:rPr>
        <w:t>84900.00</w:t>
      </w:r>
      <w:r>
        <w:rPr>
          <w:rFonts w:hint="eastAsia" w:ascii="仿宋_GB2312" w:eastAsia="仿宋_GB2312" w:cs="仿宋_GB2312"/>
          <w:sz w:val="30"/>
          <w:szCs w:val="30"/>
        </w:rPr>
        <w:t>元，支出决算为33600.00元，完成年初预算数的</w:t>
      </w:r>
      <w:r>
        <w:rPr>
          <w:rFonts w:hint="eastAsia" w:ascii="仿宋_GB2312" w:eastAsia="仿宋_GB2312" w:cs="仿宋_GB2312"/>
          <w:sz w:val="30"/>
          <w:szCs w:val="30"/>
          <w:lang w:val="en-US" w:eastAsia="zh-CN"/>
        </w:rPr>
        <w:t>39.58</w:t>
      </w:r>
      <w:r>
        <w:rPr>
          <w:rFonts w:hint="eastAsia" w:ascii="仿宋_GB2312" w:eastAsia="仿宋_GB2312" w:cs="仿宋_GB2312"/>
          <w:sz w:val="30"/>
          <w:szCs w:val="30"/>
        </w:rPr>
        <w:t>%，决算数小于年初预算数的主要原因是</w:t>
      </w:r>
      <w:r>
        <w:rPr>
          <w:rFonts w:hint="eastAsia" w:ascii="仿宋_GB2312" w:eastAsia="仿宋_GB2312" w:cs="仿宋_GB2312"/>
          <w:sz w:val="30"/>
          <w:szCs w:val="30"/>
          <w:lang w:eastAsia="zh-CN"/>
        </w:rPr>
        <w:t>按照实际发生列支</w:t>
      </w:r>
      <w:r>
        <w:rPr>
          <w:rFonts w:hint="eastAsia" w:ascii="仿宋_GB2312" w:eastAsia="仿宋_GB2312" w:cs="仿宋_GB2312"/>
          <w:sz w:val="30"/>
          <w:szCs w:val="30"/>
        </w:rPr>
        <w:t>。</w:t>
      </w:r>
      <w:r>
        <w:rPr>
          <w:rFonts w:hint="eastAsia" w:ascii="仿宋_GB2312" w:eastAsia="仿宋_GB2312" w:cs="仿宋_GB2312"/>
          <w:sz w:val="30"/>
          <w:szCs w:val="30"/>
        </w:rPr>
        <w:br w:type="textWrapping"/>
      </w:r>
      <w:r>
        <w:rPr>
          <w:rFonts w:hint="eastAsia" w:ascii="仿宋_GB2312" w:eastAsia="仿宋_GB2312" w:cs="仿宋_GB2312"/>
          <w:sz w:val="30"/>
          <w:szCs w:val="30"/>
        </w:rPr>
        <w:t xml:space="preserve">    公共安全支出（类）其他公共安全支出（款）其他公共安全支出（项）年初预算为</w:t>
      </w:r>
      <w:r>
        <w:rPr>
          <w:rFonts w:hint="eastAsia" w:ascii="仿宋_GB2312" w:eastAsia="仿宋_GB2312" w:cs="仿宋_GB2312"/>
          <w:sz w:val="30"/>
          <w:szCs w:val="30"/>
          <w:lang w:val="en-US" w:eastAsia="zh-CN"/>
        </w:rPr>
        <w:t>1454000.00</w:t>
      </w:r>
      <w:r>
        <w:rPr>
          <w:rFonts w:hint="eastAsia" w:ascii="仿宋_GB2312" w:eastAsia="仿宋_GB2312" w:cs="仿宋_GB2312"/>
          <w:sz w:val="30"/>
          <w:szCs w:val="30"/>
        </w:rPr>
        <w:t>元，支出决算为1166108.96元，完成年初预算数的</w:t>
      </w:r>
      <w:r>
        <w:rPr>
          <w:rFonts w:hint="eastAsia" w:ascii="仿宋_GB2312" w:eastAsia="仿宋_GB2312" w:cs="仿宋_GB2312"/>
          <w:sz w:val="30"/>
          <w:szCs w:val="30"/>
          <w:lang w:val="en-US" w:eastAsia="zh-CN"/>
        </w:rPr>
        <w:t>80.20</w:t>
      </w:r>
      <w:r>
        <w:rPr>
          <w:rFonts w:hint="eastAsia" w:ascii="仿宋_GB2312" w:eastAsia="仿宋_GB2312" w:cs="仿宋_GB2312"/>
          <w:sz w:val="30"/>
          <w:szCs w:val="30"/>
        </w:rPr>
        <w:t>%，决算数小于年初预算数的主要原因是</w:t>
      </w:r>
      <w:r>
        <w:rPr>
          <w:rFonts w:hint="eastAsia" w:ascii="仿宋_GB2312" w:eastAsia="仿宋_GB2312" w:cs="仿宋_GB2312"/>
          <w:sz w:val="30"/>
          <w:szCs w:val="30"/>
          <w:lang w:eastAsia="zh-CN"/>
        </w:rPr>
        <w:t>按照实际发生列支</w:t>
      </w:r>
      <w:r>
        <w:rPr>
          <w:rFonts w:hint="eastAsia" w:ascii="仿宋_GB2312" w:eastAsia="仿宋_GB2312" w:cs="仿宋_GB2312"/>
          <w:sz w:val="30"/>
          <w:szCs w:val="30"/>
        </w:rPr>
        <w:t>。</w:t>
      </w:r>
      <w:r>
        <w:rPr>
          <w:rFonts w:hint="eastAsia" w:ascii="仿宋_GB2312" w:eastAsia="仿宋_GB2312" w:cs="仿宋_GB2312"/>
          <w:sz w:val="30"/>
          <w:szCs w:val="30"/>
        </w:rPr>
        <w:br w:type="textWrapping"/>
      </w:r>
      <w:r>
        <w:rPr>
          <w:rFonts w:hint="eastAsia" w:ascii="仿宋_GB2312" w:eastAsia="仿宋_GB2312" w:cs="仿宋_GB2312"/>
          <w:sz w:val="30"/>
          <w:szCs w:val="30"/>
        </w:rPr>
        <w:t xml:space="preserve">    教育支出（类）普通教育（款）高等教育（项）年初预算为</w:t>
      </w:r>
      <w:r>
        <w:rPr>
          <w:rFonts w:hint="eastAsia" w:ascii="仿宋_GB2312" w:eastAsia="仿宋_GB2312" w:cs="仿宋_GB2312"/>
          <w:sz w:val="30"/>
          <w:szCs w:val="30"/>
          <w:lang w:val="en-US" w:eastAsia="zh-CN"/>
        </w:rPr>
        <w:t>0</w:t>
      </w:r>
      <w:r>
        <w:rPr>
          <w:rFonts w:hint="eastAsia" w:ascii="仿宋_GB2312" w:eastAsia="仿宋_GB2312" w:cs="仿宋_GB2312"/>
          <w:sz w:val="30"/>
          <w:szCs w:val="30"/>
        </w:rPr>
        <w:t>元，支出决算为33000.00元，完成年初预算数的</w:t>
      </w:r>
      <w:r>
        <w:rPr>
          <w:rFonts w:hint="eastAsia" w:ascii="仿宋_GB2312" w:eastAsia="仿宋_GB2312" w:cs="仿宋_GB2312"/>
          <w:sz w:val="30"/>
          <w:szCs w:val="30"/>
          <w:lang w:val="en-US" w:eastAsia="zh-CN"/>
        </w:rPr>
        <w:t>--</w:t>
      </w:r>
      <w:r>
        <w:rPr>
          <w:rFonts w:hint="eastAsia" w:ascii="仿宋_GB2312" w:eastAsia="仿宋_GB2312" w:cs="仿宋_GB2312"/>
          <w:sz w:val="30"/>
          <w:szCs w:val="30"/>
        </w:rPr>
        <w:t>%，决算数大于年初预算数的主要原因是</w:t>
      </w:r>
      <w:r>
        <w:rPr>
          <w:rFonts w:hint="eastAsia" w:ascii="仿宋_GB2312" w:eastAsia="仿宋_GB2312" w:cs="仿宋_GB2312"/>
          <w:sz w:val="30"/>
          <w:szCs w:val="30"/>
          <w:lang w:eastAsia="zh-CN"/>
        </w:rPr>
        <w:t>按照上级要求做预算调剂，增加支出</w:t>
      </w:r>
      <w:r>
        <w:rPr>
          <w:rFonts w:hint="eastAsia" w:ascii="仿宋_GB2312" w:eastAsia="仿宋_GB2312" w:cs="仿宋_GB2312"/>
          <w:sz w:val="30"/>
          <w:szCs w:val="30"/>
        </w:rPr>
        <w:t>。</w:t>
      </w:r>
      <w:r>
        <w:rPr>
          <w:rFonts w:hint="eastAsia" w:ascii="仿宋_GB2312" w:eastAsia="仿宋_GB2312" w:cs="仿宋_GB2312"/>
          <w:sz w:val="30"/>
          <w:szCs w:val="30"/>
        </w:rPr>
        <w:br w:type="textWrapping"/>
      </w:r>
      <w:r>
        <w:rPr>
          <w:rFonts w:hint="eastAsia" w:ascii="仿宋_GB2312" w:eastAsia="仿宋_GB2312" w:cs="仿宋_GB2312"/>
          <w:sz w:val="30"/>
          <w:szCs w:val="30"/>
        </w:rPr>
        <w:t xml:space="preserve">    教育支出（类）普通教育（款）其他普通教育支出（项）年初预算为</w:t>
      </w:r>
      <w:r>
        <w:rPr>
          <w:rFonts w:hint="eastAsia" w:ascii="仿宋_GB2312" w:eastAsia="仿宋_GB2312" w:cs="仿宋_GB2312"/>
          <w:sz w:val="30"/>
          <w:szCs w:val="30"/>
          <w:lang w:val="en-US" w:eastAsia="zh-CN"/>
        </w:rPr>
        <w:t>0</w:t>
      </w:r>
      <w:r>
        <w:rPr>
          <w:rFonts w:hint="eastAsia" w:ascii="仿宋_GB2312" w:eastAsia="仿宋_GB2312" w:cs="仿宋_GB2312"/>
          <w:sz w:val="30"/>
          <w:szCs w:val="30"/>
        </w:rPr>
        <w:t>元，支出决算为277242.50元，完成年初预算数的</w:t>
      </w:r>
      <w:r>
        <w:rPr>
          <w:rFonts w:hint="eastAsia" w:ascii="仿宋_GB2312" w:eastAsia="仿宋_GB2312" w:cs="仿宋_GB2312"/>
          <w:sz w:val="30"/>
          <w:szCs w:val="30"/>
          <w:lang w:val="en-US" w:eastAsia="zh-CN"/>
        </w:rPr>
        <w:t>--</w:t>
      </w:r>
      <w:r>
        <w:rPr>
          <w:rFonts w:hint="eastAsia" w:ascii="仿宋_GB2312" w:eastAsia="仿宋_GB2312" w:cs="仿宋_GB2312"/>
          <w:sz w:val="30"/>
          <w:szCs w:val="30"/>
        </w:rPr>
        <w:t>%，决算数大于年初预算数的主要原因是</w:t>
      </w:r>
      <w:r>
        <w:rPr>
          <w:rFonts w:hint="eastAsia" w:ascii="仿宋_GB2312" w:eastAsia="仿宋_GB2312" w:cs="仿宋_GB2312"/>
          <w:sz w:val="30"/>
          <w:szCs w:val="30"/>
          <w:lang w:eastAsia="zh-CN"/>
        </w:rPr>
        <w:t>按照上级要求做预算调剂，增加支出</w:t>
      </w:r>
      <w:r>
        <w:rPr>
          <w:rFonts w:hint="eastAsia" w:ascii="仿宋_GB2312" w:eastAsia="仿宋_GB2312" w:cs="仿宋_GB2312"/>
          <w:sz w:val="30"/>
          <w:szCs w:val="30"/>
        </w:rPr>
        <w:t>。</w:t>
      </w:r>
      <w:r>
        <w:rPr>
          <w:rFonts w:hint="eastAsia" w:ascii="仿宋_GB2312" w:eastAsia="仿宋_GB2312" w:cs="仿宋_GB2312"/>
          <w:sz w:val="30"/>
          <w:szCs w:val="30"/>
        </w:rPr>
        <w:br w:type="textWrapping"/>
      </w:r>
      <w:r>
        <w:rPr>
          <w:rFonts w:hint="eastAsia" w:ascii="仿宋_GB2312" w:eastAsia="仿宋_GB2312" w:cs="仿宋_GB2312"/>
          <w:sz w:val="30"/>
          <w:szCs w:val="30"/>
        </w:rPr>
        <w:t xml:space="preserve">    教育支出（类）其他教育支出（款）其他教育支出（项）年初预算为</w:t>
      </w:r>
      <w:r>
        <w:rPr>
          <w:rFonts w:hint="eastAsia" w:ascii="仿宋_GB2312" w:eastAsia="仿宋_GB2312" w:cs="仿宋_GB2312"/>
          <w:sz w:val="30"/>
          <w:szCs w:val="30"/>
          <w:lang w:val="en-US" w:eastAsia="zh-CN"/>
        </w:rPr>
        <w:t>80000.00</w:t>
      </w:r>
      <w:r>
        <w:rPr>
          <w:rFonts w:hint="eastAsia" w:ascii="仿宋_GB2312" w:eastAsia="仿宋_GB2312" w:cs="仿宋_GB2312"/>
          <w:sz w:val="30"/>
          <w:szCs w:val="30"/>
        </w:rPr>
        <w:t>元，支出决算为219430.00元，完成年初预算数的</w:t>
      </w:r>
      <w:r>
        <w:rPr>
          <w:rFonts w:hint="eastAsia" w:ascii="仿宋_GB2312" w:eastAsia="仿宋_GB2312" w:cs="仿宋_GB2312"/>
          <w:sz w:val="30"/>
          <w:szCs w:val="30"/>
          <w:lang w:val="en-US" w:eastAsia="zh-CN"/>
        </w:rPr>
        <w:t>274.29</w:t>
      </w:r>
      <w:r>
        <w:rPr>
          <w:rFonts w:hint="eastAsia" w:ascii="仿宋_GB2312" w:eastAsia="仿宋_GB2312" w:cs="仿宋_GB2312"/>
          <w:sz w:val="30"/>
          <w:szCs w:val="30"/>
        </w:rPr>
        <w:t>%，决算数大于年初预算数的主要原因是</w:t>
      </w:r>
      <w:r>
        <w:rPr>
          <w:rFonts w:hint="eastAsia" w:ascii="仿宋_GB2312" w:eastAsia="仿宋_GB2312" w:cs="仿宋_GB2312"/>
          <w:sz w:val="30"/>
          <w:szCs w:val="30"/>
          <w:lang w:eastAsia="zh-CN"/>
        </w:rPr>
        <w:t>按照上级要求，成校预算调剂到政府本级，增加支出</w:t>
      </w:r>
      <w:r>
        <w:rPr>
          <w:rFonts w:hint="eastAsia" w:ascii="仿宋_GB2312" w:eastAsia="仿宋_GB2312" w:cs="仿宋_GB2312"/>
          <w:sz w:val="30"/>
          <w:szCs w:val="30"/>
        </w:rPr>
        <w:t>。</w:t>
      </w:r>
      <w:r>
        <w:rPr>
          <w:rFonts w:hint="eastAsia" w:ascii="仿宋_GB2312" w:eastAsia="仿宋_GB2312" w:cs="仿宋_GB2312"/>
          <w:sz w:val="30"/>
          <w:szCs w:val="30"/>
        </w:rPr>
        <w:br w:type="textWrapping"/>
      </w:r>
      <w:r>
        <w:rPr>
          <w:rFonts w:hint="eastAsia" w:ascii="仿宋_GB2312" w:eastAsia="仿宋_GB2312" w:cs="仿宋_GB2312"/>
          <w:sz w:val="30"/>
          <w:szCs w:val="30"/>
        </w:rPr>
        <w:t xml:space="preserve">    文化旅游体育与传媒支出（类）文化和旅游（款）群众文化（项）年初预算为</w:t>
      </w:r>
      <w:r>
        <w:rPr>
          <w:rFonts w:hint="eastAsia" w:ascii="仿宋_GB2312" w:eastAsia="仿宋_GB2312" w:cs="仿宋_GB2312"/>
          <w:sz w:val="30"/>
          <w:szCs w:val="30"/>
          <w:lang w:val="en-US" w:eastAsia="zh-CN"/>
        </w:rPr>
        <w:t>402240.00</w:t>
      </w:r>
      <w:r>
        <w:rPr>
          <w:rFonts w:hint="eastAsia" w:ascii="仿宋_GB2312" w:eastAsia="仿宋_GB2312" w:cs="仿宋_GB2312"/>
          <w:sz w:val="30"/>
          <w:szCs w:val="30"/>
        </w:rPr>
        <w:t>元，支出决算为37440.00元，完成年初预算数的</w:t>
      </w:r>
      <w:r>
        <w:rPr>
          <w:rFonts w:hint="eastAsia" w:ascii="仿宋_GB2312" w:eastAsia="仿宋_GB2312" w:cs="仿宋_GB2312"/>
          <w:sz w:val="30"/>
          <w:szCs w:val="30"/>
          <w:lang w:val="en-US" w:eastAsia="zh-CN"/>
        </w:rPr>
        <w:t>9.3</w:t>
      </w:r>
      <w:r>
        <w:rPr>
          <w:rFonts w:hint="eastAsia" w:ascii="仿宋_GB2312" w:eastAsia="仿宋_GB2312" w:cs="仿宋_GB2312"/>
          <w:sz w:val="30"/>
          <w:szCs w:val="30"/>
        </w:rPr>
        <w:t>%，决算数小于年初预算数的主要原因是</w:t>
      </w:r>
      <w:r>
        <w:rPr>
          <w:rFonts w:hint="eastAsia" w:ascii="仿宋_GB2312" w:eastAsia="仿宋_GB2312" w:cs="仿宋_GB2312"/>
          <w:sz w:val="30"/>
          <w:szCs w:val="30"/>
          <w:lang w:eastAsia="zh-CN"/>
        </w:rPr>
        <w:t>按照实际发生列支</w:t>
      </w:r>
      <w:r>
        <w:rPr>
          <w:rFonts w:hint="eastAsia" w:ascii="仿宋_GB2312" w:eastAsia="仿宋_GB2312" w:cs="仿宋_GB2312"/>
          <w:sz w:val="30"/>
          <w:szCs w:val="30"/>
        </w:rPr>
        <w:t>。</w:t>
      </w:r>
      <w:r>
        <w:rPr>
          <w:rFonts w:hint="eastAsia" w:ascii="仿宋_GB2312" w:eastAsia="仿宋_GB2312" w:cs="仿宋_GB2312"/>
          <w:sz w:val="30"/>
          <w:szCs w:val="30"/>
        </w:rPr>
        <w:br w:type="textWrapping"/>
      </w:r>
      <w:r>
        <w:rPr>
          <w:rFonts w:hint="eastAsia" w:ascii="仿宋_GB2312" w:eastAsia="仿宋_GB2312" w:cs="仿宋_GB2312"/>
          <w:sz w:val="30"/>
          <w:szCs w:val="30"/>
        </w:rPr>
        <w:t xml:space="preserve">    文化旅游体育与传媒支出（类）体育（款）群众体育（项）年初预算为</w:t>
      </w:r>
      <w:r>
        <w:rPr>
          <w:rFonts w:hint="eastAsia" w:ascii="仿宋_GB2312" w:eastAsia="仿宋_GB2312" w:cs="仿宋_GB2312"/>
          <w:sz w:val="30"/>
          <w:szCs w:val="30"/>
          <w:lang w:val="en-US" w:eastAsia="zh-CN"/>
        </w:rPr>
        <w:t>0</w:t>
      </w:r>
      <w:r>
        <w:rPr>
          <w:rFonts w:hint="eastAsia" w:ascii="仿宋_GB2312" w:eastAsia="仿宋_GB2312" w:cs="仿宋_GB2312"/>
          <w:sz w:val="30"/>
          <w:szCs w:val="30"/>
        </w:rPr>
        <w:t>元，支出决算为400000.00元，完成年初预算数的</w:t>
      </w:r>
      <w:r>
        <w:rPr>
          <w:rFonts w:hint="eastAsia" w:ascii="仿宋_GB2312" w:eastAsia="仿宋_GB2312" w:cs="仿宋_GB2312"/>
          <w:sz w:val="30"/>
          <w:szCs w:val="30"/>
          <w:lang w:val="en-US" w:eastAsia="zh-CN"/>
        </w:rPr>
        <w:t>--</w:t>
      </w:r>
      <w:r>
        <w:rPr>
          <w:rFonts w:hint="eastAsia" w:ascii="仿宋_GB2312" w:eastAsia="仿宋_GB2312" w:cs="仿宋_GB2312"/>
          <w:sz w:val="30"/>
          <w:szCs w:val="30"/>
        </w:rPr>
        <w:t>%，决算数大于年初预算数的主要原因是</w:t>
      </w:r>
      <w:r>
        <w:rPr>
          <w:rFonts w:hint="eastAsia" w:ascii="仿宋_GB2312" w:eastAsia="仿宋_GB2312" w:cs="仿宋_GB2312"/>
          <w:sz w:val="30"/>
          <w:szCs w:val="30"/>
          <w:lang w:eastAsia="zh-CN"/>
        </w:rPr>
        <w:t>按照上级要求做预算调剂，增加支出</w:t>
      </w:r>
      <w:r>
        <w:rPr>
          <w:rFonts w:hint="eastAsia" w:ascii="仿宋_GB2312" w:eastAsia="仿宋_GB2312" w:cs="仿宋_GB2312"/>
          <w:sz w:val="30"/>
          <w:szCs w:val="30"/>
        </w:rPr>
        <w:t>。</w:t>
      </w:r>
      <w:r>
        <w:rPr>
          <w:rFonts w:hint="eastAsia" w:ascii="仿宋_GB2312" w:eastAsia="仿宋_GB2312" w:cs="仿宋_GB2312"/>
          <w:sz w:val="30"/>
          <w:szCs w:val="30"/>
        </w:rPr>
        <w:br w:type="textWrapping"/>
      </w:r>
      <w:r>
        <w:rPr>
          <w:rFonts w:hint="eastAsia" w:ascii="仿宋_GB2312" w:eastAsia="仿宋_GB2312" w:cs="仿宋_GB2312"/>
          <w:sz w:val="30"/>
          <w:szCs w:val="30"/>
        </w:rPr>
        <w:t xml:space="preserve">    社会保障和就业支出（类）人力资源和社会保障管理事务（款）其他人力资源和社会保障管理事务支出（项）年初预算为</w:t>
      </w:r>
      <w:r>
        <w:rPr>
          <w:rFonts w:hint="eastAsia" w:ascii="仿宋_GB2312" w:eastAsia="仿宋_GB2312" w:cs="仿宋_GB2312"/>
          <w:sz w:val="30"/>
          <w:szCs w:val="30"/>
          <w:lang w:val="en-US" w:eastAsia="zh-CN"/>
        </w:rPr>
        <w:t>17444312.96</w:t>
      </w:r>
      <w:r>
        <w:rPr>
          <w:rFonts w:hint="eastAsia" w:ascii="仿宋_GB2312" w:eastAsia="仿宋_GB2312" w:cs="仿宋_GB2312"/>
          <w:sz w:val="30"/>
          <w:szCs w:val="30"/>
        </w:rPr>
        <w:t>元，支出决算为17140912.21元，完成年初预算数的</w:t>
      </w:r>
      <w:r>
        <w:rPr>
          <w:rFonts w:hint="eastAsia" w:ascii="仿宋_GB2312" w:eastAsia="仿宋_GB2312" w:cs="仿宋_GB2312"/>
          <w:sz w:val="30"/>
          <w:szCs w:val="30"/>
          <w:lang w:val="en-US" w:eastAsia="zh-CN"/>
        </w:rPr>
        <w:t>98.26</w:t>
      </w:r>
      <w:r>
        <w:rPr>
          <w:rFonts w:hint="eastAsia" w:ascii="仿宋_GB2312" w:eastAsia="仿宋_GB2312" w:cs="仿宋_GB2312"/>
          <w:sz w:val="30"/>
          <w:szCs w:val="30"/>
        </w:rPr>
        <w:t>%，决算数小于年初预算数的主要原因是</w:t>
      </w:r>
      <w:r>
        <w:rPr>
          <w:rFonts w:hint="eastAsia" w:eastAsia="仿宋_GB2312"/>
          <w:sz w:val="30"/>
          <w:szCs w:val="30"/>
          <w:highlight w:val="none"/>
          <w:u w:val="none"/>
          <w:lang w:eastAsia="zh-CN"/>
        </w:rPr>
        <w:t>部分补助人员有所变动，生活保障标准有所调整</w:t>
      </w:r>
      <w:r>
        <w:rPr>
          <w:rFonts w:hint="eastAsia" w:ascii="仿宋_GB2312" w:eastAsia="仿宋_GB2312" w:cs="仿宋_GB2312"/>
          <w:sz w:val="30"/>
          <w:szCs w:val="30"/>
          <w:highlight w:val="none"/>
          <w:u w:val="none"/>
          <w:lang w:val="en-US" w:eastAsia="zh-CN"/>
        </w:rPr>
        <w:t>，按实际情况发放</w:t>
      </w:r>
      <w:r>
        <w:rPr>
          <w:rFonts w:hint="eastAsia" w:ascii="仿宋_GB2312" w:eastAsia="仿宋_GB2312" w:cs="仿宋_GB2312"/>
          <w:sz w:val="30"/>
          <w:szCs w:val="30"/>
        </w:rPr>
        <w:t>。</w:t>
      </w:r>
      <w:r>
        <w:rPr>
          <w:rFonts w:hint="eastAsia" w:ascii="仿宋_GB2312" w:eastAsia="仿宋_GB2312" w:cs="仿宋_GB2312"/>
          <w:sz w:val="30"/>
          <w:szCs w:val="30"/>
        </w:rPr>
        <w:br w:type="textWrapping"/>
      </w:r>
      <w:r>
        <w:rPr>
          <w:rFonts w:hint="eastAsia" w:ascii="仿宋_GB2312" w:eastAsia="仿宋_GB2312" w:cs="仿宋_GB2312"/>
          <w:sz w:val="30"/>
          <w:szCs w:val="30"/>
        </w:rPr>
        <w:t xml:space="preserve">    社会保障和就业支出（类）民政管理事务（款）基层政权建设和社区治理（项）年初预算为</w:t>
      </w:r>
      <w:r>
        <w:rPr>
          <w:rFonts w:hint="eastAsia" w:ascii="仿宋_GB2312" w:eastAsia="仿宋_GB2312" w:cs="仿宋_GB2312"/>
          <w:sz w:val="30"/>
          <w:szCs w:val="30"/>
          <w:lang w:val="en-US" w:eastAsia="zh-CN"/>
        </w:rPr>
        <w:t>1991200.00</w:t>
      </w:r>
      <w:r>
        <w:rPr>
          <w:rFonts w:hint="eastAsia" w:ascii="仿宋_GB2312" w:eastAsia="仿宋_GB2312" w:cs="仿宋_GB2312"/>
          <w:sz w:val="30"/>
          <w:szCs w:val="30"/>
        </w:rPr>
        <w:t>元，支出决算为1720887.50元，完成年初预算数的</w:t>
      </w:r>
      <w:r>
        <w:rPr>
          <w:rFonts w:hint="eastAsia" w:ascii="仿宋_GB2312" w:eastAsia="仿宋_GB2312" w:cs="仿宋_GB2312"/>
          <w:sz w:val="30"/>
          <w:szCs w:val="30"/>
          <w:lang w:val="en-US" w:eastAsia="zh-CN"/>
        </w:rPr>
        <w:t>86.42</w:t>
      </w:r>
      <w:r>
        <w:rPr>
          <w:rFonts w:hint="eastAsia" w:ascii="仿宋_GB2312" w:eastAsia="仿宋_GB2312" w:cs="仿宋_GB2312"/>
          <w:sz w:val="30"/>
          <w:szCs w:val="30"/>
        </w:rPr>
        <w:t>%，决算数小于年初预算数的主要原因是</w:t>
      </w:r>
      <w:r>
        <w:rPr>
          <w:rFonts w:hint="eastAsia" w:ascii="仿宋_GB2312" w:eastAsia="仿宋_GB2312" w:cs="仿宋_GB2312"/>
          <w:sz w:val="30"/>
          <w:szCs w:val="30"/>
          <w:lang w:eastAsia="zh-CN"/>
        </w:rPr>
        <w:t>按照实际发生列支</w:t>
      </w:r>
      <w:r>
        <w:rPr>
          <w:rFonts w:hint="eastAsia" w:ascii="仿宋_GB2312" w:eastAsia="仿宋_GB2312" w:cs="仿宋_GB2312"/>
          <w:sz w:val="30"/>
          <w:szCs w:val="30"/>
        </w:rPr>
        <w:t>。</w:t>
      </w:r>
      <w:r>
        <w:rPr>
          <w:rFonts w:hint="eastAsia" w:ascii="仿宋_GB2312" w:eastAsia="仿宋_GB2312" w:cs="仿宋_GB2312"/>
          <w:sz w:val="30"/>
          <w:szCs w:val="30"/>
        </w:rPr>
        <w:br w:type="textWrapping"/>
      </w:r>
      <w:r>
        <w:rPr>
          <w:rFonts w:hint="eastAsia" w:ascii="仿宋_GB2312" w:eastAsia="仿宋_GB2312" w:cs="仿宋_GB2312"/>
          <w:sz w:val="30"/>
          <w:szCs w:val="30"/>
        </w:rPr>
        <w:t xml:space="preserve">    社会保障和就业支出（类）民政管理事务（款）其他民政管理事务支出（项）年初预算为</w:t>
      </w:r>
      <w:r>
        <w:rPr>
          <w:rFonts w:hint="eastAsia" w:ascii="仿宋_GB2312" w:eastAsia="仿宋_GB2312" w:cs="仿宋_GB2312"/>
          <w:sz w:val="30"/>
          <w:szCs w:val="30"/>
          <w:lang w:val="en-US" w:eastAsia="zh-CN"/>
        </w:rPr>
        <w:t>4177900.00</w:t>
      </w:r>
      <w:r>
        <w:rPr>
          <w:rFonts w:hint="eastAsia" w:ascii="仿宋_GB2312" w:eastAsia="仿宋_GB2312" w:cs="仿宋_GB2312"/>
          <w:sz w:val="30"/>
          <w:szCs w:val="30"/>
        </w:rPr>
        <w:t>元，支出决算为4479083.89元，完成年初预算数的</w:t>
      </w:r>
      <w:r>
        <w:rPr>
          <w:rFonts w:hint="eastAsia" w:ascii="仿宋_GB2312" w:eastAsia="仿宋_GB2312" w:cs="仿宋_GB2312"/>
          <w:sz w:val="30"/>
          <w:szCs w:val="30"/>
          <w:lang w:val="en-US" w:eastAsia="zh-CN"/>
        </w:rPr>
        <w:t>107.21</w:t>
      </w:r>
      <w:r>
        <w:rPr>
          <w:rFonts w:hint="eastAsia" w:ascii="仿宋_GB2312" w:eastAsia="仿宋_GB2312" w:cs="仿宋_GB2312"/>
          <w:sz w:val="30"/>
          <w:szCs w:val="30"/>
        </w:rPr>
        <w:t>%，决算数大于年初预算数的主要原因是</w:t>
      </w:r>
      <w:r>
        <w:rPr>
          <w:rFonts w:hint="eastAsia" w:ascii="仿宋_GB2312" w:eastAsia="仿宋_GB2312" w:cs="仿宋_GB2312"/>
          <w:sz w:val="30"/>
          <w:szCs w:val="30"/>
          <w:lang w:eastAsia="zh-CN"/>
        </w:rPr>
        <w:t>按照上级要求做预算调剂，增加支出</w:t>
      </w:r>
      <w:r>
        <w:rPr>
          <w:rFonts w:hint="eastAsia" w:ascii="仿宋_GB2312" w:eastAsia="仿宋_GB2312" w:cs="仿宋_GB2312"/>
          <w:sz w:val="30"/>
          <w:szCs w:val="30"/>
        </w:rPr>
        <w:t>。</w:t>
      </w:r>
      <w:r>
        <w:rPr>
          <w:rFonts w:hint="eastAsia" w:ascii="仿宋_GB2312" w:eastAsia="仿宋_GB2312" w:cs="仿宋_GB2312"/>
          <w:sz w:val="30"/>
          <w:szCs w:val="30"/>
        </w:rPr>
        <w:br w:type="textWrapping"/>
      </w:r>
      <w:r>
        <w:rPr>
          <w:rFonts w:hint="eastAsia" w:ascii="仿宋_GB2312" w:eastAsia="仿宋_GB2312" w:cs="仿宋_GB2312"/>
          <w:sz w:val="30"/>
          <w:szCs w:val="30"/>
        </w:rPr>
        <w:t xml:space="preserve">    社会保障和就业支出（类）行政事业单位养老支出（款）机关事业单位基本养老保险缴费支出（项）年初预算为</w:t>
      </w:r>
      <w:r>
        <w:rPr>
          <w:rFonts w:hint="eastAsia" w:ascii="仿宋_GB2312" w:eastAsia="仿宋_GB2312" w:cs="仿宋_GB2312"/>
          <w:sz w:val="30"/>
          <w:szCs w:val="30"/>
          <w:lang w:val="en-US" w:eastAsia="zh-CN"/>
        </w:rPr>
        <w:t>1649820.96</w:t>
      </w:r>
      <w:r>
        <w:rPr>
          <w:rFonts w:hint="eastAsia" w:ascii="仿宋_GB2312" w:eastAsia="仿宋_GB2312" w:cs="仿宋_GB2312"/>
          <w:sz w:val="30"/>
          <w:szCs w:val="30"/>
        </w:rPr>
        <w:t>元，支出决算为1692267.68元，完成年初预算数的</w:t>
      </w:r>
      <w:r>
        <w:rPr>
          <w:rFonts w:hint="eastAsia" w:ascii="仿宋_GB2312" w:eastAsia="仿宋_GB2312" w:cs="仿宋_GB2312"/>
          <w:sz w:val="30"/>
          <w:szCs w:val="30"/>
          <w:lang w:val="en-US" w:eastAsia="zh-CN"/>
        </w:rPr>
        <w:t>102.57</w:t>
      </w:r>
      <w:r>
        <w:rPr>
          <w:rFonts w:hint="eastAsia" w:ascii="仿宋_GB2312" w:eastAsia="仿宋_GB2312" w:cs="仿宋_GB2312"/>
          <w:sz w:val="30"/>
          <w:szCs w:val="30"/>
        </w:rPr>
        <w:t>%，决算数</w:t>
      </w:r>
      <w:r>
        <w:rPr>
          <w:rFonts w:hint="eastAsia" w:ascii="仿宋_GB2312" w:eastAsia="仿宋_GB2312" w:cs="仿宋_GB2312"/>
          <w:sz w:val="30"/>
          <w:szCs w:val="30"/>
          <w:lang w:eastAsia="zh-CN"/>
        </w:rPr>
        <w:t>大</w:t>
      </w:r>
      <w:r>
        <w:rPr>
          <w:rFonts w:hint="eastAsia" w:ascii="仿宋_GB2312" w:eastAsia="仿宋_GB2312" w:cs="仿宋_GB2312"/>
          <w:sz w:val="30"/>
          <w:szCs w:val="30"/>
        </w:rPr>
        <w:t>于年初预算数的主要原因是</w:t>
      </w:r>
      <w:r>
        <w:rPr>
          <w:rFonts w:hint="eastAsia" w:ascii="仿宋_GB2312" w:eastAsia="仿宋_GB2312" w:cs="仿宋_GB2312"/>
          <w:sz w:val="30"/>
          <w:szCs w:val="30"/>
          <w:lang w:eastAsia="zh-CN"/>
        </w:rPr>
        <w:t>按照实际发生调整</w:t>
      </w:r>
      <w:r>
        <w:rPr>
          <w:rFonts w:hint="eastAsia" w:ascii="仿宋_GB2312" w:eastAsia="仿宋_GB2312" w:cs="仿宋_GB2312"/>
          <w:sz w:val="30"/>
          <w:szCs w:val="30"/>
        </w:rPr>
        <w:t>。</w:t>
      </w:r>
      <w:r>
        <w:rPr>
          <w:rFonts w:hint="eastAsia" w:ascii="仿宋_GB2312" w:eastAsia="仿宋_GB2312" w:cs="仿宋_GB2312"/>
          <w:sz w:val="30"/>
          <w:szCs w:val="30"/>
        </w:rPr>
        <w:br w:type="textWrapping"/>
      </w:r>
      <w:r>
        <w:rPr>
          <w:rFonts w:hint="eastAsia" w:ascii="仿宋_GB2312" w:eastAsia="仿宋_GB2312" w:cs="仿宋_GB2312"/>
          <w:sz w:val="30"/>
          <w:szCs w:val="30"/>
        </w:rPr>
        <w:t xml:space="preserve">    社会保障和就业支出（类）行政事业单位养老支出（款）机关事业单位职业年金缴费支出（项）年初预算为</w:t>
      </w:r>
      <w:r>
        <w:rPr>
          <w:rFonts w:hint="eastAsia" w:ascii="仿宋_GB2312" w:eastAsia="仿宋_GB2312" w:cs="仿宋_GB2312"/>
          <w:sz w:val="30"/>
          <w:szCs w:val="30"/>
          <w:lang w:val="en-US" w:eastAsia="zh-CN"/>
        </w:rPr>
        <w:t>824910.60</w:t>
      </w:r>
      <w:r>
        <w:rPr>
          <w:rFonts w:hint="eastAsia" w:ascii="仿宋_GB2312" w:eastAsia="仿宋_GB2312" w:cs="仿宋_GB2312"/>
          <w:sz w:val="30"/>
          <w:szCs w:val="30"/>
        </w:rPr>
        <w:t>元，支出决算为846133.84元，完成年初预算数的</w:t>
      </w:r>
      <w:r>
        <w:rPr>
          <w:rFonts w:hint="eastAsia" w:ascii="仿宋_GB2312" w:eastAsia="仿宋_GB2312" w:cs="仿宋_GB2312"/>
          <w:sz w:val="30"/>
          <w:szCs w:val="30"/>
          <w:lang w:val="en-US" w:eastAsia="zh-CN"/>
        </w:rPr>
        <w:t>102.57</w:t>
      </w:r>
      <w:r>
        <w:rPr>
          <w:rFonts w:hint="eastAsia" w:ascii="仿宋_GB2312" w:eastAsia="仿宋_GB2312" w:cs="仿宋_GB2312"/>
          <w:sz w:val="30"/>
          <w:szCs w:val="30"/>
        </w:rPr>
        <w:t>%，决算数大于年初预算数的主要原因是</w:t>
      </w:r>
      <w:r>
        <w:rPr>
          <w:rFonts w:hint="eastAsia" w:ascii="仿宋_GB2312" w:eastAsia="仿宋_GB2312" w:cs="仿宋_GB2312"/>
          <w:sz w:val="30"/>
          <w:szCs w:val="30"/>
          <w:lang w:eastAsia="zh-CN"/>
        </w:rPr>
        <w:t>按照上级要求做预算调剂，增加支出</w:t>
      </w:r>
      <w:r>
        <w:rPr>
          <w:rFonts w:hint="eastAsia" w:ascii="仿宋_GB2312" w:eastAsia="仿宋_GB2312" w:cs="仿宋_GB2312"/>
          <w:sz w:val="30"/>
          <w:szCs w:val="30"/>
        </w:rPr>
        <w:br w:type="textWrapping"/>
      </w:r>
      <w:r>
        <w:rPr>
          <w:rFonts w:hint="eastAsia" w:ascii="仿宋_GB2312" w:eastAsia="仿宋_GB2312" w:cs="仿宋_GB2312"/>
          <w:sz w:val="30"/>
          <w:szCs w:val="30"/>
        </w:rPr>
        <w:t xml:space="preserve">    社会保障和就业支出（类）抚恤（款）其他优抚支出（项）年初预算为</w:t>
      </w:r>
      <w:r>
        <w:rPr>
          <w:rFonts w:hint="eastAsia" w:ascii="仿宋_GB2312" w:eastAsia="仿宋_GB2312" w:cs="仿宋_GB2312"/>
          <w:sz w:val="30"/>
          <w:szCs w:val="30"/>
          <w:lang w:val="en-US" w:eastAsia="zh-CN"/>
        </w:rPr>
        <w:t>50000.00</w:t>
      </w:r>
      <w:r>
        <w:rPr>
          <w:rFonts w:hint="eastAsia" w:ascii="仿宋_GB2312" w:eastAsia="仿宋_GB2312" w:cs="仿宋_GB2312"/>
          <w:sz w:val="30"/>
          <w:szCs w:val="30"/>
        </w:rPr>
        <w:t>元，支出决算为51067.00元，完成年初预算数的</w:t>
      </w:r>
      <w:r>
        <w:rPr>
          <w:rFonts w:hint="eastAsia" w:ascii="仿宋_GB2312" w:eastAsia="仿宋_GB2312" w:cs="仿宋_GB2312"/>
          <w:sz w:val="30"/>
          <w:szCs w:val="30"/>
          <w:lang w:val="en-US" w:eastAsia="zh-CN"/>
        </w:rPr>
        <w:t>102.13</w:t>
      </w:r>
      <w:r>
        <w:rPr>
          <w:rFonts w:hint="eastAsia" w:ascii="仿宋_GB2312" w:eastAsia="仿宋_GB2312" w:cs="仿宋_GB2312"/>
          <w:sz w:val="30"/>
          <w:szCs w:val="30"/>
        </w:rPr>
        <w:t>%，决算数大于年初预算数的主要原因是</w:t>
      </w:r>
      <w:r>
        <w:rPr>
          <w:rFonts w:hint="eastAsia" w:ascii="仿宋_GB2312" w:eastAsia="仿宋_GB2312" w:cs="仿宋_GB2312"/>
          <w:sz w:val="30"/>
          <w:szCs w:val="30"/>
          <w:lang w:eastAsia="zh-CN"/>
        </w:rPr>
        <w:t>按照上级要求做预算调剂，增加支出</w:t>
      </w:r>
      <w:r>
        <w:rPr>
          <w:rFonts w:hint="eastAsia" w:ascii="仿宋_GB2312" w:eastAsia="仿宋_GB2312" w:cs="仿宋_GB2312"/>
          <w:sz w:val="30"/>
          <w:szCs w:val="30"/>
        </w:rPr>
        <w:t>。</w:t>
      </w:r>
      <w:r>
        <w:rPr>
          <w:rFonts w:hint="eastAsia" w:ascii="仿宋_GB2312" w:eastAsia="仿宋_GB2312" w:cs="仿宋_GB2312"/>
          <w:sz w:val="30"/>
          <w:szCs w:val="30"/>
        </w:rPr>
        <w:br w:type="textWrapping"/>
      </w:r>
      <w:r>
        <w:rPr>
          <w:rFonts w:hint="eastAsia" w:ascii="仿宋_GB2312" w:eastAsia="仿宋_GB2312" w:cs="仿宋_GB2312"/>
          <w:sz w:val="30"/>
          <w:szCs w:val="30"/>
        </w:rPr>
        <w:t xml:space="preserve">    社会保障和就业支出（类）社会福利（款）儿童福利（项）年初预算为</w:t>
      </w:r>
      <w:r>
        <w:rPr>
          <w:rFonts w:hint="eastAsia" w:ascii="仿宋_GB2312" w:eastAsia="仿宋_GB2312" w:cs="仿宋_GB2312"/>
          <w:sz w:val="30"/>
          <w:szCs w:val="30"/>
          <w:lang w:val="en-US" w:eastAsia="zh-CN"/>
        </w:rPr>
        <w:t>180000.00</w:t>
      </w:r>
      <w:r>
        <w:rPr>
          <w:rFonts w:hint="eastAsia" w:ascii="仿宋_GB2312" w:eastAsia="仿宋_GB2312" w:cs="仿宋_GB2312"/>
          <w:sz w:val="30"/>
          <w:szCs w:val="30"/>
        </w:rPr>
        <w:t>元，支出决算为88271.00元，完成年初预算数的</w:t>
      </w:r>
      <w:r>
        <w:rPr>
          <w:rFonts w:hint="eastAsia" w:ascii="仿宋_GB2312" w:eastAsia="仿宋_GB2312" w:cs="仿宋_GB2312"/>
          <w:sz w:val="30"/>
          <w:szCs w:val="30"/>
          <w:lang w:val="en-US" w:eastAsia="zh-CN"/>
        </w:rPr>
        <w:t>49.04</w:t>
      </w:r>
      <w:r>
        <w:rPr>
          <w:rFonts w:hint="eastAsia" w:ascii="仿宋_GB2312" w:eastAsia="仿宋_GB2312" w:cs="仿宋_GB2312"/>
          <w:sz w:val="30"/>
          <w:szCs w:val="30"/>
        </w:rPr>
        <w:t>%，决算数小于年初预算数的主要原因是</w:t>
      </w:r>
      <w:r>
        <w:rPr>
          <w:rFonts w:hint="eastAsia" w:ascii="仿宋_GB2312" w:eastAsia="仿宋_GB2312" w:cs="仿宋_GB2312"/>
          <w:sz w:val="30"/>
          <w:szCs w:val="30"/>
          <w:lang w:val="en-US" w:eastAsia="zh-CN"/>
        </w:rPr>
        <w:t>5月份以后</w:t>
      </w:r>
      <w:r>
        <w:rPr>
          <w:rFonts w:hint="eastAsia" w:eastAsia="仿宋_GB2312"/>
          <w:sz w:val="30"/>
          <w:szCs w:val="30"/>
          <w:u w:val="none"/>
          <w:lang w:eastAsia="zh-CN"/>
        </w:rPr>
        <w:t>变更发放方式由区一卡通发放</w:t>
      </w:r>
      <w:r>
        <w:rPr>
          <w:rFonts w:hint="eastAsia" w:ascii="仿宋_GB2312" w:eastAsia="仿宋_GB2312" w:cs="仿宋_GB2312"/>
          <w:sz w:val="30"/>
          <w:szCs w:val="30"/>
        </w:rPr>
        <w:t>。</w:t>
      </w:r>
      <w:r>
        <w:rPr>
          <w:rFonts w:hint="eastAsia" w:ascii="仿宋_GB2312" w:eastAsia="仿宋_GB2312" w:cs="仿宋_GB2312"/>
          <w:sz w:val="30"/>
          <w:szCs w:val="30"/>
        </w:rPr>
        <w:br w:type="textWrapping"/>
      </w:r>
      <w:r>
        <w:rPr>
          <w:rFonts w:hint="eastAsia" w:ascii="仿宋_GB2312" w:eastAsia="仿宋_GB2312" w:cs="仿宋_GB2312"/>
          <w:sz w:val="30"/>
          <w:szCs w:val="30"/>
        </w:rPr>
        <w:t xml:space="preserve">    社会保障和就业支出（类）社会福利（款）老年福利（项）年初预算为</w:t>
      </w:r>
      <w:r>
        <w:rPr>
          <w:rFonts w:hint="eastAsia" w:ascii="仿宋_GB2312" w:eastAsia="仿宋_GB2312" w:cs="仿宋_GB2312"/>
          <w:sz w:val="30"/>
          <w:szCs w:val="30"/>
          <w:lang w:val="en-US" w:eastAsia="zh-CN"/>
        </w:rPr>
        <w:t>325200.00</w:t>
      </w:r>
      <w:r>
        <w:rPr>
          <w:rFonts w:hint="eastAsia" w:ascii="仿宋_GB2312" w:eastAsia="仿宋_GB2312" w:cs="仿宋_GB2312"/>
          <w:sz w:val="30"/>
          <w:szCs w:val="30"/>
        </w:rPr>
        <w:t>元，支出决算为145098.00元，完成年初预算数的</w:t>
      </w:r>
      <w:r>
        <w:rPr>
          <w:rFonts w:hint="eastAsia" w:ascii="仿宋_GB2312" w:eastAsia="仿宋_GB2312" w:cs="仿宋_GB2312"/>
          <w:sz w:val="30"/>
          <w:szCs w:val="30"/>
          <w:lang w:val="en-US" w:eastAsia="zh-CN"/>
        </w:rPr>
        <w:t>44.62</w:t>
      </w:r>
      <w:r>
        <w:rPr>
          <w:rFonts w:hint="eastAsia" w:ascii="仿宋_GB2312" w:eastAsia="仿宋_GB2312" w:cs="仿宋_GB2312"/>
          <w:sz w:val="30"/>
          <w:szCs w:val="30"/>
        </w:rPr>
        <w:t>%，决算数小于年初预算数的主要原因是</w:t>
      </w:r>
      <w:r>
        <w:rPr>
          <w:rFonts w:hint="eastAsia" w:ascii="仿宋_GB2312" w:eastAsia="仿宋_GB2312" w:cs="仿宋_GB2312"/>
          <w:sz w:val="30"/>
          <w:szCs w:val="30"/>
          <w:lang w:val="en-US" w:eastAsia="zh-CN"/>
        </w:rPr>
        <w:t>5月份以后</w:t>
      </w:r>
      <w:r>
        <w:rPr>
          <w:rFonts w:hint="eastAsia" w:eastAsia="仿宋_GB2312"/>
          <w:sz w:val="30"/>
          <w:szCs w:val="30"/>
          <w:u w:val="none"/>
          <w:lang w:eastAsia="zh-CN"/>
        </w:rPr>
        <w:t>变更发放方式由区一卡通发放。</w:t>
      </w:r>
      <w:r>
        <w:rPr>
          <w:rFonts w:hint="eastAsia" w:ascii="仿宋_GB2312" w:eastAsia="仿宋_GB2312" w:cs="仿宋_GB2312"/>
          <w:sz w:val="30"/>
          <w:szCs w:val="30"/>
        </w:rPr>
        <w:br w:type="textWrapping"/>
      </w:r>
      <w:r>
        <w:rPr>
          <w:rFonts w:hint="eastAsia" w:ascii="仿宋_GB2312" w:eastAsia="仿宋_GB2312" w:cs="仿宋_GB2312"/>
          <w:sz w:val="30"/>
          <w:szCs w:val="30"/>
        </w:rPr>
        <w:t xml:space="preserve">    社会保障和就业支出（类）残疾人事业（款）残疾人康复（项）年初预算为</w:t>
      </w:r>
      <w:r>
        <w:rPr>
          <w:rFonts w:hint="eastAsia" w:ascii="仿宋_GB2312" w:eastAsia="仿宋_GB2312" w:cs="仿宋_GB2312"/>
          <w:sz w:val="30"/>
          <w:szCs w:val="30"/>
          <w:lang w:val="en-US" w:eastAsia="zh-CN"/>
        </w:rPr>
        <w:t>260689.38</w:t>
      </w:r>
      <w:r>
        <w:rPr>
          <w:rFonts w:hint="eastAsia" w:ascii="仿宋_GB2312" w:eastAsia="仿宋_GB2312" w:cs="仿宋_GB2312"/>
          <w:sz w:val="30"/>
          <w:szCs w:val="30"/>
        </w:rPr>
        <w:t>元，支出决算为183626.05元，完成年初预算数的</w:t>
      </w:r>
      <w:r>
        <w:rPr>
          <w:rFonts w:hint="eastAsia" w:ascii="仿宋_GB2312" w:eastAsia="仿宋_GB2312" w:cs="仿宋_GB2312"/>
          <w:sz w:val="30"/>
          <w:szCs w:val="30"/>
          <w:lang w:val="en-US" w:eastAsia="zh-CN"/>
        </w:rPr>
        <w:t>70.44</w:t>
      </w:r>
      <w:r>
        <w:rPr>
          <w:rFonts w:hint="eastAsia" w:ascii="仿宋_GB2312" w:eastAsia="仿宋_GB2312" w:cs="仿宋_GB2312"/>
          <w:sz w:val="30"/>
          <w:szCs w:val="30"/>
        </w:rPr>
        <w:t>%，决算数小于年初预算数的主要原因是</w:t>
      </w:r>
      <w:r>
        <w:rPr>
          <w:rFonts w:hint="eastAsia" w:eastAsia="仿宋_GB2312"/>
          <w:sz w:val="30"/>
          <w:szCs w:val="30"/>
          <w:highlight w:val="none"/>
          <w:u w:val="none"/>
          <w:lang w:eastAsia="zh-CN"/>
        </w:rPr>
        <w:t>部分补助人员有所变动，生活保障标准有所调整</w:t>
      </w:r>
      <w:r>
        <w:rPr>
          <w:rFonts w:hint="eastAsia" w:ascii="仿宋_GB2312" w:eastAsia="仿宋_GB2312" w:cs="仿宋_GB2312"/>
          <w:sz w:val="30"/>
          <w:szCs w:val="30"/>
          <w:highlight w:val="none"/>
          <w:u w:val="none"/>
          <w:lang w:val="en-US" w:eastAsia="zh-CN"/>
        </w:rPr>
        <w:t>，按实际情况发放</w:t>
      </w:r>
      <w:r>
        <w:rPr>
          <w:rFonts w:hint="eastAsia" w:ascii="仿宋_GB2312" w:eastAsia="仿宋_GB2312" w:cs="仿宋_GB2312"/>
          <w:sz w:val="30"/>
          <w:szCs w:val="30"/>
        </w:rPr>
        <w:t>。</w:t>
      </w:r>
      <w:r>
        <w:rPr>
          <w:rFonts w:hint="eastAsia" w:ascii="仿宋_GB2312" w:eastAsia="仿宋_GB2312" w:cs="仿宋_GB2312"/>
          <w:sz w:val="30"/>
          <w:szCs w:val="30"/>
        </w:rPr>
        <w:br w:type="textWrapping"/>
      </w:r>
      <w:r>
        <w:rPr>
          <w:rFonts w:hint="eastAsia" w:ascii="仿宋_GB2312" w:eastAsia="仿宋_GB2312" w:cs="仿宋_GB2312"/>
          <w:sz w:val="30"/>
          <w:szCs w:val="30"/>
        </w:rPr>
        <w:t xml:space="preserve">    社会保障和就业支出（类）残疾人事业（款）残疾人就业（项）年初预算为</w:t>
      </w:r>
      <w:r>
        <w:rPr>
          <w:rFonts w:hint="eastAsia" w:ascii="仿宋_GB2312" w:eastAsia="仿宋_GB2312" w:cs="仿宋_GB2312"/>
          <w:sz w:val="30"/>
          <w:szCs w:val="30"/>
          <w:lang w:val="en-US" w:eastAsia="zh-CN"/>
        </w:rPr>
        <w:t>949620.64</w:t>
      </w:r>
      <w:r>
        <w:rPr>
          <w:rFonts w:hint="eastAsia" w:ascii="仿宋_GB2312" w:eastAsia="仿宋_GB2312" w:cs="仿宋_GB2312"/>
          <w:sz w:val="30"/>
          <w:szCs w:val="30"/>
        </w:rPr>
        <w:t>元，支出决算为1567433.30元，完成年初预算数的</w:t>
      </w:r>
      <w:r>
        <w:rPr>
          <w:rFonts w:hint="eastAsia" w:ascii="仿宋_GB2312" w:eastAsia="仿宋_GB2312" w:cs="仿宋_GB2312"/>
          <w:sz w:val="30"/>
          <w:szCs w:val="30"/>
          <w:lang w:val="en-US" w:eastAsia="zh-CN"/>
        </w:rPr>
        <w:t>165.06</w:t>
      </w:r>
      <w:r>
        <w:rPr>
          <w:rFonts w:hint="eastAsia" w:ascii="仿宋_GB2312" w:eastAsia="仿宋_GB2312" w:cs="仿宋_GB2312"/>
          <w:sz w:val="30"/>
          <w:szCs w:val="30"/>
        </w:rPr>
        <w:t>%，决算数大于年初预算数的主要原因是</w:t>
      </w:r>
      <w:r>
        <w:rPr>
          <w:rFonts w:hint="eastAsia" w:eastAsia="仿宋_GB2312"/>
          <w:sz w:val="30"/>
          <w:szCs w:val="30"/>
          <w:highlight w:val="none"/>
          <w:u w:val="none"/>
          <w:lang w:eastAsia="zh-CN"/>
        </w:rPr>
        <w:t>部分补助人员有所变动，生活保障标准有所调整，</w:t>
      </w:r>
      <w:r>
        <w:rPr>
          <w:rFonts w:hint="eastAsia" w:ascii="仿宋_GB2312" w:eastAsia="仿宋_GB2312" w:cs="仿宋_GB2312"/>
          <w:sz w:val="30"/>
          <w:szCs w:val="30"/>
          <w:highlight w:val="none"/>
          <w:u w:val="none"/>
          <w:lang w:val="en-US" w:eastAsia="zh-CN"/>
        </w:rPr>
        <w:t>按实际情况支付</w:t>
      </w:r>
      <w:r>
        <w:rPr>
          <w:rFonts w:hint="eastAsia" w:ascii="仿宋_GB2312" w:eastAsia="仿宋_GB2312" w:cs="仿宋_GB2312"/>
          <w:sz w:val="30"/>
          <w:szCs w:val="30"/>
        </w:rPr>
        <w:t>。</w:t>
      </w:r>
      <w:r>
        <w:rPr>
          <w:rFonts w:hint="eastAsia" w:ascii="仿宋_GB2312" w:eastAsia="仿宋_GB2312" w:cs="仿宋_GB2312"/>
          <w:sz w:val="30"/>
          <w:szCs w:val="30"/>
        </w:rPr>
        <w:br w:type="textWrapping"/>
      </w:r>
      <w:r>
        <w:rPr>
          <w:rFonts w:hint="eastAsia" w:ascii="仿宋_GB2312" w:eastAsia="仿宋_GB2312" w:cs="仿宋_GB2312"/>
          <w:sz w:val="30"/>
          <w:szCs w:val="30"/>
        </w:rPr>
        <w:t xml:space="preserve">    社会保障和就业支出（类）残疾人事业（款）残疾人生活和护理补贴（项）年初预算为</w:t>
      </w:r>
      <w:r>
        <w:rPr>
          <w:rFonts w:hint="eastAsia" w:ascii="仿宋_GB2312" w:eastAsia="仿宋_GB2312" w:cs="仿宋_GB2312"/>
          <w:sz w:val="30"/>
          <w:szCs w:val="30"/>
          <w:lang w:val="en-US" w:eastAsia="zh-CN"/>
        </w:rPr>
        <w:t>1010000.00</w:t>
      </w:r>
      <w:r>
        <w:rPr>
          <w:rFonts w:hint="eastAsia" w:ascii="仿宋_GB2312" w:eastAsia="仿宋_GB2312" w:cs="仿宋_GB2312"/>
          <w:sz w:val="30"/>
          <w:szCs w:val="30"/>
        </w:rPr>
        <w:t>元，支出决算为586540.00元，完成年初预算数的</w:t>
      </w:r>
      <w:r>
        <w:rPr>
          <w:rFonts w:hint="eastAsia" w:ascii="仿宋_GB2312" w:eastAsia="仿宋_GB2312" w:cs="仿宋_GB2312"/>
          <w:sz w:val="30"/>
          <w:szCs w:val="30"/>
          <w:lang w:val="en-US" w:eastAsia="zh-CN"/>
        </w:rPr>
        <w:t>58.07</w:t>
      </w:r>
      <w:r>
        <w:rPr>
          <w:rFonts w:hint="eastAsia" w:ascii="仿宋_GB2312" w:eastAsia="仿宋_GB2312" w:cs="仿宋_GB2312"/>
          <w:sz w:val="30"/>
          <w:szCs w:val="30"/>
        </w:rPr>
        <w:t>%，决算数小于年初预算数的主要原因是</w:t>
      </w:r>
      <w:r>
        <w:rPr>
          <w:rFonts w:hint="eastAsia" w:ascii="仿宋_GB2312" w:eastAsia="仿宋_GB2312" w:cs="仿宋_GB2312"/>
          <w:sz w:val="30"/>
          <w:szCs w:val="30"/>
          <w:lang w:val="en-US" w:eastAsia="zh-CN"/>
        </w:rPr>
        <w:t>5月份以后</w:t>
      </w:r>
      <w:r>
        <w:rPr>
          <w:rFonts w:hint="eastAsia" w:eastAsia="仿宋_GB2312"/>
          <w:sz w:val="30"/>
          <w:szCs w:val="30"/>
          <w:u w:val="none"/>
          <w:lang w:eastAsia="zh-CN"/>
        </w:rPr>
        <w:t>变更发放方式由区一卡通发放</w:t>
      </w:r>
      <w:r>
        <w:rPr>
          <w:rFonts w:hint="eastAsia" w:ascii="仿宋_GB2312" w:eastAsia="仿宋_GB2312" w:cs="仿宋_GB2312"/>
          <w:sz w:val="30"/>
          <w:szCs w:val="30"/>
        </w:rPr>
        <w:t>。</w:t>
      </w:r>
      <w:r>
        <w:rPr>
          <w:rFonts w:hint="eastAsia" w:ascii="仿宋_GB2312" w:eastAsia="仿宋_GB2312" w:cs="仿宋_GB2312"/>
          <w:sz w:val="30"/>
          <w:szCs w:val="30"/>
        </w:rPr>
        <w:br w:type="textWrapping"/>
      </w:r>
      <w:r>
        <w:rPr>
          <w:rFonts w:hint="eastAsia" w:ascii="仿宋_GB2312" w:eastAsia="仿宋_GB2312" w:cs="仿宋_GB2312"/>
          <w:sz w:val="30"/>
          <w:szCs w:val="30"/>
        </w:rPr>
        <w:t xml:space="preserve">    社会保障和就业支出（类）残疾人事业（款）其他残疾人事业支出（项）年初预算为</w:t>
      </w:r>
      <w:r>
        <w:rPr>
          <w:rFonts w:hint="eastAsia" w:ascii="仿宋_GB2312" w:eastAsia="仿宋_GB2312" w:cs="仿宋_GB2312"/>
          <w:sz w:val="30"/>
          <w:szCs w:val="30"/>
          <w:lang w:val="en-US" w:eastAsia="zh-CN"/>
        </w:rPr>
        <w:t>168313.00</w:t>
      </w:r>
      <w:r>
        <w:rPr>
          <w:rFonts w:hint="eastAsia" w:ascii="仿宋_GB2312" w:eastAsia="仿宋_GB2312" w:cs="仿宋_GB2312"/>
          <w:sz w:val="30"/>
          <w:szCs w:val="30"/>
        </w:rPr>
        <w:t>元，支出决算为155860.00元，完成年初预算数的</w:t>
      </w:r>
      <w:r>
        <w:rPr>
          <w:rFonts w:hint="eastAsia" w:ascii="仿宋_GB2312" w:eastAsia="仿宋_GB2312" w:cs="仿宋_GB2312"/>
          <w:sz w:val="30"/>
          <w:szCs w:val="30"/>
          <w:lang w:val="en-US" w:eastAsia="zh-CN"/>
        </w:rPr>
        <w:t>92.06</w:t>
      </w:r>
      <w:r>
        <w:rPr>
          <w:rFonts w:hint="eastAsia" w:ascii="仿宋_GB2312" w:eastAsia="仿宋_GB2312" w:cs="仿宋_GB2312"/>
          <w:sz w:val="30"/>
          <w:szCs w:val="30"/>
        </w:rPr>
        <w:t>%，决算数小于年初预算数的主要原因是</w:t>
      </w:r>
      <w:r>
        <w:rPr>
          <w:rFonts w:hint="eastAsia" w:ascii="仿宋_GB2312" w:eastAsia="仿宋_GB2312" w:cs="仿宋_GB2312"/>
          <w:sz w:val="30"/>
          <w:szCs w:val="30"/>
          <w:highlight w:val="none"/>
          <w:u w:val="none"/>
          <w:lang w:val="en-US" w:eastAsia="zh-CN"/>
        </w:rPr>
        <w:t>按实际情况支付，</w:t>
      </w:r>
      <w:r>
        <w:rPr>
          <w:rFonts w:hint="eastAsia" w:eastAsia="仿宋_GB2312"/>
          <w:sz w:val="30"/>
          <w:szCs w:val="30"/>
          <w:highlight w:val="none"/>
          <w:u w:val="none"/>
          <w:lang w:eastAsia="zh-CN"/>
        </w:rPr>
        <w:t>部分补助人员有所变动，生活保障标准有所调整</w:t>
      </w:r>
      <w:r>
        <w:rPr>
          <w:rFonts w:hint="eastAsia" w:ascii="仿宋_GB2312" w:eastAsia="仿宋_GB2312" w:cs="仿宋_GB2312"/>
          <w:sz w:val="30"/>
          <w:szCs w:val="30"/>
        </w:rPr>
        <w:t>。</w:t>
      </w:r>
      <w:r>
        <w:rPr>
          <w:rFonts w:hint="eastAsia" w:ascii="仿宋_GB2312" w:eastAsia="仿宋_GB2312" w:cs="仿宋_GB2312"/>
          <w:sz w:val="30"/>
          <w:szCs w:val="30"/>
        </w:rPr>
        <w:br w:type="textWrapping"/>
      </w:r>
      <w:r>
        <w:rPr>
          <w:rFonts w:hint="eastAsia" w:ascii="仿宋_GB2312" w:eastAsia="仿宋_GB2312" w:cs="仿宋_GB2312"/>
          <w:sz w:val="30"/>
          <w:szCs w:val="30"/>
        </w:rPr>
        <w:t xml:space="preserve">    社会保障和就业支出（类）最低生活保障（款）城市最低生活保障金支出（项）年初预算为</w:t>
      </w:r>
      <w:r>
        <w:rPr>
          <w:rFonts w:hint="eastAsia" w:ascii="仿宋_GB2312" w:eastAsia="仿宋_GB2312" w:cs="仿宋_GB2312"/>
          <w:sz w:val="30"/>
          <w:szCs w:val="30"/>
          <w:lang w:val="en-US" w:eastAsia="zh-CN"/>
        </w:rPr>
        <w:t>400000.00</w:t>
      </w:r>
      <w:r>
        <w:rPr>
          <w:rFonts w:hint="eastAsia" w:ascii="仿宋_GB2312" w:eastAsia="仿宋_GB2312" w:cs="仿宋_GB2312"/>
          <w:sz w:val="30"/>
          <w:szCs w:val="30"/>
        </w:rPr>
        <w:t>元，支出决算为254856.00元，完成年初预算数的</w:t>
      </w:r>
      <w:r>
        <w:rPr>
          <w:rFonts w:hint="eastAsia" w:ascii="仿宋_GB2312" w:eastAsia="仿宋_GB2312" w:cs="仿宋_GB2312"/>
          <w:sz w:val="30"/>
          <w:szCs w:val="30"/>
          <w:lang w:val="en-US" w:eastAsia="zh-CN"/>
        </w:rPr>
        <w:t>63.71</w:t>
      </w:r>
      <w:r>
        <w:rPr>
          <w:rFonts w:hint="eastAsia" w:ascii="仿宋_GB2312" w:eastAsia="仿宋_GB2312" w:cs="仿宋_GB2312"/>
          <w:sz w:val="30"/>
          <w:szCs w:val="30"/>
        </w:rPr>
        <w:t>%，决算数小于年初预算数的主要原因是</w:t>
      </w:r>
      <w:r>
        <w:rPr>
          <w:rFonts w:hint="eastAsia" w:ascii="仿宋_GB2312" w:eastAsia="仿宋_GB2312" w:cs="仿宋_GB2312"/>
          <w:sz w:val="30"/>
          <w:szCs w:val="30"/>
          <w:lang w:val="en-US" w:eastAsia="zh-CN"/>
        </w:rPr>
        <w:t>5月份以后</w:t>
      </w:r>
      <w:r>
        <w:rPr>
          <w:rFonts w:hint="eastAsia" w:eastAsia="仿宋_GB2312"/>
          <w:sz w:val="30"/>
          <w:szCs w:val="30"/>
          <w:u w:val="none"/>
          <w:lang w:eastAsia="zh-CN"/>
        </w:rPr>
        <w:t>变更发放方式由区一卡通发放</w:t>
      </w:r>
      <w:r>
        <w:rPr>
          <w:rFonts w:hint="eastAsia" w:ascii="仿宋_GB2312" w:eastAsia="仿宋_GB2312" w:cs="仿宋_GB2312"/>
          <w:sz w:val="30"/>
          <w:szCs w:val="30"/>
        </w:rPr>
        <w:t>。</w:t>
      </w:r>
      <w:r>
        <w:rPr>
          <w:rFonts w:hint="eastAsia" w:ascii="仿宋_GB2312" w:eastAsia="仿宋_GB2312" w:cs="仿宋_GB2312"/>
          <w:sz w:val="30"/>
          <w:szCs w:val="30"/>
        </w:rPr>
        <w:br w:type="textWrapping"/>
      </w:r>
      <w:r>
        <w:rPr>
          <w:rFonts w:hint="eastAsia" w:ascii="仿宋_GB2312" w:eastAsia="仿宋_GB2312" w:cs="仿宋_GB2312"/>
          <w:sz w:val="30"/>
          <w:szCs w:val="30"/>
        </w:rPr>
        <w:t xml:space="preserve">    社会保障和就业支出（类）最低生活保障（款）农村最低生活保障金支出（项）年初预算为</w:t>
      </w:r>
      <w:r>
        <w:rPr>
          <w:rFonts w:hint="eastAsia" w:ascii="仿宋_GB2312" w:eastAsia="仿宋_GB2312" w:cs="仿宋_GB2312"/>
          <w:sz w:val="30"/>
          <w:szCs w:val="30"/>
          <w:lang w:val="en-US" w:eastAsia="zh-CN"/>
        </w:rPr>
        <w:t>8200000.00</w:t>
      </w:r>
      <w:r>
        <w:rPr>
          <w:rFonts w:hint="eastAsia" w:ascii="仿宋_GB2312" w:eastAsia="仿宋_GB2312" w:cs="仿宋_GB2312"/>
          <w:sz w:val="30"/>
          <w:szCs w:val="30"/>
        </w:rPr>
        <w:t>元，支出决算为3003406.00元，完成年初预算数的</w:t>
      </w:r>
      <w:r>
        <w:rPr>
          <w:rFonts w:hint="eastAsia" w:ascii="仿宋_GB2312" w:eastAsia="仿宋_GB2312" w:cs="仿宋_GB2312"/>
          <w:sz w:val="30"/>
          <w:szCs w:val="30"/>
          <w:lang w:val="en-US" w:eastAsia="zh-CN"/>
        </w:rPr>
        <w:t>36.63</w:t>
      </w:r>
      <w:r>
        <w:rPr>
          <w:rFonts w:hint="eastAsia" w:ascii="仿宋_GB2312" w:eastAsia="仿宋_GB2312" w:cs="仿宋_GB2312"/>
          <w:sz w:val="30"/>
          <w:szCs w:val="30"/>
        </w:rPr>
        <w:t>%，决算数小于年初预算数的主要原因是</w:t>
      </w:r>
      <w:r>
        <w:rPr>
          <w:rFonts w:hint="eastAsia" w:ascii="仿宋_GB2312" w:eastAsia="仿宋_GB2312" w:cs="仿宋_GB2312"/>
          <w:sz w:val="30"/>
          <w:szCs w:val="30"/>
          <w:lang w:val="en-US" w:eastAsia="zh-CN"/>
        </w:rPr>
        <w:t>5月份以后</w:t>
      </w:r>
      <w:r>
        <w:rPr>
          <w:rFonts w:hint="eastAsia" w:eastAsia="仿宋_GB2312"/>
          <w:sz w:val="30"/>
          <w:szCs w:val="30"/>
          <w:u w:val="none"/>
          <w:lang w:eastAsia="zh-CN"/>
        </w:rPr>
        <w:t>变更发放方式由区一卡通发放</w:t>
      </w:r>
      <w:r>
        <w:rPr>
          <w:rFonts w:hint="eastAsia" w:ascii="仿宋_GB2312" w:eastAsia="仿宋_GB2312" w:cs="仿宋_GB2312"/>
          <w:sz w:val="30"/>
          <w:szCs w:val="30"/>
        </w:rPr>
        <w:t>。</w:t>
      </w:r>
      <w:r>
        <w:rPr>
          <w:rFonts w:hint="eastAsia" w:ascii="仿宋_GB2312" w:eastAsia="仿宋_GB2312" w:cs="仿宋_GB2312"/>
          <w:sz w:val="30"/>
          <w:szCs w:val="30"/>
        </w:rPr>
        <w:br w:type="textWrapping"/>
      </w:r>
      <w:r>
        <w:rPr>
          <w:rFonts w:hint="eastAsia" w:ascii="仿宋_GB2312" w:eastAsia="仿宋_GB2312" w:cs="仿宋_GB2312"/>
          <w:sz w:val="30"/>
          <w:szCs w:val="30"/>
        </w:rPr>
        <w:t xml:space="preserve">    社会保障和就业支出（类）临时救助（款）临时救助支出（项）年初预算为</w:t>
      </w:r>
      <w:r>
        <w:rPr>
          <w:rFonts w:hint="eastAsia" w:ascii="仿宋_GB2312" w:eastAsia="仿宋_GB2312" w:cs="仿宋_GB2312"/>
          <w:sz w:val="30"/>
          <w:szCs w:val="30"/>
          <w:lang w:val="en-US" w:eastAsia="zh-CN"/>
        </w:rPr>
        <w:t>780000.00</w:t>
      </w:r>
      <w:r>
        <w:rPr>
          <w:rFonts w:hint="eastAsia" w:ascii="仿宋_GB2312" w:eastAsia="仿宋_GB2312" w:cs="仿宋_GB2312"/>
          <w:sz w:val="30"/>
          <w:szCs w:val="30"/>
        </w:rPr>
        <w:t>元，支出决算为720460.00元，完成年初预算数的</w:t>
      </w:r>
      <w:r>
        <w:rPr>
          <w:rFonts w:hint="eastAsia" w:ascii="仿宋_GB2312" w:eastAsia="仿宋_GB2312" w:cs="仿宋_GB2312"/>
          <w:sz w:val="30"/>
          <w:szCs w:val="30"/>
          <w:lang w:val="en-US" w:eastAsia="zh-CN"/>
        </w:rPr>
        <w:t>92.37</w:t>
      </w:r>
      <w:r>
        <w:rPr>
          <w:rFonts w:hint="eastAsia" w:ascii="仿宋_GB2312" w:eastAsia="仿宋_GB2312" w:cs="仿宋_GB2312"/>
          <w:sz w:val="30"/>
          <w:szCs w:val="30"/>
        </w:rPr>
        <w:t>%，决算数小于年初预算数的主要原因是</w:t>
      </w:r>
      <w:r>
        <w:rPr>
          <w:rFonts w:hint="eastAsia" w:ascii="仿宋_GB2312" w:eastAsia="仿宋_GB2312" w:cs="仿宋_GB2312"/>
          <w:sz w:val="30"/>
          <w:szCs w:val="30"/>
          <w:highlight w:val="none"/>
          <w:u w:val="none"/>
          <w:lang w:val="en-US" w:eastAsia="zh-CN"/>
        </w:rPr>
        <w:t>按实际情况支付，</w:t>
      </w:r>
      <w:r>
        <w:rPr>
          <w:rFonts w:hint="eastAsia" w:eastAsia="仿宋_GB2312"/>
          <w:sz w:val="30"/>
          <w:szCs w:val="30"/>
          <w:highlight w:val="none"/>
          <w:u w:val="none"/>
          <w:lang w:eastAsia="zh-CN"/>
        </w:rPr>
        <w:t>补助人员随时变动，补助标准有所调整</w:t>
      </w:r>
      <w:r>
        <w:rPr>
          <w:rFonts w:hint="eastAsia" w:ascii="仿宋_GB2312" w:eastAsia="仿宋_GB2312" w:cs="仿宋_GB2312"/>
          <w:sz w:val="30"/>
          <w:szCs w:val="30"/>
        </w:rPr>
        <w:t>。</w:t>
      </w:r>
      <w:r>
        <w:rPr>
          <w:rFonts w:hint="eastAsia" w:ascii="仿宋_GB2312" w:eastAsia="仿宋_GB2312" w:cs="仿宋_GB2312"/>
          <w:sz w:val="30"/>
          <w:szCs w:val="30"/>
        </w:rPr>
        <w:br w:type="textWrapping"/>
      </w:r>
      <w:r>
        <w:rPr>
          <w:rFonts w:hint="eastAsia" w:ascii="仿宋_GB2312" w:eastAsia="仿宋_GB2312" w:cs="仿宋_GB2312"/>
          <w:sz w:val="30"/>
          <w:szCs w:val="30"/>
        </w:rPr>
        <w:t xml:space="preserve">    社会保障和就业支出（类）特困人员救助供养（款）农村特困人员救助供养支出（项）年初预算为</w:t>
      </w:r>
      <w:r>
        <w:rPr>
          <w:rFonts w:hint="eastAsia" w:ascii="仿宋_GB2312" w:eastAsia="仿宋_GB2312" w:cs="仿宋_GB2312"/>
          <w:sz w:val="30"/>
          <w:szCs w:val="30"/>
          <w:lang w:val="en-US" w:eastAsia="zh-CN"/>
        </w:rPr>
        <w:t>80000.00</w:t>
      </w:r>
      <w:r>
        <w:rPr>
          <w:rFonts w:hint="eastAsia" w:ascii="仿宋_GB2312" w:eastAsia="仿宋_GB2312" w:cs="仿宋_GB2312"/>
          <w:sz w:val="30"/>
          <w:szCs w:val="30"/>
        </w:rPr>
        <w:t>元，支出决算为30880.00元，完成年初预算数的</w:t>
      </w:r>
      <w:r>
        <w:rPr>
          <w:rFonts w:hint="eastAsia" w:ascii="仿宋_GB2312" w:eastAsia="仿宋_GB2312" w:cs="仿宋_GB2312"/>
          <w:sz w:val="30"/>
          <w:szCs w:val="30"/>
          <w:lang w:val="en-US" w:eastAsia="zh-CN"/>
        </w:rPr>
        <w:t>38.6</w:t>
      </w:r>
      <w:r>
        <w:rPr>
          <w:rFonts w:hint="eastAsia" w:ascii="仿宋_GB2312" w:eastAsia="仿宋_GB2312" w:cs="仿宋_GB2312"/>
          <w:sz w:val="30"/>
          <w:szCs w:val="30"/>
        </w:rPr>
        <w:t>%，决算数小于年初预算数的主要原因是</w:t>
      </w:r>
      <w:r>
        <w:rPr>
          <w:rFonts w:hint="eastAsia" w:ascii="仿宋_GB2312" w:eastAsia="仿宋_GB2312" w:cs="仿宋_GB2312"/>
          <w:sz w:val="30"/>
          <w:szCs w:val="30"/>
          <w:lang w:val="en-US" w:eastAsia="zh-CN"/>
        </w:rPr>
        <w:t>5月份以后</w:t>
      </w:r>
      <w:r>
        <w:rPr>
          <w:rFonts w:hint="eastAsia" w:eastAsia="仿宋_GB2312"/>
          <w:sz w:val="30"/>
          <w:szCs w:val="30"/>
          <w:u w:val="none"/>
          <w:lang w:eastAsia="zh-CN"/>
        </w:rPr>
        <w:t>变更发放方式由区一卡通发放</w:t>
      </w:r>
      <w:r>
        <w:rPr>
          <w:rFonts w:hint="eastAsia" w:ascii="仿宋_GB2312" w:eastAsia="仿宋_GB2312" w:cs="仿宋_GB2312"/>
          <w:sz w:val="30"/>
          <w:szCs w:val="30"/>
        </w:rPr>
        <w:t>。</w:t>
      </w:r>
      <w:r>
        <w:rPr>
          <w:rFonts w:hint="eastAsia" w:ascii="仿宋_GB2312" w:eastAsia="仿宋_GB2312" w:cs="仿宋_GB2312"/>
          <w:sz w:val="30"/>
          <w:szCs w:val="30"/>
        </w:rPr>
        <w:br w:type="textWrapping"/>
      </w:r>
      <w:r>
        <w:rPr>
          <w:rFonts w:hint="eastAsia" w:ascii="仿宋_GB2312" w:eastAsia="仿宋_GB2312" w:cs="仿宋_GB2312"/>
          <w:sz w:val="30"/>
          <w:szCs w:val="30"/>
        </w:rPr>
        <w:t xml:space="preserve">    社会保障和就业支出（类）其他生活救助（款）其他城市生活救助（项）年初预算为</w:t>
      </w:r>
      <w:r>
        <w:rPr>
          <w:rFonts w:hint="eastAsia" w:ascii="仿宋_GB2312" w:eastAsia="仿宋_GB2312" w:cs="仿宋_GB2312"/>
          <w:sz w:val="30"/>
          <w:szCs w:val="30"/>
          <w:lang w:val="en-US" w:eastAsia="zh-CN"/>
        </w:rPr>
        <w:t>180000.00</w:t>
      </w:r>
      <w:r>
        <w:rPr>
          <w:rFonts w:hint="eastAsia" w:ascii="仿宋_GB2312" w:eastAsia="仿宋_GB2312" w:cs="仿宋_GB2312"/>
          <w:sz w:val="30"/>
          <w:szCs w:val="30"/>
        </w:rPr>
        <w:t>元，支出决算为79200.00元，完成年初预算数的</w:t>
      </w:r>
      <w:r>
        <w:rPr>
          <w:rFonts w:hint="eastAsia" w:ascii="仿宋_GB2312" w:eastAsia="仿宋_GB2312" w:cs="仿宋_GB2312"/>
          <w:sz w:val="30"/>
          <w:szCs w:val="30"/>
          <w:lang w:val="en-US" w:eastAsia="zh-CN"/>
        </w:rPr>
        <w:t>44.00</w:t>
      </w:r>
      <w:r>
        <w:rPr>
          <w:rFonts w:hint="eastAsia" w:ascii="仿宋_GB2312" w:eastAsia="仿宋_GB2312" w:cs="仿宋_GB2312"/>
          <w:sz w:val="30"/>
          <w:szCs w:val="30"/>
        </w:rPr>
        <w:t>%，决算数小于年初预算数的主要原因是</w:t>
      </w:r>
      <w:r>
        <w:rPr>
          <w:rFonts w:hint="eastAsia" w:ascii="仿宋_GB2312" w:eastAsia="仿宋_GB2312" w:cs="仿宋_GB2312"/>
          <w:sz w:val="30"/>
          <w:szCs w:val="30"/>
          <w:lang w:val="en-US" w:eastAsia="zh-CN"/>
        </w:rPr>
        <w:t>5月份以后</w:t>
      </w:r>
      <w:r>
        <w:rPr>
          <w:rFonts w:hint="eastAsia" w:eastAsia="仿宋_GB2312"/>
          <w:sz w:val="30"/>
          <w:szCs w:val="30"/>
          <w:u w:val="none"/>
          <w:lang w:eastAsia="zh-CN"/>
        </w:rPr>
        <w:t>变更发放方式由区一卡通发放</w:t>
      </w:r>
      <w:r>
        <w:rPr>
          <w:rFonts w:hint="eastAsia" w:ascii="仿宋_GB2312" w:eastAsia="仿宋_GB2312" w:cs="仿宋_GB2312"/>
          <w:sz w:val="30"/>
          <w:szCs w:val="30"/>
        </w:rPr>
        <w:t>。</w:t>
      </w:r>
      <w:r>
        <w:rPr>
          <w:rFonts w:hint="eastAsia" w:ascii="仿宋_GB2312" w:eastAsia="仿宋_GB2312" w:cs="仿宋_GB2312"/>
          <w:sz w:val="30"/>
          <w:szCs w:val="30"/>
        </w:rPr>
        <w:br w:type="textWrapping"/>
      </w:r>
      <w:r>
        <w:rPr>
          <w:rFonts w:hint="eastAsia" w:ascii="仿宋_GB2312" w:eastAsia="仿宋_GB2312" w:cs="仿宋_GB2312"/>
          <w:sz w:val="30"/>
          <w:szCs w:val="30"/>
        </w:rPr>
        <w:t xml:space="preserve">    社会保障和就业支出（类）退役军人管理事务（款）其他退役军人事务管理支出（项）年初预算为</w:t>
      </w:r>
      <w:r>
        <w:rPr>
          <w:rFonts w:hint="eastAsia" w:ascii="仿宋_GB2312" w:eastAsia="仿宋_GB2312" w:cs="仿宋_GB2312"/>
          <w:sz w:val="30"/>
          <w:szCs w:val="30"/>
          <w:u w:val="none"/>
          <w:lang w:val="en-US" w:eastAsia="zh-CN"/>
        </w:rPr>
        <w:t>276500.00</w:t>
      </w:r>
      <w:r>
        <w:rPr>
          <w:rFonts w:hint="eastAsia" w:ascii="仿宋_GB2312" w:eastAsia="仿宋_GB2312" w:cs="仿宋_GB2312"/>
          <w:sz w:val="30"/>
          <w:szCs w:val="30"/>
          <w:u w:val="none"/>
        </w:rPr>
        <w:t>元，支出决算为185044.00元，完成年初预算数的</w:t>
      </w:r>
      <w:r>
        <w:rPr>
          <w:rFonts w:hint="eastAsia" w:ascii="仿宋_GB2312" w:eastAsia="仿宋_GB2312" w:cs="仿宋_GB2312"/>
          <w:sz w:val="30"/>
          <w:szCs w:val="30"/>
          <w:u w:val="none"/>
          <w:lang w:val="en-US" w:eastAsia="zh-CN"/>
        </w:rPr>
        <w:t>66.92</w:t>
      </w:r>
      <w:r>
        <w:rPr>
          <w:rFonts w:hint="eastAsia" w:ascii="仿宋_GB2312" w:eastAsia="仿宋_GB2312" w:cs="仿宋_GB2312"/>
          <w:sz w:val="30"/>
          <w:szCs w:val="30"/>
          <w:u w:val="none"/>
        </w:rPr>
        <w:t>%，决算数小于年初预算数的主要原因是</w:t>
      </w:r>
      <w:r>
        <w:rPr>
          <w:rFonts w:hint="eastAsia" w:ascii="仿宋_GB2312" w:eastAsia="仿宋_GB2312" w:cs="仿宋_GB2312"/>
          <w:sz w:val="30"/>
          <w:szCs w:val="30"/>
          <w:u w:val="none"/>
          <w:lang w:eastAsia="zh-CN"/>
        </w:rPr>
        <w:t>本年退役军人补贴变更发放方式由</w:t>
      </w:r>
      <w:r>
        <w:rPr>
          <w:rFonts w:hint="eastAsia" w:eastAsia="仿宋_GB2312"/>
          <w:sz w:val="30"/>
          <w:szCs w:val="30"/>
          <w:u w:val="none"/>
          <w:lang w:eastAsia="zh-CN"/>
        </w:rPr>
        <w:t>区一卡通发放</w:t>
      </w:r>
      <w:r>
        <w:rPr>
          <w:rFonts w:hint="eastAsia" w:ascii="仿宋_GB2312" w:eastAsia="仿宋_GB2312" w:cs="仿宋_GB2312"/>
          <w:sz w:val="30"/>
          <w:szCs w:val="30"/>
          <w:u w:val="none"/>
        </w:rPr>
        <w:t>。</w:t>
      </w:r>
      <w:r>
        <w:rPr>
          <w:rFonts w:hint="eastAsia" w:ascii="仿宋_GB2312" w:eastAsia="仿宋_GB2312" w:cs="仿宋_GB2312"/>
          <w:sz w:val="30"/>
          <w:szCs w:val="30"/>
        </w:rPr>
        <w:br w:type="textWrapping"/>
      </w:r>
      <w:r>
        <w:rPr>
          <w:rFonts w:hint="eastAsia" w:ascii="仿宋_GB2312" w:eastAsia="仿宋_GB2312" w:cs="仿宋_GB2312"/>
          <w:sz w:val="30"/>
          <w:szCs w:val="30"/>
        </w:rPr>
        <w:t xml:space="preserve">    社会保障和就业支出（类）其他社会保障和就业支出（款）其他社会保障和就业支出（项）年初预算为</w:t>
      </w:r>
      <w:r>
        <w:rPr>
          <w:rFonts w:hint="eastAsia" w:ascii="仿宋_GB2312" w:eastAsia="仿宋_GB2312" w:cs="仿宋_GB2312"/>
          <w:sz w:val="30"/>
          <w:szCs w:val="30"/>
          <w:lang w:val="en-US" w:eastAsia="zh-CN"/>
        </w:rPr>
        <w:t>69500.00</w:t>
      </w:r>
      <w:r>
        <w:rPr>
          <w:rFonts w:hint="eastAsia" w:ascii="仿宋_GB2312" w:eastAsia="仿宋_GB2312" w:cs="仿宋_GB2312"/>
          <w:sz w:val="30"/>
          <w:szCs w:val="30"/>
        </w:rPr>
        <w:t>元，支出决算为8110.00元，完成年初预算数的</w:t>
      </w:r>
      <w:r>
        <w:rPr>
          <w:rFonts w:hint="eastAsia" w:ascii="仿宋_GB2312" w:eastAsia="仿宋_GB2312" w:cs="仿宋_GB2312"/>
          <w:sz w:val="30"/>
          <w:szCs w:val="30"/>
          <w:lang w:val="en-US" w:eastAsia="zh-CN"/>
        </w:rPr>
        <w:t>11.67</w:t>
      </w:r>
      <w:r>
        <w:rPr>
          <w:rFonts w:hint="eastAsia" w:ascii="仿宋_GB2312" w:eastAsia="仿宋_GB2312" w:cs="仿宋_GB2312"/>
          <w:sz w:val="30"/>
          <w:szCs w:val="30"/>
        </w:rPr>
        <w:t>%，决算数小于年初预算数的主要原因是</w:t>
      </w:r>
      <w:r>
        <w:rPr>
          <w:rFonts w:hint="eastAsia" w:ascii="仿宋_GB2312" w:eastAsia="仿宋_GB2312" w:cs="仿宋_GB2312"/>
          <w:sz w:val="30"/>
          <w:szCs w:val="30"/>
          <w:lang w:eastAsia="zh-CN"/>
        </w:rPr>
        <w:t>按实际情况支出，部分</w:t>
      </w:r>
      <w:r>
        <w:rPr>
          <w:rFonts w:hint="eastAsia" w:ascii="仿宋_GB2312" w:eastAsia="仿宋_GB2312" w:cs="仿宋_GB2312"/>
          <w:sz w:val="30"/>
          <w:szCs w:val="30"/>
          <w:highlight w:val="none"/>
          <w:u w:val="none"/>
          <w:lang w:val="en-US" w:eastAsia="zh-CN"/>
        </w:rPr>
        <w:t>培训未开展</w:t>
      </w:r>
      <w:r>
        <w:rPr>
          <w:rFonts w:hint="eastAsia" w:ascii="仿宋_GB2312" w:eastAsia="仿宋_GB2312" w:cs="仿宋_GB2312"/>
          <w:sz w:val="30"/>
          <w:szCs w:val="30"/>
        </w:rPr>
        <w:t>。</w:t>
      </w:r>
      <w:r>
        <w:rPr>
          <w:rFonts w:hint="eastAsia" w:ascii="仿宋_GB2312" w:eastAsia="仿宋_GB2312" w:cs="仿宋_GB2312"/>
          <w:sz w:val="30"/>
          <w:szCs w:val="30"/>
        </w:rPr>
        <w:br w:type="textWrapping"/>
      </w:r>
      <w:r>
        <w:rPr>
          <w:rFonts w:hint="eastAsia" w:ascii="仿宋_GB2312" w:eastAsia="仿宋_GB2312" w:cs="仿宋_GB2312"/>
          <w:sz w:val="30"/>
          <w:szCs w:val="30"/>
        </w:rPr>
        <w:t xml:space="preserve">    </w:t>
      </w:r>
      <w:r>
        <w:rPr>
          <w:rFonts w:hint="eastAsia" w:ascii="仿宋_GB2312" w:eastAsia="仿宋_GB2312" w:cs="仿宋_GB2312"/>
          <w:sz w:val="30"/>
          <w:szCs w:val="30"/>
          <w:highlight w:val="none"/>
        </w:rPr>
        <w:t>卫生健康支出（类）公共卫生（款）重大公共卫生服务（项）年初预算为</w:t>
      </w:r>
      <w:r>
        <w:rPr>
          <w:rFonts w:hint="eastAsia" w:ascii="仿宋_GB2312" w:eastAsia="仿宋_GB2312" w:cs="仿宋_GB2312"/>
          <w:sz w:val="30"/>
          <w:szCs w:val="30"/>
          <w:highlight w:val="none"/>
          <w:lang w:val="en-US" w:eastAsia="zh-CN"/>
        </w:rPr>
        <w:t>0</w:t>
      </w:r>
      <w:r>
        <w:rPr>
          <w:rFonts w:hint="eastAsia" w:ascii="仿宋_GB2312" w:eastAsia="仿宋_GB2312" w:cs="仿宋_GB2312"/>
          <w:sz w:val="30"/>
          <w:szCs w:val="30"/>
          <w:highlight w:val="none"/>
        </w:rPr>
        <w:t>元，支出决算为22188.97元，完成年初预算数的</w:t>
      </w:r>
      <w:r>
        <w:rPr>
          <w:rFonts w:hint="eastAsia" w:ascii="仿宋_GB2312" w:eastAsia="仿宋_GB2312" w:cs="仿宋_GB2312"/>
          <w:sz w:val="30"/>
          <w:szCs w:val="30"/>
          <w:highlight w:val="none"/>
          <w:lang w:val="en-US" w:eastAsia="zh-CN"/>
        </w:rPr>
        <w:t>--</w:t>
      </w:r>
      <w:r>
        <w:rPr>
          <w:rFonts w:hint="eastAsia" w:ascii="仿宋_GB2312" w:eastAsia="仿宋_GB2312" w:cs="仿宋_GB2312"/>
          <w:sz w:val="30"/>
          <w:szCs w:val="30"/>
          <w:highlight w:val="none"/>
        </w:rPr>
        <w:t>%，决算数大于年初预算数的主要原因是</w:t>
      </w:r>
      <w:r>
        <w:rPr>
          <w:rFonts w:hint="eastAsia" w:ascii="仿宋_GB2312" w:eastAsia="仿宋_GB2312" w:cs="仿宋_GB2312"/>
          <w:sz w:val="30"/>
          <w:szCs w:val="30"/>
          <w:highlight w:val="none"/>
          <w:lang w:eastAsia="zh-CN"/>
        </w:rPr>
        <w:t>按照要求调整预算，增加支出</w:t>
      </w:r>
      <w:r>
        <w:rPr>
          <w:rFonts w:hint="eastAsia" w:ascii="仿宋_GB2312" w:eastAsia="仿宋_GB2312" w:cs="仿宋_GB2312"/>
          <w:sz w:val="30"/>
          <w:szCs w:val="30"/>
          <w:highlight w:val="none"/>
        </w:rPr>
        <w:t>。</w:t>
      </w:r>
      <w:r>
        <w:rPr>
          <w:rFonts w:hint="eastAsia" w:ascii="仿宋_GB2312" w:eastAsia="仿宋_GB2312" w:cs="仿宋_GB2312"/>
          <w:sz w:val="30"/>
          <w:szCs w:val="30"/>
          <w:highlight w:val="none"/>
        </w:rPr>
        <w:br w:type="textWrapping"/>
      </w:r>
      <w:r>
        <w:rPr>
          <w:rFonts w:hint="eastAsia" w:ascii="仿宋_GB2312" w:eastAsia="仿宋_GB2312" w:cs="仿宋_GB2312"/>
          <w:sz w:val="30"/>
          <w:szCs w:val="30"/>
        </w:rPr>
        <w:t xml:space="preserve">    </w:t>
      </w:r>
      <w:r>
        <w:rPr>
          <w:rFonts w:hint="eastAsia" w:ascii="仿宋_GB2312" w:eastAsia="仿宋_GB2312" w:cs="仿宋_GB2312"/>
          <w:sz w:val="30"/>
          <w:szCs w:val="30"/>
          <w:highlight w:val="none"/>
        </w:rPr>
        <w:t>卫生健康支出（类）公共卫生（款）突发公共卫生事件应急处理（项）年初预算为</w:t>
      </w:r>
      <w:r>
        <w:rPr>
          <w:rFonts w:hint="eastAsia" w:ascii="仿宋_GB2312" w:eastAsia="仿宋_GB2312" w:cs="仿宋_GB2312"/>
          <w:sz w:val="30"/>
          <w:szCs w:val="30"/>
          <w:highlight w:val="none"/>
          <w:lang w:val="en-US" w:eastAsia="zh-CN"/>
        </w:rPr>
        <w:t>0</w:t>
      </w:r>
      <w:r>
        <w:rPr>
          <w:rFonts w:hint="eastAsia" w:ascii="仿宋_GB2312" w:eastAsia="仿宋_GB2312" w:cs="仿宋_GB2312"/>
          <w:sz w:val="30"/>
          <w:szCs w:val="30"/>
          <w:highlight w:val="none"/>
        </w:rPr>
        <w:t>元，支出决算为2932830.68元，完成年初预算数的</w:t>
      </w:r>
      <w:r>
        <w:rPr>
          <w:rFonts w:hint="eastAsia" w:ascii="仿宋_GB2312" w:eastAsia="仿宋_GB2312" w:cs="仿宋_GB2312"/>
          <w:sz w:val="30"/>
          <w:szCs w:val="30"/>
          <w:highlight w:val="none"/>
          <w:lang w:val="en-US" w:eastAsia="zh-CN"/>
        </w:rPr>
        <w:t>--</w:t>
      </w:r>
      <w:r>
        <w:rPr>
          <w:rFonts w:hint="eastAsia" w:ascii="仿宋_GB2312" w:eastAsia="仿宋_GB2312" w:cs="仿宋_GB2312"/>
          <w:sz w:val="30"/>
          <w:szCs w:val="30"/>
          <w:highlight w:val="none"/>
        </w:rPr>
        <w:t>%，决算数大于年初预算数的主要原因是</w:t>
      </w:r>
      <w:r>
        <w:rPr>
          <w:rFonts w:hint="eastAsia" w:ascii="仿宋_GB2312" w:eastAsia="仿宋_GB2312" w:cs="仿宋_GB2312"/>
          <w:sz w:val="30"/>
          <w:szCs w:val="30"/>
          <w:highlight w:val="none"/>
          <w:lang w:eastAsia="zh-CN"/>
        </w:rPr>
        <w:t>按照上级要求做预算调剂，增加防疫支出。</w:t>
      </w:r>
      <w:r>
        <w:rPr>
          <w:rFonts w:hint="eastAsia" w:ascii="仿宋_GB2312" w:eastAsia="仿宋_GB2312" w:cs="仿宋_GB2312"/>
          <w:sz w:val="30"/>
          <w:szCs w:val="30"/>
        </w:rPr>
        <w:br w:type="textWrapping"/>
      </w:r>
      <w:r>
        <w:rPr>
          <w:rFonts w:hint="eastAsia" w:ascii="仿宋_GB2312" w:eastAsia="仿宋_GB2312" w:cs="仿宋_GB2312"/>
          <w:sz w:val="30"/>
          <w:szCs w:val="30"/>
        </w:rPr>
        <w:t xml:space="preserve">    卫生健康支出（类）公共卫生（款）其他公共卫生支出（项）年初预算为</w:t>
      </w:r>
      <w:r>
        <w:rPr>
          <w:rFonts w:hint="eastAsia" w:ascii="仿宋_GB2312" w:eastAsia="仿宋_GB2312" w:cs="仿宋_GB2312"/>
          <w:sz w:val="30"/>
          <w:szCs w:val="30"/>
          <w:lang w:val="en-US" w:eastAsia="zh-CN"/>
        </w:rPr>
        <w:t>375840.00</w:t>
      </w:r>
      <w:r>
        <w:rPr>
          <w:rFonts w:hint="eastAsia" w:ascii="仿宋_GB2312" w:eastAsia="仿宋_GB2312" w:cs="仿宋_GB2312"/>
          <w:sz w:val="30"/>
          <w:szCs w:val="30"/>
        </w:rPr>
        <w:t>元，支出决算为374040.00元，完成年初预算数的</w:t>
      </w:r>
      <w:r>
        <w:rPr>
          <w:rFonts w:hint="eastAsia" w:ascii="仿宋_GB2312" w:eastAsia="仿宋_GB2312" w:cs="仿宋_GB2312"/>
          <w:sz w:val="30"/>
          <w:szCs w:val="30"/>
          <w:lang w:val="en-US" w:eastAsia="zh-CN"/>
        </w:rPr>
        <w:t>99.52</w:t>
      </w:r>
      <w:r>
        <w:rPr>
          <w:rFonts w:hint="eastAsia" w:ascii="仿宋_GB2312" w:eastAsia="仿宋_GB2312" w:cs="仿宋_GB2312"/>
          <w:sz w:val="30"/>
          <w:szCs w:val="30"/>
        </w:rPr>
        <w:t>%，决算数小于年初预算数的主要原因是</w:t>
      </w:r>
      <w:r>
        <w:rPr>
          <w:rFonts w:hint="eastAsia" w:ascii="仿宋_GB2312" w:eastAsia="仿宋_GB2312" w:cs="仿宋_GB2312"/>
          <w:sz w:val="30"/>
          <w:szCs w:val="30"/>
          <w:highlight w:val="none"/>
          <w:u w:val="none"/>
          <w:lang w:val="en-US" w:eastAsia="zh-CN"/>
        </w:rPr>
        <w:t>按实际情况支付，</w:t>
      </w:r>
      <w:r>
        <w:rPr>
          <w:rFonts w:hint="eastAsia" w:eastAsia="仿宋_GB2312"/>
          <w:sz w:val="30"/>
          <w:szCs w:val="30"/>
          <w:highlight w:val="none"/>
          <w:u w:val="none"/>
          <w:lang w:eastAsia="zh-CN"/>
        </w:rPr>
        <w:t>部分补助人员有所变动，生活保障标准有所调整</w:t>
      </w:r>
      <w:r>
        <w:rPr>
          <w:rFonts w:hint="eastAsia" w:ascii="仿宋_GB2312" w:eastAsia="仿宋_GB2312" w:cs="仿宋_GB2312"/>
          <w:sz w:val="30"/>
          <w:szCs w:val="30"/>
        </w:rPr>
        <w:t>。</w:t>
      </w:r>
      <w:r>
        <w:rPr>
          <w:rFonts w:hint="eastAsia" w:ascii="仿宋_GB2312" w:eastAsia="仿宋_GB2312" w:cs="仿宋_GB2312"/>
          <w:sz w:val="30"/>
          <w:szCs w:val="30"/>
        </w:rPr>
        <w:br w:type="textWrapping"/>
      </w:r>
      <w:r>
        <w:rPr>
          <w:rFonts w:hint="eastAsia" w:ascii="仿宋_GB2312" w:eastAsia="仿宋_GB2312" w:cs="仿宋_GB2312"/>
          <w:sz w:val="30"/>
          <w:szCs w:val="30"/>
        </w:rPr>
        <w:t xml:space="preserve">    卫生健康支出（类）计划生育事务（款）计划生育服务（项）年初预算为</w:t>
      </w:r>
      <w:r>
        <w:rPr>
          <w:rFonts w:hint="eastAsia" w:ascii="仿宋_GB2312" w:eastAsia="仿宋_GB2312" w:cs="仿宋_GB2312"/>
          <w:sz w:val="30"/>
          <w:szCs w:val="30"/>
          <w:lang w:val="en-US" w:eastAsia="zh-CN"/>
        </w:rPr>
        <w:t>2758550.00</w:t>
      </w:r>
      <w:r>
        <w:rPr>
          <w:rFonts w:hint="eastAsia" w:ascii="仿宋_GB2312" w:eastAsia="仿宋_GB2312" w:cs="仿宋_GB2312"/>
          <w:sz w:val="30"/>
          <w:szCs w:val="30"/>
        </w:rPr>
        <w:t>元，支出决算为1890922.50元，完成年初预算数的</w:t>
      </w:r>
      <w:r>
        <w:rPr>
          <w:rFonts w:hint="eastAsia" w:ascii="仿宋_GB2312" w:eastAsia="仿宋_GB2312" w:cs="仿宋_GB2312"/>
          <w:sz w:val="30"/>
          <w:szCs w:val="30"/>
          <w:lang w:val="en-US" w:eastAsia="zh-CN"/>
        </w:rPr>
        <w:t>68.55</w:t>
      </w:r>
      <w:r>
        <w:rPr>
          <w:rFonts w:hint="eastAsia" w:ascii="仿宋_GB2312" w:eastAsia="仿宋_GB2312" w:cs="仿宋_GB2312"/>
          <w:sz w:val="30"/>
          <w:szCs w:val="30"/>
        </w:rPr>
        <w:t>%，决算数小于年初预算数的主要原因是</w:t>
      </w:r>
      <w:r>
        <w:rPr>
          <w:rFonts w:hint="eastAsia" w:ascii="仿宋_GB2312" w:eastAsia="仿宋_GB2312" w:cs="仿宋_GB2312"/>
          <w:sz w:val="30"/>
          <w:szCs w:val="30"/>
          <w:highlight w:val="none"/>
          <w:u w:val="none"/>
          <w:lang w:val="en-US" w:eastAsia="zh-CN"/>
        </w:rPr>
        <w:t>按实际情况支付，</w:t>
      </w:r>
      <w:r>
        <w:rPr>
          <w:rFonts w:hint="eastAsia" w:eastAsia="仿宋_GB2312"/>
          <w:sz w:val="30"/>
          <w:szCs w:val="30"/>
          <w:highlight w:val="none"/>
          <w:u w:val="none"/>
          <w:lang w:eastAsia="zh-CN"/>
        </w:rPr>
        <w:t>部分补助人员有所变动，生活保障标准有所调整</w:t>
      </w:r>
      <w:r>
        <w:rPr>
          <w:rFonts w:hint="eastAsia" w:ascii="仿宋_GB2312" w:eastAsia="仿宋_GB2312" w:cs="仿宋_GB2312"/>
          <w:sz w:val="30"/>
          <w:szCs w:val="30"/>
        </w:rPr>
        <w:t>。</w:t>
      </w:r>
      <w:r>
        <w:rPr>
          <w:rFonts w:hint="eastAsia" w:ascii="仿宋_GB2312" w:eastAsia="仿宋_GB2312" w:cs="仿宋_GB2312"/>
          <w:sz w:val="30"/>
          <w:szCs w:val="30"/>
        </w:rPr>
        <w:br w:type="textWrapping"/>
      </w:r>
      <w:r>
        <w:rPr>
          <w:rFonts w:hint="eastAsia" w:ascii="仿宋_GB2312" w:eastAsia="仿宋_GB2312" w:cs="仿宋_GB2312"/>
          <w:sz w:val="30"/>
          <w:szCs w:val="30"/>
        </w:rPr>
        <w:t xml:space="preserve">    卫生健康支出（类）计划生育事务（款）其他计划生育事务支出（项）年初预算为</w:t>
      </w:r>
      <w:r>
        <w:rPr>
          <w:rFonts w:hint="eastAsia" w:ascii="仿宋_GB2312" w:eastAsia="仿宋_GB2312" w:cs="仿宋_GB2312"/>
          <w:sz w:val="30"/>
          <w:szCs w:val="30"/>
          <w:lang w:val="en-US" w:eastAsia="zh-CN"/>
        </w:rPr>
        <w:t>149500.00</w:t>
      </w:r>
      <w:r>
        <w:rPr>
          <w:rFonts w:hint="eastAsia" w:ascii="仿宋_GB2312" w:eastAsia="仿宋_GB2312" w:cs="仿宋_GB2312"/>
          <w:sz w:val="30"/>
          <w:szCs w:val="30"/>
        </w:rPr>
        <w:t>元，支出决算为50520.00元，完成年初预算数的</w:t>
      </w:r>
      <w:r>
        <w:rPr>
          <w:rFonts w:hint="eastAsia" w:ascii="仿宋_GB2312" w:eastAsia="仿宋_GB2312" w:cs="仿宋_GB2312"/>
          <w:sz w:val="30"/>
          <w:szCs w:val="30"/>
          <w:lang w:val="en-US" w:eastAsia="zh-CN"/>
        </w:rPr>
        <w:t>33.79</w:t>
      </w:r>
      <w:r>
        <w:rPr>
          <w:rFonts w:hint="eastAsia" w:ascii="仿宋_GB2312" w:eastAsia="仿宋_GB2312" w:cs="仿宋_GB2312"/>
          <w:sz w:val="30"/>
          <w:szCs w:val="30"/>
        </w:rPr>
        <w:t>%，决算数小于年初预算数的主要原因是</w:t>
      </w:r>
      <w:r>
        <w:rPr>
          <w:rFonts w:hint="eastAsia" w:ascii="仿宋_GB2312" w:eastAsia="仿宋_GB2312" w:cs="仿宋_GB2312"/>
          <w:sz w:val="30"/>
          <w:szCs w:val="30"/>
          <w:highlight w:val="none"/>
          <w:u w:val="none"/>
          <w:lang w:val="en-US" w:eastAsia="zh-CN"/>
        </w:rPr>
        <w:t>按实际情况支付，</w:t>
      </w:r>
      <w:r>
        <w:rPr>
          <w:rFonts w:hint="eastAsia" w:eastAsia="仿宋_GB2312"/>
          <w:sz w:val="30"/>
          <w:szCs w:val="30"/>
          <w:highlight w:val="none"/>
          <w:u w:val="none"/>
          <w:lang w:eastAsia="zh-CN"/>
        </w:rPr>
        <w:t>部分补助人员有所变动，生活保障标准有所调整</w:t>
      </w:r>
      <w:r>
        <w:rPr>
          <w:rFonts w:hint="eastAsia" w:ascii="仿宋_GB2312" w:eastAsia="仿宋_GB2312" w:cs="仿宋_GB2312"/>
          <w:sz w:val="30"/>
          <w:szCs w:val="30"/>
        </w:rPr>
        <w:t>。</w:t>
      </w:r>
      <w:r>
        <w:rPr>
          <w:rFonts w:hint="eastAsia" w:ascii="仿宋_GB2312" w:eastAsia="仿宋_GB2312" w:cs="仿宋_GB2312"/>
          <w:sz w:val="30"/>
          <w:szCs w:val="30"/>
        </w:rPr>
        <w:br w:type="textWrapping"/>
      </w:r>
      <w:r>
        <w:rPr>
          <w:rFonts w:hint="eastAsia" w:ascii="仿宋_GB2312" w:eastAsia="仿宋_GB2312" w:cs="仿宋_GB2312"/>
          <w:sz w:val="30"/>
          <w:szCs w:val="30"/>
        </w:rPr>
        <w:t xml:space="preserve">    卫生健康支出（类）行政事业单位医疗（款）行政单位医疗（项）年初预算为</w:t>
      </w:r>
      <w:r>
        <w:rPr>
          <w:rFonts w:hint="eastAsia" w:ascii="仿宋_GB2312" w:eastAsia="仿宋_GB2312" w:cs="仿宋_GB2312"/>
          <w:sz w:val="30"/>
          <w:szCs w:val="30"/>
          <w:lang w:val="en-US" w:eastAsia="zh-CN"/>
        </w:rPr>
        <w:t>401139.96</w:t>
      </w:r>
      <w:r>
        <w:rPr>
          <w:rFonts w:hint="eastAsia" w:ascii="仿宋_GB2312" w:eastAsia="仿宋_GB2312" w:cs="仿宋_GB2312"/>
          <w:sz w:val="30"/>
          <w:szCs w:val="30"/>
        </w:rPr>
        <w:t>元，支出决算为410534.60元，完成年初预算数的</w:t>
      </w:r>
      <w:r>
        <w:rPr>
          <w:rFonts w:hint="eastAsia" w:ascii="仿宋_GB2312" w:eastAsia="仿宋_GB2312" w:cs="仿宋_GB2312"/>
          <w:sz w:val="30"/>
          <w:szCs w:val="30"/>
          <w:lang w:val="en-US" w:eastAsia="zh-CN"/>
        </w:rPr>
        <w:t>102.34</w:t>
      </w:r>
      <w:r>
        <w:rPr>
          <w:rFonts w:hint="eastAsia" w:ascii="仿宋_GB2312" w:eastAsia="仿宋_GB2312" w:cs="仿宋_GB2312"/>
          <w:sz w:val="30"/>
          <w:szCs w:val="30"/>
        </w:rPr>
        <w:t>%，决算数大于年初预算数的主要原因是</w:t>
      </w:r>
      <w:r>
        <w:rPr>
          <w:rFonts w:hint="eastAsia" w:ascii="仿宋_GB2312" w:eastAsia="仿宋_GB2312" w:cs="仿宋_GB2312"/>
          <w:sz w:val="30"/>
          <w:szCs w:val="30"/>
          <w:lang w:eastAsia="zh-CN"/>
        </w:rPr>
        <w:t>按照上级要求做预算调剂，增加支出</w:t>
      </w:r>
      <w:r>
        <w:rPr>
          <w:rFonts w:hint="eastAsia" w:ascii="仿宋_GB2312" w:eastAsia="仿宋_GB2312" w:cs="仿宋_GB2312"/>
          <w:sz w:val="30"/>
          <w:szCs w:val="30"/>
        </w:rPr>
        <w:t>。</w:t>
      </w:r>
      <w:r>
        <w:rPr>
          <w:rFonts w:hint="eastAsia" w:ascii="仿宋_GB2312" w:eastAsia="仿宋_GB2312" w:cs="仿宋_GB2312"/>
          <w:sz w:val="30"/>
          <w:szCs w:val="30"/>
        </w:rPr>
        <w:br w:type="textWrapping"/>
      </w:r>
      <w:r>
        <w:rPr>
          <w:rFonts w:hint="eastAsia" w:ascii="仿宋_GB2312" w:eastAsia="仿宋_GB2312" w:cs="仿宋_GB2312"/>
          <w:sz w:val="30"/>
          <w:szCs w:val="30"/>
        </w:rPr>
        <w:t xml:space="preserve">    卫生健康支出（类）行政事业单位医疗（款）事业单位医疗（项）年初预算为</w:t>
      </w:r>
      <w:r>
        <w:rPr>
          <w:rFonts w:hint="eastAsia" w:ascii="仿宋_GB2312" w:eastAsia="仿宋_GB2312" w:cs="仿宋_GB2312"/>
          <w:sz w:val="30"/>
          <w:szCs w:val="30"/>
          <w:lang w:val="en-US" w:eastAsia="zh-CN"/>
        </w:rPr>
        <w:t>629998.68</w:t>
      </w:r>
      <w:r>
        <w:rPr>
          <w:rFonts w:hint="eastAsia" w:ascii="仿宋_GB2312" w:eastAsia="仿宋_GB2312" w:cs="仿宋_GB2312"/>
          <w:sz w:val="30"/>
          <w:szCs w:val="30"/>
        </w:rPr>
        <w:t>元，支出决算为579773.40元，完成年初预算数的</w:t>
      </w:r>
      <w:r>
        <w:rPr>
          <w:rFonts w:hint="eastAsia" w:ascii="仿宋_GB2312" w:eastAsia="仿宋_GB2312" w:cs="仿宋_GB2312"/>
          <w:sz w:val="30"/>
          <w:szCs w:val="30"/>
          <w:lang w:val="en-US" w:eastAsia="zh-CN"/>
        </w:rPr>
        <w:t>92.03</w:t>
      </w:r>
      <w:r>
        <w:rPr>
          <w:rFonts w:hint="eastAsia" w:ascii="仿宋_GB2312" w:eastAsia="仿宋_GB2312" w:cs="仿宋_GB2312"/>
          <w:sz w:val="30"/>
          <w:szCs w:val="30"/>
        </w:rPr>
        <w:t>%，决算数小于年初预算数的主要原因是</w:t>
      </w:r>
      <w:r>
        <w:rPr>
          <w:rFonts w:hint="eastAsia" w:ascii="仿宋_GB2312" w:eastAsia="仿宋_GB2312" w:cs="仿宋_GB2312"/>
          <w:sz w:val="30"/>
          <w:szCs w:val="30"/>
          <w:lang w:eastAsia="zh-CN"/>
        </w:rPr>
        <w:t>按照实际发生列支</w:t>
      </w:r>
      <w:r>
        <w:rPr>
          <w:rFonts w:hint="eastAsia" w:ascii="仿宋_GB2312" w:eastAsia="仿宋_GB2312" w:cs="仿宋_GB2312"/>
          <w:sz w:val="30"/>
          <w:szCs w:val="30"/>
        </w:rPr>
        <w:t>。</w:t>
      </w:r>
      <w:r>
        <w:rPr>
          <w:rFonts w:hint="eastAsia" w:ascii="仿宋_GB2312" w:eastAsia="仿宋_GB2312" w:cs="仿宋_GB2312"/>
          <w:sz w:val="30"/>
          <w:szCs w:val="30"/>
        </w:rPr>
        <w:br w:type="textWrapping"/>
      </w:r>
      <w:r>
        <w:rPr>
          <w:rFonts w:hint="eastAsia" w:ascii="仿宋_GB2312" w:eastAsia="仿宋_GB2312" w:cs="仿宋_GB2312"/>
          <w:sz w:val="30"/>
          <w:szCs w:val="30"/>
        </w:rPr>
        <w:t xml:space="preserve">    卫生健康支出（类）行政事业单位医疗（款）公务员医疗补助（项）年初预算为</w:t>
      </w:r>
      <w:r>
        <w:rPr>
          <w:rFonts w:hint="eastAsia" w:ascii="仿宋_GB2312" w:eastAsia="仿宋_GB2312" w:cs="仿宋_GB2312"/>
          <w:sz w:val="30"/>
          <w:szCs w:val="30"/>
          <w:lang w:val="en-US" w:eastAsia="zh-CN"/>
        </w:rPr>
        <w:t>160455.72</w:t>
      </w:r>
      <w:r>
        <w:rPr>
          <w:rFonts w:hint="eastAsia" w:ascii="仿宋_GB2312" w:eastAsia="仿宋_GB2312" w:cs="仿宋_GB2312"/>
          <w:sz w:val="30"/>
          <w:szCs w:val="30"/>
        </w:rPr>
        <w:t>元，支出决算为82106.92元，完成年初预算数的</w:t>
      </w:r>
      <w:r>
        <w:rPr>
          <w:rFonts w:hint="eastAsia" w:ascii="仿宋_GB2312" w:eastAsia="仿宋_GB2312" w:cs="仿宋_GB2312"/>
          <w:sz w:val="30"/>
          <w:szCs w:val="30"/>
          <w:lang w:val="en-US" w:eastAsia="zh-CN"/>
        </w:rPr>
        <w:t>51.17</w:t>
      </w:r>
      <w:r>
        <w:rPr>
          <w:rFonts w:hint="eastAsia" w:ascii="仿宋_GB2312" w:eastAsia="仿宋_GB2312" w:cs="仿宋_GB2312"/>
          <w:sz w:val="30"/>
          <w:szCs w:val="30"/>
        </w:rPr>
        <w:t>%，决算数小于年初预算数的主要原因是</w:t>
      </w:r>
      <w:r>
        <w:rPr>
          <w:rFonts w:hint="eastAsia" w:ascii="仿宋_GB2312" w:eastAsia="仿宋_GB2312" w:cs="仿宋_GB2312"/>
          <w:sz w:val="30"/>
          <w:szCs w:val="30"/>
          <w:lang w:eastAsia="zh-CN"/>
        </w:rPr>
        <w:t>按照实际发生列支</w:t>
      </w:r>
      <w:r>
        <w:rPr>
          <w:rFonts w:hint="eastAsia" w:ascii="仿宋_GB2312" w:eastAsia="仿宋_GB2312" w:cs="仿宋_GB2312"/>
          <w:sz w:val="30"/>
          <w:szCs w:val="30"/>
        </w:rPr>
        <w:t>。</w:t>
      </w:r>
      <w:r>
        <w:rPr>
          <w:rFonts w:hint="eastAsia" w:ascii="仿宋_GB2312" w:eastAsia="仿宋_GB2312" w:cs="仿宋_GB2312"/>
          <w:sz w:val="30"/>
          <w:szCs w:val="30"/>
        </w:rPr>
        <w:br w:type="textWrapping"/>
      </w:r>
      <w:r>
        <w:rPr>
          <w:rFonts w:hint="eastAsia" w:ascii="仿宋_GB2312" w:eastAsia="仿宋_GB2312" w:cs="仿宋_GB2312"/>
          <w:sz w:val="30"/>
          <w:szCs w:val="30"/>
        </w:rPr>
        <w:t xml:space="preserve">    卫生健康支出（类）行政事业单位医疗（款）其他行政事业单位医疗支出（项）年初预算为</w:t>
      </w:r>
      <w:r>
        <w:rPr>
          <w:rFonts w:hint="eastAsia" w:ascii="仿宋_GB2312" w:eastAsia="仿宋_GB2312" w:cs="仿宋_GB2312"/>
          <w:sz w:val="30"/>
          <w:szCs w:val="30"/>
          <w:lang w:val="en-US" w:eastAsia="zh-CN"/>
        </w:rPr>
        <w:t>99600.00</w:t>
      </w:r>
      <w:r>
        <w:rPr>
          <w:rFonts w:hint="eastAsia" w:ascii="仿宋_GB2312" w:eastAsia="仿宋_GB2312" w:cs="仿宋_GB2312"/>
          <w:sz w:val="30"/>
          <w:szCs w:val="30"/>
        </w:rPr>
        <w:t>元，支出决算为93629.17元，完成年初预算数的</w:t>
      </w:r>
      <w:r>
        <w:rPr>
          <w:rFonts w:hint="eastAsia" w:ascii="仿宋_GB2312" w:eastAsia="仿宋_GB2312" w:cs="仿宋_GB2312"/>
          <w:sz w:val="30"/>
          <w:szCs w:val="30"/>
          <w:lang w:val="en-US" w:eastAsia="zh-CN"/>
        </w:rPr>
        <w:t>94</w:t>
      </w:r>
      <w:r>
        <w:rPr>
          <w:rFonts w:hint="eastAsia" w:ascii="仿宋_GB2312" w:eastAsia="仿宋_GB2312" w:cs="仿宋_GB2312"/>
          <w:sz w:val="30"/>
          <w:szCs w:val="30"/>
        </w:rPr>
        <w:t>%，决算数小于年初预算数的主要原因是</w:t>
      </w:r>
      <w:r>
        <w:rPr>
          <w:rFonts w:hint="eastAsia" w:ascii="仿宋_GB2312" w:eastAsia="仿宋_GB2312" w:cs="仿宋_GB2312"/>
          <w:sz w:val="30"/>
          <w:szCs w:val="30"/>
          <w:lang w:eastAsia="zh-CN"/>
        </w:rPr>
        <w:t>按照实际发生列支</w:t>
      </w:r>
      <w:r>
        <w:rPr>
          <w:rFonts w:hint="eastAsia" w:ascii="仿宋_GB2312" w:eastAsia="仿宋_GB2312" w:cs="仿宋_GB2312"/>
          <w:sz w:val="30"/>
          <w:szCs w:val="30"/>
        </w:rPr>
        <w:t>。</w:t>
      </w:r>
      <w:r>
        <w:rPr>
          <w:rFonts w:hint="eastAsia" w:ascii="仿宋_GB2312" w:eastAsia="仿宋_GB2312" w:cs="仿宋_GB2312"/>
          <w:sz w:val="30"/>
          <w:szCs w:val="30"/>
        </w:rPr>
        <w:br w:type="textWrapping"/>
      </w:r>
      <w:r>
        <w:rPr>
          <w:rFonts w:hint="eastAsia" w:ascii="仿宋_GB2312" w:eastAsia="仿宋_GB2312" w:cs="仿宋_GB2312"/>
          <w:sz w:val="30"/>
          <w:szCs w:val="30"/>
        </w:rPr>
        <w:t xml:space="preserve">    卫生健康支出（类）医疗保障管理事务（款）其他医疗保障管理事务支出（项）年初预算为</w:t>
      </w:r>
      <w:r>
        <w:rPr>
          <w:rFonts w:hint="eastAsia" w:ascii="仿宋_GB2312" w:eastAsia="仿宋_GB2312" w:cs="仿宋_GB2312"/>
          <w:sz w:val="30"/>
          <w:szCs w:val="30"/>
          <w:lang w:val="en-US" w:eastAsia="zh-CN"/>
        </w:rPr>
        <w:t>330000.00</w:t>
      </w:r>
      <w:r>
        <w:rPr>
          <w:rFonts w:hint="eastAsia" w:ascii="仿宋_GB2312" w:eastAsia="仿宋_GB2312" w:cs="仿宋_GB2312"/>
          <w:sz w:val="30"/>
          <w:szCs w:val="30"/>
        </w:rPr>
        <w:t>元，支出决算为23357.00元，完成年初预算数的</w:t>
      </w:r>
      <w:r>
        <w:rPr>
          <w:rFonts w:hint="eastAsia" w:ascii="仿宋_GB2312" w:eastAsia="仿宋_GB2312" w:cs="仿宋_GB2312"/>
          <w:sz w:val="30"/>
          <w:szCs w:val="30"/>
          <w:lang w:val="en-US" w:eastAsia="zh-CN"/>
        </w:rPr>
        <w:t>7.08</w:t>
      </w:r>
      <w:r>
        <w:rPr>
          <w:rFonts w:hint="eastAsia" w:ascii="仿宋_GB2312" w:eastAsia="仿宋_GB2312" w:cs="仿宋_GB2312"/>
          <w:sz w:val="30"/>
          <w:szCs w:val="30"/>
        </w:rPr>
        <w:t>%，决算数小于年初预算数的主要原因是</w:t>
      </w:r>
      <w:r>
        <w:rPr>
          <w:rFonts w:hint="eastAsia" w:ascii="仿宋_GB2312" w:eastAsia="仿宋_GB2312" w:cs="仿宋_GB2312"/>
          <w:sz w:val="30"/>
          <w:szCs w:val="30"/>
          <w:highlight w:val="none"/>
          <w:u w:val="none"/>
          <w:lang w:val="en-US" w:eastAsia="zh-CN"/>
        </w:rPr>
        <w:t>按实际情况支付，</w:t>
      </w:r>
      <w:r>
        <w:rPr>
          <w:rFonts w:hint="eastAsia" w:eastAsia="仿宋_GB2312"/>
          <w:sz w:val="30"/>
          <w:szCs w:val="30"/>
          <w:highlight w:val="none"/>
          <w:u w:val="none"/>
          <w:lang w:eastAsia="zh-CN"/>
        </w:rPr>
        <w:t>部分补助人员有所变动，生活保障标准有所调整</w:t>
      </w:r>
      <w:r>
        <w:rPr>
          <w:rFonts w:hint="eastAsia" w:ascii="仿宋_GB2312" w:eastAsia="仿宋_GB2312" w:cs="仿宋_GB2312"/>
          <w:sz w:val="30"/>
          <w:szCs w:val="30"/>
        </w:rPr>
        <w:t>。</w:t>
      </w:r>
      <w:r>
        <w:rPr>
          <w:rFonts w:hint="eastAsia" w:ascii="仿宋_GB2312" w:eastAsia="仿宋_GB2312" w:cs="仿宋_GB2312"/>
          <w:sz w:val="30"/>
          <w:szCs w:val="30"/>
        </w:rPr>
        <w:br w:type="textWrapping"/>
      </w:r>
      <w:r>
        <w:rPr>
          <w:rFonts w:hint="eastAsia" w:ascii="仿宋_GB2312" w:eastAsia="仿宋_GB2312" w:cs="仿宋_GB2312"/>
          <w:sz w:val="30"/>
          <w:szCs w:val="30"/>
        </w:rPr>
        <w:t xml:space="preserve">    卫生健康支出（类）其他卫生健康支出（款）其他卫生健康支出（项）年初预算为</w:t>
      </w:r>
      <w:r>
        <w:rPr>
          <w:rFonts w:hint="eastAsia" w:ascii="仿宋_GB2312" w:eastAsia="仿宋_GB2312" w:cs="仿宋_GB2312"/>
          <w:sz w:val="30"/>
          <w:szCs w:val="30"/>
          <w:lang w:val="en-US" w:eastAsia="zh-CN"/>
        </w:rPr>
        <w:t>40000.00</w:t>
      </w:r>
      <w:r>
        <w:rPr>
          <w:rFonts w:hint="eastAsia" w:ascii="仿宋_GB2312" w:eastAsia="仿宋_GB2312" w:cs="仿宋_GB2312"/>
          <w:sz w:val="30"/>
          <w:szCs w:val="30"/>
        </w:rPr>
        <w:t>元，支出决算为39000.00元，完成年初预算数的</w:t>
      </w:r>
      <w:r>
        <w:rPr>
          <w:rFonts w:hint="eastAsia" w:ascii="仿宋_GB2312" w:eastAsia="仿宋_GB2312" w:cs="仿宋_GB2312"/>
          <w:sz w:val="30"/>
          <w:szCs w:val="30"/>
          <w:lang w:val="en-US" w:eastAsia="zh-CN"/>
        </w:rPr>
        <w:t>97.5</w:t>
      </w:r>
      <w:r>
        <w:rPr>
          <w:rFonts w:hint="eastAsia" w:ascii="仿宋_GB2312" w:eastAsia="仿宋_GB2312" w:cs="仿宋_GB2312"/>
          <w:sz w:val="30"/>
          <w:szCs w:val="30"/>
        </w:rPr>
        <w:t>%，决算数小于年初预算数的主要原因是</w:t>
      </w:r>
      <w:r>
        <w:rPr>
          <w:rFonts w:hint="eastAsia" w:ascii="仿宋_GB2312" w:eastAsia="仿宋_GB2312" w:cs="仿宋_GB2312"/>
          <w:sz w:val="30"/>
          <w:szCs w:val="30"/>
          <w:highlight w:val="none"/>
          <w:u w:val="none"/>
          <w:lang w:val="en-US" w:eastAsia="zh-CN"/>
        </w:rPr>
        <w:t>按实际情况支付，</w:t>
      </w:r>
      <w:r>
        <w:rPr>
          <w:rFonts w:hint="eastAsia" w:eastAsia="仿宋_GB2312"/>
          <w:sz w:val="30"/>
          <w:szCs w:val="30"/>
          <w:highlight w:val="none"/>
          <w:u w:val="none"/>
          <w:lang w:eastAsia="zh-CN"/>
        </w:rPr>
        <w:t>部分补助人员有所变动，生活保障标准有所调整</w:t>
      </w:r>
      <w:r>
        <w:rPr>
          <w:rFonts w:hint="eastAsia" w:ascii="仿宋_GB2312" w:eastAsia="仿宋_GB2312" w:cs="仿宋_GB2312"/>
          <w:sz w:val="30"/>
          <w:szCs w:val="30"/>
        </w:rPr>
        <w:t>。</w:t>
      </w:r>
      <w:r>
        <w:rPr>
          <w:rFonts w:hint="eastAsia" w:ascii="仿宋_GB2312" w:eastAsia="仿宋_GB2312" w:cs="仿宋_GB2312"/>
          <w:sz w:val="30"/>
          <w:szCs w:val="30"/>
        </w:rPr>
        <w:br w:type="textWrapping"/>
      </w:r>
      <w:r>
        <w:rPr>
          <w:rFonts w:hint="eastAsia" w:ascii="仿宋_GB2312" w:eastAsia="仿宋_GB2312" w:cs="仿宋_GB2312"/>
          <w:sz w:val="30"/>
          <w:szCs w:val="30"/>
        </w:rPr>
        <w:t xml:space="preserve">    节能环保支出（类）污染防治（款）大气（项）年初预算为</w:t>
      </w:r>
      <w:r>
        <w:rPr>
          <w:rFonts w:hint="eastAsia" w:ascii="仿宋_GB2312" w:eastAsia="仿宋_GB2312" w:cs="仿宋_GB2312"/>
          <w:sz w:val="30"/>
          <w:szCs w:val="30"/>
          <w:u w:val="none"/>
          <w:lang w:val="en-US" w:eastAsia="zh-CN"/>
        </w:rPr>
        <w:t>1000000.00</w:t>
      </w:r>
      <w:r>
        <w:rPr>
          <w:rFonts w:hint="eastAsia" w:ascii="仿宋_GB2312" w:eastAsia="仿宋_GB2312" w:cs="仿宋_GB2312"/>
          <w:sz w:val="30"/>
          <w:szCs w:val="30"/>
          <w:u w:val="none"/>
        </w:rPr>
        <w:t>元，支出决算为550000.00元，完成年初预算数的</w:t>
      </w:r>
      <w:r>
        <w:rPr>
          <w:rFonts w:hint="eastAsia" w:ascii="仿宋_GB2312" w:eastAsia="仿宋_GB2312" w:cs="仿宋_GB2312"/>
          <w:sz w:val="30"/>
          <w:szCs w:val="30"/>
          <w:u w:val="none"/>
          <w:lang w:val="en-US" w:eastAsia="zh-CN"/>
        </w:rPr>
        <w:t>55</w:t>
      </w:r>
      <w:r>
        <w:rPr>
          <w:rFonts w:hint="eastAsia" w:ascii="仿宋_GB2312" w:eastAsia="仿宋_GB2312" w:cs="仿宋_GB2312"/>
          <w:sz w:val="30"/>
          <w:szCs w:val="30"/>
          <w:u w:val="none"/>
        </w:rPr>
        <w:t>%，决算数小于年初预算数的主要原因是</w:t>
      </w:r>
      <w:r>
        <w:rPr>
          <w:rFonts w:hint="eastAsia" w:ascii="仿宋_GB2312" w:eastAsia="仿宋_GB2312" w:cs="仿宋_GB2312"/>
          <w:sz w:val="30"/>
          <w:szCs w:val="30"/>
          <w:u w:val="none"/>
          <w:lang w:eastAsia="zh-CN"/>
        </w:rPr>
        <w:t>根据上级主管部门的安排执行，部门整体缩减开支。</w:t>
      </w:r>
      <w:r>
        <w:rPr>
          <w:rFonts w:hint="eastAsia" w:ascii="仿宋_GB2312" w:eastAsia="仿宋_GB2312" w:cs="仿宋_GB2312"/>
          <w:sz w:val="30"/>
          <w:szCs w:val="30"/>
        </w:rPr>
        <w:br w:type="textWrapping"/>
      </w:r>
      <w:r>
        <w:rPr>
          <w:rFonts w:hint="eastAsia" w:ascii="仿宋_GB2312" w:eastAsia="仿宋_GB2312" w:cs="仿宋_GB2312"/>
          <w:sz w:val="30"/>
          <w:szCs w:val="30"/>
        </w:rPr>
        <w:t xml:space="preserve">    节能环保支出（类）污染减排（款）其他污染减排支出（项）年初预算为</w:t>
      </w:r>
      <w:r>
        <w:rPr>
          <w:rFonts w:hint="eastAsia" w:ascii="仿宋_GB2312" w:eastAsia="仿宋_GB2312" w:cs="仿宋_GB2312"/>
          <w:sz w:val="30"/>
          <w:szCs w:val="30"/>
          <w:lang w:val="en-US" w:eastAsia="zh-CN"/>
        </w:rPr>
        <w:t>4924594.64</w:t>
      </w:r>
      <w:r>
        <w:rPr>
          <w:rFonts w:hint="eastAsia" w:ascii="仿宋_GB2312" w:eastAsia="仿宋_GB2312" w:cs="仿宋_GB2312"/>
          <w:sz w:val="30"/>
          <w:szCs w:val="30"/>
        </w:rPr>
        <w:t>元，支出决算为3450366.20元，完成年初预算数的</w:t>
      </w:r>
      <w:r>
        <w:rPr>
          <w:rFonts w:hint="eastAsia" w:ascii="仿宋_GB2312" w:eastAsia="仿宋_GB2312" w:cs="仿宋_GB2312"/>
          <w:sz w:val="30"/>
          <w:szCs w:val="30"/>
          <w:lang w:val="en-US" w:eastAsia="zh-CN"/>
        </w:rPr>
        <w:t>70.06</w:t>
      </w:r>
      <w:r>
        <w:rPr>
          <w:rFonts w:hint="eastAsia" w:ascii="仿宋_GB2312" w:eastAsia="仿宋_GB2312" w:cs="仿宋_GB2312"/>
          <w:sz w:val="30"/>
          <w:szCs w:val="30"/>
        </w:rPr>
        <w:t>%，决算数小于年初预算数的主要原因是</w:t>
      </w:r>
      <w:r>
        <w:rPr>
          <w:rFonts w:hint="eastAsia" w:ascii="仿宋_GB2312" w:eastAsia="仿宋_GB2312" w:cs="仿宋_GB2312"/>
          <w:sz w:val="30"/>
          <w:szCs w:val="30"/>
          <w:lang w:eastAsia="zh-CN"/>
        </w:rPr>
        <w:t>按照实际发生列支</w:t>
      </w:r>
      <w:r>
        <w:rPr>
          <w:rFonts w:hint="eastAsia" w:ascii="仿宋_GB2312" w:eastAsia="仿宋_GB2312" w:cs="仿宋_GB2312"/>
          <w:sz w:val="30"/>
          <w:szCs w:val="30"/>
        </w:rPr>
        <w:t>。</w:t>
      </w:r>
      <w:r>
        <w:rPr>
          <w:rFonts w:hint="eastAsia" w:ascii="仿宋_GB2312" w:eastAsia="仿宋_GB2312" w:cs="仿宋_GB2312"/>
          <w:sz w:val="30"/>
          <w:szCs w:val="30"/>
        </w:rPr>
        <w:br w:type="textWrapping"/>
      </w:r>
      <w:r>
        <w:rPr>
          <w:rFonts w:hint="eastAsia" w:ascii="仿宋_GB2312" w:eastAsia="仿宋_GB2312" w:cs="仿宋_GB2312"/>
          <w:sz w:val="30"/>
          <w:szCs w:val="30"/>
        </w:rPr>
        <w:t xml:space="preserve">    城乡社区支出（类）城乡社区管理事务（款）城管执法（项）年初预算为</w:t>
      </w:r>
      <w:r>
        <w:rPr>
          <w:rFonts w:hint="eastAsia" w:ascii="仿宋_GB2312" w:eastAsia="仿宋_GB2312" w:cs="仿宋_GB2312"/>
          <w:sz w:val="30"/>
          <w:szCs w:val="30"/>
          <w:lang w:val="en-US" w:eastAsia="zh-CN"/>
        </w:rPr>
        <w:t>2200000.00</w:t>
      </w:r>
      <w:r>
        <w:rPr>
          <w:rFonts w:hint="eastAsia" w:ascii="仿宋_GB2312" w:eastAsia="仿宋_GB2312" w:cs="仿宋_GB2312"/>
          <w:sz w:val="30"/>
          <w:szCs w:val="30"/>
        </w:rPr>
        <w:t>元，支出决算为21604.00元，完成年初预算数的</w:t>
      </w:r>
      <w:r>
        <w:rPr>
          <w:rFonts w:hint="eastAsia" w:ascii="仿宋_GB2312" w:eastAsia="仿宋_GB2312" w:cs="仿宋_GB2312"/>
          <w:sz w:val="30"/>
          <w:szCs w:val="30"/>
          <w:lang w:val="en-US" w:eastAsia="zh-CN"/>
        </w:rPr>
        <w:t>1.00</w:t>
      </w:r>
      <w:r>
        <w:rPr>
          <w:rFonts w:hint="eastAsia" w:ascii="仿宋_GB2312" w:eastAsia="仿宋_GB2312" w:cs="仿宋_GB2312"/>
          <w:sz w:val="30"/>
          <w:szCs w:val="30"/>
        </w:rPr>
        <w:t>%，决算数小于年初预算数的主要原因是</w:t>
      </w:r>
      <w:r>
        <w:rPr>
          <w:rFonts w:hint="eastAsia" w:ascii="仿宋_GB2312" w:eastAsia="仿宋_GB2312" w:cs="仿宋_GB2312"/>
          <w:sz w:val="30"/>
          <w:szCs w:val="30"/>
          <w:lang w:eastAsia="zh-CN"/>
        </w:rPr>
        <w:t>年初预算数调整后，按照实际发生列支</w:t>
      </w:r>
      <w:r>
        <w:rPr>
          <w:rFonts w:hint="eastAsia" w:ascii="仿宋_GB2312" w:eastAsia="仿宋_GB2312" w:cs="仿宋_GB2312"/>
          <w:sz w:val="30"/>
          <w:szCs w:val="30"/>
        </w:rPr>
        <w:br w:type="textWrapping"/>
      </w:r>
      <w:r>
        <w:rPr>
          <w:rFonts w:hint="eastAsia" w:ascii="仿宋_GB2312" w:eastAsia="仿宋_GB2312" w:cs="仿宋_GB2312"/>
          <w:sz w:val="30"/>
          <w:szCs w:val="30"/>
        </w:rPr>
        <w:t xml:space="preserve">    </w:t>
      </w:r>
      <w:r>
        <w:rPr>
          <w:rFonts w:hint="eastAsia" w:ascii="仿宋_GB2312" w:eastAsia="仿宋_GB2312" w:cs="仿宋_GB2312"/>
          <w:sz w:val="30"/>
          <w:szCs w:val="30"/>
          <w:highlight w:val="none"/>
        </w:rPr>
        <w:t>城乡社区支出（类）城乡社区管理事务（款）其他城乡社区管理事务支出（项）年初预算为</w:t>
      </w:r>
      <w:r>
        <w:rPr>
          <w:rFonts w:hint="eastAsia" w:ascii="仿宋_GB2312" w:eastAsia="仿宋_GB2312" w:cs="仿宋_GB2312"/>
          <w:sz w:val="30"/>
          <w:szCs w:val="30"/>
          <w:highlight w:val="none"/>
          <w:lang w:val="en-US" w:eastAsia="zh-CN"/>
        </w:rPr>
        <w:t>3625430.00</w:t>
      </w:r>
      <w:r>
        <w:rPr>
          <w:rFonts w:hint="eastAsia" w:ascii="仿宋_GB2312" w:eastAsia="仿宋_GB2312" w:cs="仿宋_GB2312"/>
          <w:sz w:val="30"/>
          <w:szCs w:val="30"/>
          <w:highlight w:val="none"/>
        </w:rPr>
        <w:t>元，支出决算为2962962.00元，完成年初预算数的</w:t>
      </w:r>
      <w:r>
        <w:rPr>
          <w:rFonts w:hint="eastAsia" w:ascii="仿宋_GB2312" w:eastAsia="仿宋_GB2312" w:cs="仿宋_GB2312"/>
          <w:sz w:val="30"/>
          <w:szCs w:val="30"/>
          <w:highlight w:val="none"/>
          <w:lang w:val="en-US" w:eastAsia="zh-CN"/>
        </w:rPr>
        <w:t>81.73</w:t>
      </w:r>
      <w:r>
        <w:rPr>
          <w:rFonts w:hint="eastAsia" w:ascii="仿宋_GB2312" w:eastAsia="仿宋_GB2312" w:cs="仿宋_GB2312"/>
          <w:sz w:val="30"/>
          <w:szCs w:val="30"/>
          <w:highlight w:val="none"/>
        </w:rPr>
        <w:t>%，决算数小于年初预算数的主要原因是</w:t>
      </w:r>
      <w:r>
        <w:rPr>
          <w:rFonts w:hint="eastAsia" w:ascii="仿宋_GB2312" w:eastAsia="仿宋_GB2312" w:cs="仿宋_GB2312"/>
          <w:sz w:val="30"/>
          <w:szCs w:val="30"/>
          <w:highlight w:val="none"/>
          <w:lang w:eastAsia="zh-CN"/>
        </w:rPr>
        <w:t>按照实际发生列支</w:t>
      </w:r>
      <w:r>
        <w:rPr>
          <w:rFonts w:hint="eastAsia" w:ascii="仿宋_GB2312" w:eastAsia="仿宋_GB2312" w:cs="仿宋_GB2312"/>
          <w:sz w:val="30"/>
          <w:szCs w:val="30"/>
          <w:highlight w:val="none"/>
        </w:rPr>
        <w:t>。</w:t>
      </w:r>
      <w:r>
        <w:rPr>
          <w:rFonts w:hint="eastAsia" w:ascii="仿宋_GB2312" w:eastAsia="仿宋_GB2312" w:cs="仿宋_GB2312"/>
          <w:sz w:val="30"/>
          <w:szCs w:val="30"/>
        </w:rPr>
        <w:br w:type="textWrapping"/>
      </w:r>
      <w:r>
        <w:rPr>
          <w:rFonts w:hint="eastAsia" w:ascii="仿宋_GB2312" w:eastAsia="仿宋_GB2312" w:cs="仿宋_GB2312"/>
          <w:sz w:val="30"/>
          <w:szCs w:val="30"/>
        </w:rPr>
        <w:t xml:space="preserve">    城乡社区支出（类）城乡社区环境卫生（款）城乡社区环境卫生（项）年初预算为</w:t>
      </w:r>
      <w:r>
        <w:rPr>
          <w:rFonts w:hint="eastAsia" w:ascii="仿宋_GB2312" w:eastAsia="仿宋_GB2312" w:cs="仿宋_GB2312"/>
          <w:sz w:val="30"/>
          <w:szCs w:val="30"/>
          <w:lang w:val="en-US" w:eastAsia="zh-CN"/>
        </w:rPr>
        <w:t>12393600.00</w:t>
      </w:r>
      <w:r>
        <w:rPr>
          <w:rFonts w:hint="eastAsia" w:ascii="仿宋_GB2312" w:eastAsia="仿宋_GB2312" w:cs="仿宋_GB2312"/>
          <w:sz w:val="30"/>
          <w:szCs w:val="30"/>
        </w:rPr>
        <w:t>元，支出决算为2548747.00元，完成年初预算数的</w:t>
      </w:r>
      <w:r>
        <w:rPr>
          <w:rFonts w:hint="eastAsia" w:ascii="仿宋_GB2312" w:eastAsia="仿宋_GB2312" w:cs="仿宋_GB2312"/>
          <w:sz w:val="30"/>
          <w:szCs w:val="30"/>
          <w:lang w:val="en-US" w:eastAsia="zh-CN"/>
        </w:rPr>
        <w:t>20.57</w:t>
      </w:r>
      <w:r>
        <w:rPr>
          <w:rFonts w:hint="eastAsia" w:ascii="仿宋_GB2312" w:eastAsia="仿宋_GB2312" w:cs="仿宋_GB2312"/>
          <w:sz w:val="30"/>
          <w:szCs w:val="30"/>
        </w:rPr>
        <w:t>%，</w:t>
      </w:r>
      <w:r>
        <w:rPr>
          <w:rFonts w:hint="eastAsia" w:ascii="仿宋_GB2312" w:eastAsia="仿宋_GB2312" w:cs="仿宋_GB2312"/>
          <w:sz w:val="30"/>
          <w:szCs w:val="30"/>
          <w:highlight w:val="none"/>
        </w:rPr>
        <w:t>决算数小于年初预算数的主要原因是</w:t>
      </w:r>
      <w:r>
        <w:rPr>
          <w:rFonts w:hint="eastAsia" w:ascii="仿宋_GB2312" w:eastAsia="仿宋_GB2312" w:cs="仿宋_GB2312"/>
          <w:sz w:val="30"/>
          <w:szCs w:val="30"/>
          <w:highlight w:val="none"/>
          <w:lang w:eastAsia="zh-CN"/>
        </w:rPr>
        <w:t>按照实际发生列支。</w:t>
      </w:r>
      <w:r>
        <w:rPr>
          <w:rFonts w:hint="eastAsia" w:ascii="仿宋_GB2312" w:eastAsia="仿宋_GB2312" w:cs="仿宋_GB2312"/>
          <w:sz w:val="30"/>
          <w:szCs w:val="30"/>
          <w:highlight w:val="none"/>
        </w:rPr>
        <w:br w:type="textWrapping"/>
      </w:r>
      <w:r>
        <w:rPr>
          <w:rFonts w:hint="eastAsia" w:ascii="仿宋_GB2312" w:eastAsia="仿宋_GB2312" w:cs="仿宋_GB2312"/>
          <w:sz w:val="30"/>
          <w:szCs w:val="30"/>
        </w:rPr>
        <w:t xml:space="preserve">    城乡社区支出（类）其他城乡社区支出（款）其他城乡社区支出（项）年初预算为</w:t>
      </w:r>
      <w:r>
        <w:rPr>
          <w:rFonts w:hint="eastAsia" w:ascii="仿宋_GB2312" w:eastAsia="仿宋_GB2312" w:cs="仿宋_GB2312"/>
          <w:sz w:val="30"/>
          <w:szCs w:val="30"/>
          <w:lang w:val="en-US" w:eastAsia="zh-CN"/>
        </w:rPr>
        <w:t>5563020.00</w:t>
      </w:r>
      <w:r>
        <w:rPr>
          <w:rFonts w:hint="eastAsia" w:ascii="仿宋_GB2312" w:eastAsia="仿宋_GB2312" w:cs="仿宋_GB2312"/>
          <w:sz w:val="30"/>
          <w:szCs w:val="30"/>
        </w:rPr>
        <w:t>元，支出决算为889203.60元，完成年初预算数的</w:t>
      </w:r>
      <w:r>
        <w:rPr>
          <w:rFonts w:hint="eastAsia" w:ascii="仿宋_GB2312" w:eastAsia="仿宋_GB2312" w:cs="仿宋_GB2312"/>
          <w:sz w:val="30"/>
          <w:szCs w:val="30"/>
          <w:lang w:val="en-US" w:eastAsia="zh-CN"/>
        </w:rPr>
        <w:t>15.98</w:t>
      </w:r>
      <w:r>
        <w:rPr>
          <w:rFonts w:hint="eastAsia" w:ascii="仿宋_GB2312" w:eastAsia="仿宋_GB2312" w:cs="仿宋_GB2312"/>
          <w:sz w:val="30"/>
          <w:szCs w:val="30"/>
        </w:rPr>
        <w:t>%，决算数小于年初预算数的主要原因是</w:t>
      </w:r>
      <w:r>
        <w:rPr>
          <w:rFonts w:hint="eastAsia" w:ascii="仿宋_GB2312" w:eastAsia="仿宋_GB2312" w:cs="仿宋_GB2312"/>
          <w:sz w:val="30"/>
          <w:szCs w:val="30"/>
          <w:lang w:eastAsia="zh-CN"/>
        </w:rPr>
        <w:t>按照实际列支发生</w:t>
      </w:r>
      <w:r>
        <w:rPr>
          <w:rFonts w:hint="eastAsia" w:ascii="仿宋_GB2312" w:eastAsia="仿宋_GB2312" w:cs="仿宋_GB2312"/>
          <w:sz w:val="30"/>
          <w:szCs w:val="30"/>
        </w:rPr>
        <w:t>。</w:t>
      </w:r>
      <w:r>
        <w:rPr>
          <w:rFonts w:hint="eastAsia" w:ascii="仿宋_GB2312" w:eastAsia="仿宋_GB2312" w:cs="仿宋_GB2312"/>
          <w:sz w:val="30"/>
          <w:szCs w:val="30"/>
        </w:rPr>
        <w:br w:type="textWrapping"/>
      </w:r>
      <w:r>
        <w:rPr>
          <w:rFonts w:hint="eastAsia" w:ascii="仿宋_GB2312" w:eastAsia="仿宋_GB2312" w:cs="仿宋_GB2312"/>
          <w:sz w:val="30"/>
          <w:szCs w:val="30"/>
        </w:rPr>
        <w:t xml:space="preserve">    农林水支出（类）农业农村（款）事业运行（项）年初预算为4140000.00元，支出决算为1380971.00元，完成年初预算数的33.36%，决算数小于年初预算数的主要原因是按实际发生支付，部门整体缩减开支。</w:t>
      </w:r>
      <w:r>
        <w:rPr>
          <w:rFonts w:hint="eastAsia" w:ascii="仿宋_GB2312" w:eastAsia="仿宋_GB2312" w:cs="仿宋_GB2312"/>
          <w:sz w:val="30"/>
          <w:szCs w:val="30"/>
        </w:rPr>
        <w:br w:type="textWrapping"/>
      </w:r>
      <w:r>
        <w:rPr>
          <w:rFonts w:hint="eastAsia" w:ascii="仿宋_GB2312" w:eastAsia="仿宋_GB2312" w:cs="仿宋_GB2312"/>
          <w:sz w:val="30"/>
          <w:szCs w:val="30"/>
        </w:rPr>
        <w:t xml:space="preserve">    农林水支出（类）农业农村（款）农垦运行（项）年初预算为1500000.00元，支出决算为803212.00元，完成年初预算数的53.55%，决算数小于年初预算数的主要原因是按实际发生支付，部门整体缩减开支。</w:t>
      </w:r>
      <w:r>
        <w:rPr>
          <w:rFonts w:hint="eastAsia" w:ascii="仿宋_GB2312" w:eastAsia="仿宋_GB2312" w:cs="仿宋_GB2312"/>
          <w:sz w:val="30"/>
          <w:szCs w:val="30"/>
        </w:rPr>
        <w:br w:type="textWrapping"/>
      </w:r>
      <w:r>
        <w:rPr>
          <w:rFonts w:hint="eastAsia" w:ascii="仿宋_GB2312" w:eastAsia="仿宋_GB2312" w:cs="仿宋_GB2312"/>
          <w:sz w:val="30"/>
          <w:szCs w:val="30"/>
        </w:rPr>
        <w:t xml:space="preserve">    农林水支出（类）农业农村（款）农业资源保护修复与利用（项）年初预算为148000.00元，支出决算为130189.50元，完成年初预算数的87.97%，决算数小于年初预算数的主要原因是秸秆补贴的发放要根据当年实际秸秆面积进行发放。</w:t>
      </w:r>
      <w:r>
        <w:rPr>
          <w:rFonts w:hint="eastAsia" w:ascii="仿宋_GB2312" w:eastAsia="仿宋_GB2312" w:cs="仿宋_GB2312"/>
          <w:sz w:val="30"/>
          <w:szCs w:val="30"/>
        </w:rPr>
        <w:br w:type="textWrapping"/>
      </w:r>
      <w:r>
        <w:rPr>
          <w:rFonts w:hint="eastAsia" w:ascii="仿宋_GB2312" w:eastAsia="仿宋_GB2312" w:cs="仿宋_GB2312"/>
          <w:sz w:val="30"/>
          <w:szCs w:val="30"/>
        </w:rPr>
        <w:t xml:space="preserve">    农林水支出（类）农业农村（款）对高校毕业生到基层任职补助（项）年初预算为149000.00元，支出决算为91541.83元，完成年初预算数的61.44%，决算数小于年初预算数的主要原因是按照实际发生列支。</w:t>
      </w:r>
      <w:r>
        <w:rPr>
          <w:rFonts w:hint="eastAsia" w:ascii="仿宋_GB2312" w:eastAsia="仿宋_GB2312" w:cs="仿宋_GB2312"/>
          <w:sz w:val="30"/>
          <w:szCs w:val="30"/>
        </w:rPr>
        <w:br w:type="textWrapping"/>
      </w:r>
      <w:r>
        <w:rPr>
          <w:rFonts w:hint="eastAsia" w:ascii="仿宋_GB2312" w:eastAsia="仿宋_GB2312" w:cs="仿宋_GB2312"/>
          <w:sz w:val="30"/>
          <w:szCs w:val="30"/>
        </w:rPr>
        <w:t xml:space="preserve">    农林水支出（类）农业农村（款）其他农业农村支出（项）年初预算为</w:t>
      </w:r>
      <w:r>
        <w:rPr>
          <w:rFonts w:hint="eastAsia" w:ascii="仿宋_GB2312" w:eastAsia="仿宋_GB2312" w:cs="仿宋_GB2312"/>
          <w:sz w:val="30"/>
          <w:szCs w:val="30"/>
          <w:lang w:val="en-US" w:eastAsia="zh-CN"/>
        </w:rPr>
        <w:t>1771900.00</w:t>
      </w:r>
      <w:r>
        <w:rPr>
          <w:rFonts w:hint="eastAsia" w:ascii="仿宋_GB2312" w:eastAsia="仿宋_GB2312" w:cs="仿宋_GB2312"/>
          <w:sz w:val="30"/>
          <w:szCs w:val="30"/>
        </w:rPr>
        <w:t>元，支出决算为971797.76元，完成年初预算数的</w:t>
      </w:r>
      <w:r>
        <w:rPr>
          <w:rFonts w:hint="eastAsia" w:ascii="仿宋_GB2312" w:eastAsia="仿宋_GB2312" w:cs="仿宋_GB2312"/>
          <w:sz w:val="30"/>
          <w:szCs w:val="30"/>
          <w:lang w:val="en-US" w:eastAsia="zh-CN"/>
        </w:rPr>
        <w:t>54.84</w:t>
      </w:r>
      <w:r>
        <w:rPr>
          <w:rFonts w:hint="eastAsia" w:ascii="仿宋_GB2312" w:eastAsia="仿宋_GB2312" w:cs="仿宋_GB2312"/>
          <w:sz w:val="30"/>
          <w:szCs w:val="30"/>
        </w:rPr>
        <w:t>%，决算数小于年初预算数的主要原因是按照实际发生列支。</w:t>
      </w:r>
      <w:r>
        <w:rPr>
          <w:rFonts w:hint="eastAsia" w:ascii="仿宋_GB2312" w:eastAsia="仿宋_GB2312" w:cs="仿宋_GB2312"/>
          <w:sz w:val="30"/>
          <w:szCs w:val="30"/>
        </w:rPr>
        <w:br w:type="textWrapping"/>
      </w:r>
      <w:r>
        <w:rPr>
          <w:rFonts w:hint="eastAsia" w:ascii="仿宋_GB2312" w:eastAsia="仿宋_GB2312" w:cs="仿宋_GB2312"/>
          <w:sz w:val="30"/>
          <w:szCs w:val="30"/>
        </w:rPr>
        <w:t xml:space="preserve">    农林水支出（类）水利（款）其他水利支出（项）年初预算为391200.00元，支出决算为195600.00元，完成年初预算数的50%，决算数小于年初预算数的主要原因是预算项目2021年第4季度-2022年1-3季度河（湖）长制以奖代补资金（二级以上河道）（区级）2022年剩余部分结转至2023年继续发放。</w:t>
      </w:r>
      <w:r>
        <w:rPr>
          <w:rFonts w:hint="eastAsia" w:ascii="仿宋_GB2312" w:eastAsia="仿宋_GB2312" w:cs="仿宋_GB2312"/>
          <w:sz w:val="30"/>
          <w:szCs w:val="30"/>
        </w:rPr>
        <w:br w:type="textWrapping"/>
      </w:r>
      <w:r>
        <w:rPr>
          <w:rFonts w:hint="eastAsia" w:ascii="仿宋_GB2312" w:eastAsia="仿宋_GB2312" w:cs="仿宋_GB2312"/>
          <w:sz w:val="30"/>
          <w:szCs w:val="30"/>
        </w:rPr>
        <w:t xml:space="preserve">    农林水支出（类）巩固脱贫衔接乡村振兴（款）其他巩固脱贫衔接乡村振兴支出（项）年初预算为500000</w:t>
      </w:r>
      <w:r>
        <w:rPr>
          <w:rFonts w:hint="eastAsia" w:ascii="仿宋_GB2312" w:eastAsia="仿宋_GB2312" w:cs="仿宋_GB2312"/>
          <w:sz w:val="30"/>
          <w:szCs w:val="30"/>
          <w:lang w:val="en-US" w:eastAsia="zh-CN"/>
        </w:rPr>
        <w:t>.00</w:t>
      </w:r>
      <w:r>
        <w:rPr>
          <w:rFonts w:hint="eastAsia" w:ascii="仿宋_GB2312" w:eastAsia="仿宋_GB2312" w:cs="仿宋_GB2312"/>
          <w:sz w:val="30"/>
          <w:szCs w:val="30"/>
        </w:rPr>
        <w:t>元，支出决算为500000.00元，完成年初预算数的100%。</w:t>
      </w:r>
      <w:r>
        <w:rPr>
          <w:rFonts w:hint="eastAsia" w:ascii="仿宋_GB2312" w:eastAsia="仿宋_GB2312" w:cs="仿宋_GB2312"/>
          <w:sz w:val="30"/>
          <w:szCs w:val="30"/>
        </w:rPr>
        <w:br w:type="textWrapping"/>
      </w:r>
      <w:r>
        <w:rPr>
          <w:rFonts w:hint="eastAsia" w:ascii="仿宋_GB2312" w:eastAsia="仿宋_GB2312" w:cs="仿宋_GB2312"/>
          <w:sz w:val="30"/>
          <w:szCs w:val="30"/>
        </w:rPr>
        <w:t xml:space="preserve">    农林水支出（类）农村综合改革（款）对村级公益事业建设的补助（项）年初预算为</w:t>
      </w:r>
      <w:r>
        <w:rPr>
          <w:rFonts w:hint="eastAsia" w:ascii="仿宋_GB2312" w:eastAsia="仿宋_GB2312" w:cs="仿宋_GB2312"/>
          <w:sz w:val="30"/>
          <w:szCs w:val="30"/>
          <w:lang w:val="en-US" w:eastAsia="zh-CN"/>
        </w:rPr>
        <w:t>0</w:t>
      </w:r>
      <w:r>
        <w:rPr>
          <w:rFonts w:hint="eastAsia" w:ascii="仿宋_GB2312" w:eastAsia="仿宋_GB2312" w:cs="仿宋_GB2312"/>
          <w:sz w:val="30"/>
          <w:szCs w:val="30"/>
        </w:rPr>
        <w:t>元，支出决算为100000.00元，完成年初预算数的</w:t>
      </w:r>
      <w:r>
        <w:rPr>
          <w:rFonts w:hint="eastAsia" w:ascii="仿宋_GB2312" w:eastAsia="仿宋_GB2312" w:cs="仿宋_GB2312"/>
          <w:sz w:val="30"/>
          <w:szCs w:val="30"/>
          <w:lang w:val="en-US" w:eastAsia="zh-CN"/>
        </w:rPr>
        <w:t>--</w:t>
      </w:r>
      <w:r>
        <w:rPr>
          <w:rFonts w:hint="eastAsia" w:ascii="仿宋_GB2312" w:eastAsia="仿宋_GB2312" w:cs="仿宋_GB2312"/>
          <w:sz w:val="30"/>
          <w:szCs w:val="30"/>
        </w:rPr>
        <w:t>%，决算数大于年初预算数的主要原因是</w:t>
      </w:r>
      <w:r>
        <w:rPr>
          <w:rFonts w:hint="eastAsia" w:ascii="仿宋_GB2312" w:eastAsia="仿宋_GB2312" w:cs="仿宋_GB2312"/>
          <w:sz w:val="30"/>
          <w:szCs w:val="30"/>
          <w:lang w:eastAsia="zh-CN"/>
        </w:rPr>
        <w:t>按照上级要求做预算调剂，增加支出</w:t>
      </w:r>
      <w:r>
        <w:rPr>
          <w:rFonts w:hint="eastAsia" w:ascii="仿宋_GB2312" w:eastAsia="仿宋_GB2312" w:cs="仿宋_GB2312"/>
          <w:sz w:val="30"/>
          <w:szCs w:val="30"/>
        </w:rPr>
        <w:t>。</w:t>
      </w:r>
      <w:r>
        <w:rPr>
          <w:rFonts w:hint="eastAsia" w:ascii="仿宋_GB2312" w:eastAsia="仿宋_GB2312" w:cs="仿宋_GB2312"/>
          <w:sz w:val="30"/>
          <w:szCs w:val="30"/>
        </w:rPr>
        <w:br w:type="textWrapping"/>
      </w:r>
      <w:r>
        <w:rPr>
          <w:rFonts w:hint="eastAsia" w:ascii="仿宋_GB2312" w:eastAsia="仿宋_GB2312" w:cs="仿宋_GB2312"/>
          <w:sz w:val="30"/>
          <w:szCs w:val="30"/>
        </w:rPr>
        <w:t xml:space="preserve">    农林水支出（类）农村综合改革（款）对村民委员会和村党支部的补助（项）年初预算为</w:t>
      </w:r>
      <w:r>
        <w:rPr>
          <w:rFonts w:hint="eastAsia" w:ascii="仿宋_GB2312" w:eastAsia="仿宋_GB2312" w:cs="仿宋_GB2312"/>
          <w:sz w:val="30"/>
          <w:szCs w:val="30"/>
          <w:lang w:val="en-US" w:eastAsia="zh-CN"/>
        </w:rPr>
        <w:t>4766300.00</w:t>
      </w:r>
      <w:r>
        <w:rPr>
          <w:rFonts w:hint="eastAsia" w:ascii="仿宋_GB2312" w:eastAsia="仿宋_GB2312" w:cs="仿宋_GB2312"/>
          <w:sz w:val="30"/>
          <w:szCs w:val="30"/>
        </w:rPr>
        <w:t>元，支出决算为5077066.61元，完成年初预算数的</w:t>
      </w:r>
      <w:r>
        <w:rPr>
          <w:rFonts w:hint="eastAsia" w:ascii="仿宋_GB2312" w:eastAsia="仿宋_GB2312" w:cs="仿宋_GB2312"/>
          <w:sz w:val="30"/>
          <w:szCs w:val="30"/>
          <w:lang w:val="en-US" w:eastAsia="zh-CN"/>
        </w:rPr>
        <w:t>106.52</w:t>
      </w:r>
      <w:r>
        <w:rPr>
          <w:rFonts w:hint="eastAsia" w:ascii="仿宋_GB2312" w:eastAsia="仿宋_GB2312" w:cs="仿宋_GB2312"/>
          <w:sz w:val="30"/>
          <w:szCs w:val="30"/>
        </w:rPr>
        <w:t>%，决算数大于年初预算数的主要原因是</w:t>
      </w:r>
      <w:r>
        <w:rPr>
          <w:rFonts w:hint="eastAsia" w:ascii="仿宋_GB2312" w:eastAsia="仿宋_GB2312" w:cs="仿宋_GB2312"/>
          <w:sz w:val="30"/>
          <w:szCs w:val="30"/>
          <w:lang w:eastAsia="zh-CN"/>
        </w:rPr>
        <w:t>按照上级要求做预算调剂，增加支出</w:t>
      </w:r>
      <w:r>
        <w:rPr>
          <w:rFonts w:hint="eastAsia" w:ascii="仿宋_GB2312" w:eastAsia="仿宋_GB2312" w:cs="仿宋_GB2312"/>
          <w:sz w:val="30"/>
          <w:szCs w:val="30"/>
        </w:rPr>
        <w:t>。</w:t>
      </w:r>
      <w:r>
        <w:rPr>
          <w:rFonts w:hint="eastAsia" w:ascii="仿宋_GB2312" w:eastAsia="仿宋_GB2312" w:cs="仿宋_GB2312"/>
          <w:sz w:val="30"/>
          <w:szCs w:val="30"/>
        </w:rPr>
        <w:br w:type="textWrapping"/>
      </w:r>
      <w:r>
        <w:rPr>
          <w:rFonts w:hint="eastAsia" w:ascii="仿宋_GB2312" w:eastAsia="仿宋_GB2312" w:cs="仿宋_GB2312"/>
          <w:sz w:val="30"/>
          <w:szCs w:val="30"/>
        </w:rPr>
        <w:t xml:space="preserve">    住房保障支出（类）保障性安居工程支出（款）农村危房改造（项）年初预算为</w:t>
      </w:r>
      <w:r>
        <w:rPr>
          <w:rFonts w:hint="eastAsia" w:ascii="仿宋_GB2312" w:eastAsia="仿宋_GB2312" w:cs="仿宋_GB2312"/>
          <w:sz w:val="30"/>
          <w:szCs w:val="30"/>
          <w:highlight w:val="none"/>
          <w:lang w:val="en-US" w:eastAsia="zh-CN"/>
        </w:rPr>
        <w:t>1200000.00</w:t>
      </w:r>
      <w:r>
        <w:rPr>
          <w:rFonts w:hint="eastAsia" w:ascii="仿宋_GB2312" w:eastAsia="仿宋_GB2312" w:cs="仿宋_GB2312"/>
          <w:sz w:val="30"/>
          <w:szCs w:val="30"/>
          <w:highlight w:val="none"/>
        </w:rPr>
        <w:t>元，支出决算为152750.00元，完成年初预算数的</w:t>
      </w:r>
      <w:r>
        <w:rPr>
          <w:rFonts w:hint="eastAsia" w:ascii="仿宋_GB2312" w:eastAsia="仿宋_GB2312" w:cs="仿宋_GB2312"/>
          <w:sz w:val="30"/>
          <w:szCs w:val="30"/>
          <w:highlight w:val="none"/>
          <w:lang w:val="en-US" w:eastAsia="zh-CN"/>
        </w:rPr>
        <w:t>12.73</w:t>
      </w:r>
      <w:r>
        <w:rPr>
          <w:rFonts w:hint="eastAsia" w:ascii="仿宋_GB2312" w:eastAsia="仿宋_GB2312" w:cs="仿宋_GB2312"/>
          <w:sz w:val="30"/>
          <w:szCs w:val="30"/>
          <w:highlight w:val="none"/>
        </w:rPr>
        <w:t>%，决算数小于年初预算数的主要原因是</w:t>
      </w:r>
      <w:r>
        <w:rPr>
          <w:rFonts w:hint="eastAsia" w:ascii="仿宋_GB2312" w:eastAsia="仿宋_GB2312" w:cs="仿宋_GB2312"/>
          <w:sz w:val="30"/>
          <w:szCs w:val="30"/>
          <w:highlight w:val="none"/>
          <w:lang w:eastAsia="zh-CN"/>
        </w:rPr>
        <w:t>按照实际发生列支</w:t>
      </w:r>
      <w:r>
        <w:rPr>
          <w:rFonts w:hint="eastAsia" w:ascii="仿宋_GB2312" w:eastAsia="仿宋_GB2312" w:cs="仿宋_GB2312"/>
          <w:sz w:val="30"/>
          <w:szCs w:val="30"/>
          <w:highlight w:val="none"/>
        </w:rPr>
        <w:t>。</w:t>
      </w:r>
      <w:r>
        <w:rPr>
          <w:rFonts w:hint="eastAsia" w:ascii="仿宋_GB2312" w:eastAsia="仿宋_GB2312" w:cs="仿宋_GB2312"/>
          <w:sz w:val="30"/>
          <w:szCs w:val="30"/>
        </w:rPr>
        <w:br w:type="textWrapping"/>
      </w:r>
      <w:r>
        <w:rPr>
          <w:rFonts w:hint="eastAsia" w:ascii="仿宋_GB2312" w:eastAsia="仿宋_GB2312" w:cs="仿宋_GB2312"/>
          <w:sz w:val="30"/>
          <w:szCs w:val="30"/>
        </w:rPr>
        <w:t xml:space="preserve">    住房保障支出（类）住房改革支出（款）住房公积金（项）年初预算为</w:t>
      </w:r>
      <w:r>
        <w:rPr>
          <w:rFonts w:hint="eastAsia" w:ascii="仿宋_GB2312" w:eastAsia="仿宋_GB2312" w:cs="仿宋_GB2312"/>
          <w:sz w:val="30"/>
          <w:szCs w:val="30"/>
          <w:lang w:val="en-US" w:eastAsia="zh-CN"/>
        </w:rPr>
        <w:t>1730220.00</w:t>
      </w:r>
      <w:r>
        <w:rPr>
          <w:rFonts w:hint="eastAsia" w:ascii="仿宋_GB2312" w:eastAsia="仿宋_GB2312" w:cs="仿宋_GB2312"/>
          <w:sz w:val="30"/>
          <w:szCs w:val="30"/>
        </w:rPr>
        <w:t>元，支出决算为1591853.00元，完成年初预算数的</w:t>
      </w:r>
      <w:r>
        <w:rPr>
          <w:rFonts w:hint="eastAsia" w:ascii="仿宋_GB2312" w:eastAsia="仿宋_GB2312" w:cs="仿宋_GB2312"/>
          <w:sz w:val="30"/>
          <w:szCs w:val="30"/>
          <w:lang w:val="en-US" w:eastAsia="zh-CN"/>
        </w:rPr>
        <w:t>92.00</w:t>
      </w:r>
      <w:r>
        <w:rPr>
          <w:rFonts w:hint="eastAsia" w:ascii="仿宋_GB2312" w:eastAsia="仿宋_GB2312" w:cs="仿宋_GB2312"/>
          <w:sz w:val="30"/>
          <w:szCs w:val="30"/>
        </w:rPr>
        <w:t>%，决算数小于年初预算数的主要原因是</w:t>
      </w:r>
      <w:r>
        <w:rPr>
          <w:rFonts w:hint="eastAsia" w:ascii="仿宋_GB2312" w:eastAsia="仿宋_GB2312" w:cs="仿宋_GB2312"/>
          <w:sz w:val="30"/>
          <w:szCs w:val="30"/>
          <w:lang w:eastAsia="zh-CN"/>
        </w:rPr>
        <w:t>按照实际发生列支。</w:t>
      </w:r>
    </w:p>
    <w:p>
      <w:pPr>
        <w:pStyle w:val="3"/>
        <w:spacing w:before="0" w:after="0" w:line="600" w:lineRule="exact"/>
        <w:ind w:firstLine="600" w:firstLineChars="200"/>
        <w:rPr>
          <w:rFonts w:ascii="黑体" w:hAnsi="黑体" w:eastAsia="黑体"/>
          <w:b w:val="0"/>
          <w:sz w:val="30"/>
          <w:szCs w:val="30"/>
        </w:rPr>
      </w:pPr>
      <w:bookmarkStart w:id="22" w:name="_Toc10721"/>
      <w:r>
        <w:rPr>
          <w:rFonts w:ascii="黑体" w:hAnsi="黑体" w:eastAsia="黑体"/>
          <w:b w:val="0"/>
          <w:sz w:val="30"/>
          <w:szCs w:val="30"/>
        </w:rPr>
        <w:t>六、一般公共预算财政拨款基本支出决算情况</w:t>
      </w:r>
      <w:r>
        <w:rPr>
          <w:rFonts w:hint="eastAsia" w:ascii="黑体" w:hAnsi="黑体" w:eastAsia="黑体"/>
          <w:b w:val="0"/>
          <w:sz w:val="30"/>
          <w:szCs w:val="30"/>
        </w:rPr>
        <w:t>说明</w:t>
      </w:r>
      <w:bookmarkEnd w:id="22"/>
    </w:p>
    <w:p>
      <w:pPr>
        <w:spacing w:line="600" w:lineRule="exact"/>
        <w:ind w:firstLine="645"/>
        <w:jc w:val="both"/>
        <w:rPr>
          <w:rFonts w:ascii="仿宋_GB2312" w:eastAsia="仿宋_GB2312" w:cs="仿宋_GB2312"/>
          <w:sz w:val="30"/>
          <w:szCs w:val="30"/>
        </w:rPr>
      </w:pPr>
      <w:r>
        <w:rPr>
          <w:rFonts w:hint="eastAsia" w:ascii="仿宋_GB2312" w:eastAsia="仿宋_GB2312" w:cs="仿宋_GB2312"/>
          <w:sz w:val="30"/>
          <w:szCs w:val="30"/>
        </w:rPr>
        <w:t>天津市津南区北闸口镇人民政府2022年度一般公共预算财政拨款基本支出合计41033749.83元，与2021年度相比减少76375039.23元，主要原因是</w:t>
      </w:r>
      <w:r>
        <w:rPr>
          <w:rFonts w:hint="eastAsia" w:ascii="仿宋_GB2312" w:eastAsia="仿宋_GB2312" w:cs="仿宋_GB2312"/>
          <w:sz w:val="30"/>
          <w:szCs w:val="30"/>
          <w:lang w:eastAsia="zh-CN"/>
        </w:rPr>
        <w:t>核算</w:t>
      </w:r>
      <w:r>
        <w:rPr>
          <w:rFonts w:hint="eastAsia" w:ascii="仿宋_GB2312" w:eastAsia="仿宋_GB2312" w:cs="仿宋_GB2312"/>
          <w:sz w:val="30"/>
          <w:szCs w:val="30"/>
          <w:u w:val="none"/>
        </w:rPr>
        <w:t>口径变更，学校、卫生院事业单位划归区教育、卫生系统核算</w:t>
      </w:r>
      <w:r>
        <w:rPr>
          <w:rFonts w:hint="eastAsia" w:ascii="仿宋_GB2312" w:eastAsia="仿宋_GB2312" w:cs="仿宋_GB2312"/>
          <w:sz w:val="30"/>
          <w:szCs w:val="30"/>
        </w:rPr>
        <w:t>其中：</w:t>
      </w:r>
      <w:r>
        <w:rPr>
          <w:rFonts w:hint="eastAsia" w:ascii="仿宋_GB2312" w:eastAsia="仿宋_GB2312" w:cs="仿宋_GB2312"/>
          <w:sz w:val="30"/>
          <w:szCs w:val="30"/>
        </w:rPr>
        <w:br w:type="textWrapping"/>
      </w:r>
      <w:r>
        <w:rPr>
          <w:rFonts w:hint="eastAsia" w:ascii="仿宋_GB2312" w:eastAsia="仿宋_GB2312" w:cs="仿宋_GB2312"/>
          <w:sz w:val="30"/>
          <w:szCs w:val="30"/>
        </w:rPr>
        <w:t>　　人员经费36056635.46元，主要包括基本工资、津贴补贴、奖金、绩效工资、机关事业单位养老保险缴费、职业年金缴费、职工基本医疗保险缴费、公务员医疗补助缴费、其他社会保障缴费、住房公积金、其他工资福利支出、退休费、抚恤金、生活补助；</w:t>
      </w:r>
      <w:r>
        <w:rPr>
          <w:rFonts w:hint="eastAsia" w:ascii="仿宋_GB2312" w:eastAsia="仿宋_GB2312" w:cs="仿宋_GB2312"/>
          <w:sz w:val="30"/>
          <w:szCs w:val="30"/>
        </w:rPr>
        <w:br w:type="textWrapping"/>
      </w:r>
      <w:r>
        <w:rPr>
          <w:rFonts w:hint="eastAsia" w:ascii="仿宋_GB2312" w:eastAsia="仿宋_GB2312" w:cs="仿宋_GB2312"/>
          <w:sz w:val="30"/>
          <w:szCs w:val="30"/>
        </w:rPr>
        <w:t>　　公用经费4977114.37元，主要包括办公费、手续费、水费、电费、邮电费、物业管理费、差旅费、维修（护）费、委托物业费、工会经费、福利费、公务用车运行维护费、其他交通费用、办公设备购置。</w:t>
      </w:r>
    </w:p>
    <w:p>
      <w:pPr>
        <w:pStyle w:val="3"/>
        <w:spacing w:before="0" w:after="0" w:line="600" w:lineRule="exact"/>
        <w:ind w:firstLine="600" w:firstLineChars="200"/>
        <w:rPr>
          <w:rFonts w:ascii="楷体" w:hAnsi="楷体" w:eastAsia="楷体" w:cs="仿宋_GB2312"/>
          <w:b w:val="0"/>
          <w:sz w:val="30"/>
          <w:szCs w:val="30"/>
        </w:rPr>
      </w:pPr>
      <w:bookmarkStart w:id="23" w:name="_Toc17918"/>
      <w:r>
        <w:rPr>
          <w:rFonts w:hint="eastAsia" w:ascii="黑体" w:hAnsi="黑体" w:eastAsia="黑体"/>
          <w:b w:val="0"/>
          <w:sz w:val="30"/>
          <w:szCs w:val="30"/>
        </w:rPr>
        <w:t>七</w:t>
      </w:r>
      <w:r>
        <w:rPr>
          <w:rFonts w:ascii="黑体" w:hAnsi="黑体" w:eastAsia="黑体"/>
          <w:b w:val="0"/>
          <w:sz w:val="30"/>
          <w:szCs w:val="30"/>
        </w:rPr>
        <w:t>、政府性基金预算财政拨款</w:t>
      </w:r>
      <w:r>
        <w:rPr>
          <w:rFonts w:hint="eastAsia" w:ascii="黑体" w:hAnsi="黑体" w:eastAsia="黑体"/>
          <w:b w:val="0"/>
          <w:sz w:val="30"/>
          <w:szCs w:val="30"/>
        </w:rPr>
        <w:t>收支决算</w:t>
      </w:r>
      <w:r>
        <w:rPr>
          <w:rFonts w:ascii="黑体" w:hAnsi="黑体" w:eastAsia="黑体"/>
          <w:b w:val="0"/>
          <w:sz w:val="30"/>
          <w:szCs w:val="30"/>
        </w:rPr>
        <w:t>情况</w:t>
      </w:r>
      <w:r>
        <w:rPr>
          <w:rFonts w:hint="eastAsia" w:ascii="黑体" w:hAnsi="黑体" w:eastAsia="黑体"/>
          <w:b w:val="0"/>
          <w:bCs w:val="0"/>
          <w:sz w:val="30"/>
          <w:szCs w:val="30"/>
        </w:rPr>
        <w:t>说明</w:t>
      </w:r>
      <w:bookmarkEnd w:id="23"/>
    </w:p>
    <w:p>
      <w:pPr>
        <w:spacing w:line="600" w:lineRule="exact"/>
        <w:ind w:firstLine="645"/>
        <w:jc w:val="both"/>
        <w:rPr>
          <w:rFonts w:ascii="仿宋_GB2312" w:eastAsia="仿宋_GB2312" w:cs="仿宋_GB2312"/>
          <w:sz w:val="30"/>
          <w:szCs w:val="30"/>
        </w:rPr>
      </w:pPr>
      <w:r>
        <w:rPr>
          <w:rFonts w:hint="eastAsia" w:ascii="仿宋_GB2312" w:eastAsia="仿宋_GB2312" w:cs="仿宋_GB2312"/>
          <w:sz w:val="30"/>
          <w:szCs w:val="30"/>
        </w:rPr>
        <w:t>天津市津南区北闸口镇人民政府2022年度政府性基金预算财政拨款年初结转和结余0.00元，收入538400619.00元，支出538400619.00元，年末结转和结余0.00元。与2021年度相比，政府性基金预算财政拨款支出增加538099801.00元，增长178878.86%，主要原因是本年按照区级主管部门要求安排政府性基金项目：海河工业区北闸口拓展区基础设施建设工程项目。</w:t>
      </w:r>
    </w:p>
    <w:p>
      <w:pPr>
        <w:pStyle w:val="3"/>
        <w:spacing w:before="0" w:after="0" w:line="600" w:lineRule="exact"/>
        <w:ind w:firstLine="600" w:firstLineChars="200"/>
        <w:rPr>
          <w:rFonts w:eastAsia="黑体"/>
          <w:b w:val="0"/>
          <w:sz w:val="30"/>
          <w:szCs w:val="30"/>
        </w:rPr>
      </w:pPr>
      <w:bookmarkStart w:id="24" w:name="_Toc23897"/>
      <w:r>
        <w:rPr>
          <w:rFonts w:hint="eastAsia" w:eastAsia="黑体"/>
          <w:b w:val="0"/>
          <w:sz w:val="30"/>
          <w:szCs w:val="30"/>
        </w:rPr>
        <w:t>八、国有资本经营预算财政拨款收支决算情况</w:t>
      </w:r>
      <w:r>
        <w:rPr>
          <w:rFonts w:hint="eastAsia" w:ascii="黑体" w:hAnsi="黑体" w:eastAsia="黑体"/>
          <w:b w:val="0"/>
          <w:bCs w:val="0"/>
          <w:sz w:val="30"/>
          <w:szCs w:val="30"/>
        </w:rPr>
        <w:t>说明</w:t>
      </w:r>
      <w:bookmarkEnd w:id="24"/>
    </w:p>
    <w:p>
      <w:pPr>
        <w:spacing w:line="600" w:lineRule="exact"/>
        <w:ind w:firstLine="645"/>
        <w:jc w:val="both"/>
        <w:rPr>
          <w:rFonts w:ascii="仿宋_GB2312" w:eastAsia="仿宋_GB2312" w:cs="仿宋_GB2312"/>
          <w:sz w:val="30"/>
          <w:szCs w:val="30"/>
        </w:rPr>
      </w:pPr>
      <w:r>
        <w:rPr>
          <w:rFonts w:hint="eastAsia" w:ascii="仿宋_GB2312" w:eastAsia="仿宋_GB2312" w:cs="仿宋_GB2312"/>
          <w:sz w:val="30"/>
          <w:szCs w:val="30"/>
        </w:rPr>
        <w:t>天津市津南区北闸口镇人民政府2022年度无国有资本经营预算财政拨款收入、支出和结转结余。</w:t>
      </w:r>
    </w:p>
    <w:p>
      <w:pPr>
        <w:pStyle w:val="3"/>
        <w:spacing w:before="0" w:after="0" w:line="600" w:lineRule="exact"/>
        <w:ind w:firstLine="600" w:firstLineChars="200"/>
        <w:rPr>
          <w:rFonts w:ascii="黑体" w:hAnsi="黑体" w:eastAsia="黑体"/>
          <w:b w:val="0"/>
          <w:sz w:val="30"/>
          <w:szCs w:val="30"/>
        </w:rPr>
      </w:pPr>
      <w:bookmarkStart w:id="25" w:name="_Toc4518"/>
      <w:r>
        <w:rPr>
          <w:rFonts w:hint="eastAsia" w:ascii="黑体" w:hAnsi="黑体" w:eastAsia="黑体"/>
          <w:b w:val="0"/>
          <w:sz w:val="30"/>
          <w:szCs w:val="30"/>
        </w:rPr>
        <w:t>九、</w:t>
      </w:r>
      <w:r>
        <w:rPr>
          <w:rFonts w:ascii="黑体" w:hAnsi="黑体" w:eastAsia="黑体"/>
          <w:b w:val="0"/>
          <w:sz w:val="30"/>
          <w:szCs w:val="30"/>
        </w:rPr>
        <w:t>一般公共预算财政拨款“三公”经费</w:t>
      </w:r>
      <w:r>
        <w:rPr>
          <w:rFonts w:hint="eastAsia" w:ascii="黑体" w:hAnsi="黑体" w:eastAsia="黑体"/>
          <w:b w:val="0"/>
          <w:sz w:val="30"/>
          <w:szCs w:val="30"/>
        </w:rPr>
        <w:t>支出决算</w:t>
      </w:r>
      <w:r>
        <w:rPr>
          <w:rFonts w:ascii="黑体" w:hAnsi="黑体" w:eastAsia="黑体"/>
          <w:b w:val="0"/>
          <w:sz w:val="30"/>
          <w:szCs w:val="30"/>
        </w:rPr>
        <w:t>情况</w:t>
      </w:r>
      <w:r>
        <w:rPr>
          <w:rFonts w:hint="eastAsia" w:ascii="黑体" w:hAnsi="黑体" w:eastAsia="黑体"/>
          <w:b w:val="0"/>
          <w:bCs w:val="0"/>
          <w:sz w:val="30"/>
          <w:szCs w:val="30"/>
        </w:rPr>
        <w:t>说明</w:t>
      </w:r>
      <w:bookmarkEnd w:id="25"/>
    </w:p>
    <w:p>
      <w:pPr>
        <w:spacing w:line="600" w:lineRule="exact"/>
        <w:ind w:firstLine="602" w:firstLineChars="200"/>
        <w:jc w:val="both"/>
        <w:rPr>
          <w:rFonts w:ascii="楷体" w:hAnsi="楷体" w:eastAsia="楷体" w:cs="楷体"/>
          <w:b/>
          <w:bCs/>
          <w:sz w:val="30"/>
          <w:szCs w:val="30"/>
        </w:rPr>
      </w:pPr>
      <w:r>
        <w:rPr>
          <w:rFonts w:hint="eastAsia" w:ascii="楷体" w:hAnsi="楷体" w:eastAsia="楷体" w:cs="楷体"/>
          <w:b/>
          <w:bCs/>
          <w:sz w:val="30"/>
          <w:szCs w:val="30"/>
        </w:rPr>
        <w:t>（一）总体情况</w:t>
      </w:r>
    </w:p>
    <w:p>
      <w:pPr>
        <w:spacing w:line="600" w:lineRule="exact"/>
        <w:ind w:firstLine="645"/>
        <w:jc w:val="both"/>
        <w:rPr>
          <w:rFonts w:ascii="仿宋_GB2312" w:eastAsia="仿宋_GB2312" w:cs="仿宋_GB2312"/>
          <w:sz w:val="30"/>
          <w:szCs w:val="30"/>
        </w:rPr>
      </w:pPr>
      <w:r>
        <w:rPr>
          <w:rFonts w:hint="eastAsia" w:ascii="仿宋_GB2312" w:eastAsia="仿宋_GB2312" w:cs="仿宋_GB2312"/>
          <w:sz w:val="30"/>
          <w:szCs w:val="30"/>
        </w:rPr>
        <w:t>2022年一般公共预算财政拨款“三公”经费预算</w:t>
      </w:r>
      <w:r>
        <w:rPr>
          <w:rFonts w:hint="eastAsia" w:ascii="仿宋_GB2312" w:eastAsia="仿宋_GB2312" w:cs="仿宋_GB2312"/>
          <w:sz w:val="30"/>
          <w:szCs w:val="30"/>
          <w:lang w:val="en-US" w:eastAsia="zh-CN"/>
        </w:rPr>
        <w:t>213547.05</w:t>
      </w:r>
      <w:r>
        <w:rPr>
          <w:rFonts w:hint="eastAsia" w:ascii="仿宋_GB2312" w:eastAsia="仿宋_GB2312" w:cs="仿宋_GB2312"/>
          <w:sz w:val="30"/>
          <w:szCs w:val="30"/>
        </w:rPr>
        <w:t>元，支出决算161147.90元（去年同期122229.18元），支出决算与2022年预算相比减少</w:t>
      </w:r>
      <w:r>
        <w:rPr>
          <w:rFonts w:hint="eastAsia" w:ascii="仿宋_GB2312" w:eastAsia="仿宋_GB2312" w:cs="仿宋_GB2312"/>
          <w:sz w:val="30"/>
          <w:szCs w:val="30"/>
          <w:lang w:val="en-US" w:eastAsia="zh-CN"/>
        </w:rPr>
        <w:t>52399.15</w:t>
      </w:r>
      <w:r>
        <w:rPr>
          <w:rFonts w:hint="eastAsia" w:ascii="仿宋_GB2312" w:eastAsia="仿宋_GB2312" w:cs="仿宋_GB2312"/>
          <w:sz w:val="30"/>
          <w:szCs w:val="30"/>
        </w:rPr>
        <w:t>元,完成预算的</w:t>
      </w:r>
      <w:r>
        <w:rPr>
          <w:rFonts w:hint="eastAsia" w:ascii="仿宋_GB2312" w:eastAsia="仿宋_GB2312" w:cs="仿宋_GB2312"/>
          <w:sz w:val="30"/>
          <w:szCs w:val="30"/>
          <w:lang w:val="en-US" w:eastAsia="zh-CN"/>
        </w:rPr>
        <w:t>75.46</w:t>
      </w:r>
      <w:r>
        <w:rPr>
          <w:rFonts w:hint="eastAsia" w:ascii="仿宋_GB2312" w:eastAsia="仿宋_GB2312" w:cs="仿宋_GB2312"/>
          <w:sz w:val="30"/>
          <w:szCs w:val="30"/>
        </w:rPr>
        <w:t>%；支出决算较上年增加38918.72元，增长31.84%。决算数小于预算数的主要原因是按照政策要求，厉行节约，压缩三公经费预算。决算数较上年增加的主要原因是按照实际缴费列支。</w:t>
      </w:r>
    </w:p>
    <w:p>
      <w:pPr>
        <w:spacing w:line="600" w:lineRule="exact"/>
        <w:ind w:firstLine="602" w:firstLineChars="200"/>
        <w:jc w:val="both"/>
        <w:rPr>
          <w:rFonts w:ascii="楷体" w:hAnsi="楷体" w:eastAsia="楷体" w:cs="楷体"/>
          <w:b/>
          <w:bCs/>
          <w:sz w:val="30"/>
          <w:szCs w:val="30"/>
        </w:rPr>
      </w:pPr>
      <w:r>
        <w:rPr>
          <w:rFonts w:hint="eastAsia" w:ascii="楷体" w:hAnsi="楷体" w:eastAsia="楷体" w:cs="楷体"/>
          <w:b/>
          <w:bCs/>
          <w:sz w:val="30"/>
          <w:szCs w:val="30"/>
        </w:rPr>
        <w:t>（二）具体情况</w:t>
      </w:r>
    </w:p>
    <w:p>
      <w:pPr>
        <w:spacing w:line="600" w:lineRule="exact"/>
        <w:ind w:firstLine="600" w:firstLineChars="200"/>
        <w:jc w:val="both"/>
        <w:rPr>
          <w:rFonts w:eastAsia="仿宋_GB2312"/>
          <w:sz w:val="30"/>
          <w:szCs w:val="30"/>
        </w:rPr>
      </w:pPr>
      <w:r>
        <w:rPr>
          <w:rFonts w:hint="eastAsia" w:eastAsia="仿宋_GB2312"/>
          <w:sz w:val="30"/>
          <w:szCs w:val="30"/>
        </w:rPr>
        <w:t>1.</w:t>
      </w:r>
      <w:r>
        <w:rPr>
          <w:rFonts w:hint="eastAsia" w:ascii="仿宋_GB2312" w:eastAsia="仿宋_GB2312" w:cs="仿宋_GB2312"/>
          <w:sz w:val="30"/>
          <w:szCs w:val="30"/>
        </w:rPr>
        <w:t>因公出国（境）费预算0.00元，支出决算0.00元（去年同期0.00元），支出决算与预算相比持平；支出决算较上年持平。</w:t>
      </w:r>
      <w:r>
        <w:rPr>
          <w:rFonts w:ascii="仿宋_GB2312" w:eastAsia="仿宋_GB2312" w:cs="仿宋_GB2312"/>
          <w:sz w:val="30"/>
          <w:szCs w:val="30"/>
        </w:rPr>
        <w:t>因本年及去年同期均未使用一般公共预算财政拨款列支“因公出国（境）”经费，故本年支出决算与本年预算、上年支出决算均持平为0。2022</w:t>
      </w:r>
      <w:r>
        <w:rPr>
          <w:rFonts w:hint="eastAsia" w:ascii="仿宋_GB2312" w:eastAsia="仿宋_GB2312" w:cs="仿宋_GB2312"/>
          <w:sz w:val="30"/>
          <w:szCs w:val="30"/>
        </w:rPr>
        <w:t>年本单位组织的出国团组0个，出国0人次。</w:t>
      </w:r>
    </w:p>
    <w:p>
      <w:pPr>
        <w:spacing w:line="600" w:lineRule="exact"/>
        <w:ind w:firstLine="600" w:firstLineChars="200"/>
        <w:jc w:val="both"/>
        <w:rPr>
          <w:rFonts w:eastAsia="仿宋_GB2312"/>
          <w:sz w:val="30"/>
          <w:szCs w:val="30"/>
        </w:rPr>
      </w:pPr>
      <w:r>
        <w:rPr>
          <w:rFonts w:hint="eastAsia" w:eastAsia="仿宋_GB2312"/>
          <w:sz w:val="30"/>
          <w:szCs w:val="30"/>
        </w:rPr>
        <w:t>2.</w:t>
      </w:r>
      <w:r>
        <w:rPr>
          <w:rFonts w:hint="eastAsia" w:ascii="仿宋_GB2312" w:eastAsia="仿宋_GB2312" w:cs="仿宋_GB2312"/>
          <w:sz w:val="30"/>
          <w:szCs w:val="30"/>
        </w:rPr>
        <w:t>公务用车购置及运行维护费预算</w:t>
      </w:r>
      <w:r>
        <w:rPr>
          <w:rFonts w:hint="eastAsia" w:ascii="仿宋_GB2312" w:eastAsia="仿宋_GB2312" w:cs="仿宋_GB2312"/>
          <w:sz w:val="30"/>
          <w:szCs w:val="30"/>
          <w:lang w:val="en-US" w:eastAsia="zh-CN"/>
        </w:rPr>
        <w:t>213547.05</w:t>
      </w:r>
      <w:r>
        <w:rPr>
          <w:rFonts w:hint="eastAsia" w:ascii="仿宋_GB2312" w:eastAsia="仿宋_GB2312" w:cs="仿宋_GB2312"/>
          <w:sz w:val="30"/>
          <w:szCs w:val="30"/>
        </w:rPr>
        <w:t>元，支出决算161147.90元（去年同期122229.18元），支出决算与预算相比减少</w:t>
      </w:r>
      <w:r>
        <w:rPr>
          <w:rFonts w:hint="eastAsia" w:ascii="仿宋_GB2312" w:eastAsia="仿宋_GB2312" w:cs="仿宋_GB2312"/>
          <w:sz w:val="30"/>
          <w:szCs w:val="30"/>
          <w:lang w:val="en-US" w:eastAsia="zh-CN"/>
        </w:rPr>
        <w:t>52399.15</w:t>
      </w:r>
      <w:r>
        <w:rPr>
          <w:rFonts w:hint="eastAsia" w:ascii="仿宋_GB2312" w:eastAsia="仿宋_GB2312" w:cs="仿宋_GB2312"/>
          <w:sz w:val="30"/>
          <w:szCs w:val="30"/>
        </w:rPr>
        <w:t>元,完成预算的</w:t>
      </w:r>
      <w:r>
        <w:rPr>
          <w:rFonts w:hint="eastAsia" w:ascii="仿宋_GB2312" w:eastAsia="仿宋_GB2312" w:cs="仿宋_GB2312"/>
          <w:sz w:val="30"/>
          <w:szCs w:val="30"/>
          <w:lang w:val="en-US" w:eastAsia="zh-CN"/>
        </w:rPr>
        <w:t>75.46</w:t>
      </w:r>
      <w:r>
        <w:rPr>
          <w:rFonts w:hint="eastAsia" w:ascii="仿宋_GB2312" w:eastAsia="仿宋_GB2312" w:cs="仿宋_GB2312"/>
          <w:sz w:val="30"/>
          <w:szCs w:val="30"/>
        </w:rPr>
        <w:t>%；支出决算较上年增加38918.72元，增长31.84%。其中：</w:t>
      </w:r>
    </w:p>
    <w:p>
      <w:pPr>
        <w:spacing w:line="600" w:lineRule="exact"/>
        <w:ind w:firstLine="600" w:firstLineChars="200"/>
        <w:jc w:val="both"/>
        <w:rPr>
          <w:rFonts w:eastAsia="仿宋_GB2312"/>
          <w:sz w:val="30"/>
          <w:szCs w:val="30"/>
        </w:rPr>
      </w:pPr>
      <w:r>
        <w:rPr>
          <w:rFonts w:hint="eastAsia" w:ascii="仿宋_GB2312" w:eastAsia="仿宋_GB2312" w:cs="仿宋_GB2312"/>
          <w:sz w:val="30"/>
          <w:szCs w:val="30"/>
        </w:rPr>
        <w:t>公务用车运行维护费预算</w:t>
      </w:r>
      <w:r>
        <w:rPr>
          <w:rFonts w:hint="eastAsia" w:ascii="仿宋_GB2312" w:eastAsia="仿宋_GB2312" w:cs="仿宋_GB2312"/>
          <w:sz w:val="30"/>
          <w:szCs w:val="30"/>
          <w:lang w:val="en-US" w:eastAsia="zh-CN"/>
        </w:rPr>
        <w:t>213547.05</w:t>
      </w:r>
      <w:r>
        <w:rPr>
          <w:rFonts w:hint="eastAsia" w:ascii="仿宋_GB2312" w:eastAsia="仿宋_GB2312" w:cs="仿宋_GB2312"/>
          <w:sz w:val="30"/>
          <w:szCs w:val="30"/>
        </w:rPr>
        <w:t>元，支出决算161147.90元（去年同期122229.18元），支出决算与预算相比减少</w:t>
      </w:r>
      <w:r>
        <w:rPr>
          <w:rFonts w:hint="eastAsia" w:ascii="仿宋_GB2312" w:eastAsia="仿宋_GB2312" w:cs="仿宋_GB2312"/>
          <w:sz w:val="30"/>
          <w:szCs w:val="30"/>
          <w:lang w:val="en-US" w:eastAsia="zh-CN"/>
        </w:rPr>
        <w:t>52399.15</w:t>
      </w:r>
      <w:r>
        <w:rPr>
          <w:rFonts w:hint="eastAsia" w:ascii="仿宋_GB2312" w:eastAsia="仿宋_GB2312" w:cs="仿宋_GB2312"/>
          <w:sz w:val="30"/>
          <w:szCs w:val="30"/>
        </w:rPr>
        <w:t>元,完成预算的</w:t>
      </w:r>
      <w:r>
        <w:rPr>
          <w:rFonts w:hint="eastAsia" w:ascii="仿宋_GB2312" w:eastAsia="仿宋_GB2312" w:cs="仿宋_GB2312"/>
          <w:sz w:val="30"/>
          <w:szCs w:val="30"/>
          <w:lang w:val="en-US" w:eastAsia="zh-CN"/>
        </w:rPr>
        <w:t>75.46</w:t>
      </w:r>
      <w:r>
        <w:rPr>
          <w:rFonts w:hint="eastAsia" w:ascii="仿宋_GB2312" w:eastAsia="仿宋_GB2312" w:cs="仿宋_GB2312"/>
          <w:sz w:val="30"/>
          <w:szCs w:val="30"/>
        </w:rPr>
        <w:t>%；支出决算较上年增加38918.72元，增长31.84%。决算数小于预算数的主要原因是按照政策要求，厉行节约，压缩三公经费预算。决算数较上年增加的主要原因是按照实际缴费列支。截至2022年12月31日，使用</w:t>
      </w:r>
      <w:r>
        <w:rPr>
          <w:rFonts w:hint="eastAsia" w:eastAsia="仿宋_GB2312"/>
          <w:sz w:val="30"/>
          <w:szCs w:val="30"/>
        </w:rPr>
        <w:t>一般公共预算</w:t>
      </w:r>
      <w:r>
        <w:rPr>
          <w:rFonts w:hint="eastAsia" w:ascii="仿宋_GB2312" w:eastAsia="仿宋_GB2312" w:cs="仿宋_GB2312"/>
          <w:sz w:val="30"/>
          <w:szCs w:val="30"/>
        </w:rPr>
        <w:t>财政拨款开支运行维护费的公务用车保有量为9辆。</w:t>
      </w:r>
    </w:p>
    <w:p>
      <w:pPr>
        <w:spacing w:line="600" w:lineRule="exact"/>
        <w:ind w:firstLine="600" w:firstLineChars="200"/>
        <w:jc w:val="both"/>
        <w:rPr>
          <w:rFonts w:eastAsia="仿宋_GB2312"/>
          <w:sz w:val="30"/>
          <w:szCs w:val="30"/>
        </w:rPr>
      </w:pPr>
      <w:r>
        <w:rPr>
          <w:rFonts w:hint="eastAsia" w:ascii="仿宋_GB2312" w:eastAsia="仿宋_GB2312" w:cs="仿宋_GB2312"/>
          <w:sz w:val="30"/>
          <w:szCs w:val="30"/>
        </w:rPr>
        <w:t>公务用车购置费预算0.00元，支出决算0.00元（去年同期</w:t>
      </w:r>
      <w:r>
        <w:rPr>
          <w:rFonts w:hint="eastAsia" w:ascii="仿宋_GB2312" w:eastAsia="仿宋_GB2312" w:cs="仿宋_GB2312"/>
          <w:sz w:val="30"/>
          <w:szCs w:val="30"/>
          <w:lang w:val="en-US" w:eastAsia="zh-CN"/>
        </w:rPr>
        <w:t>00</w:t>
      </w:r>
      <w:r>
        <w:rPr>
          <w:rFonts w:hint="eastAsia" w:ascii="仿宋_GB2312" w:eastAsia="仿宋_GB2312" w:cs="仿宋_GB2312"/>
          <w:sz w:val="30"/>
          <w:szCs w:val="30"/>
        </w:rPr>
        <w:t>.00元），支出决算与预算相比持平；支出决算较上年持平。因本年及去年同期均未使用一般公共预算财政拨款列支“公务用车购置”经费，故本年支出决算与本年预算、上年支出决算均持平为0。2022年购置公务用车0辆。</w:t>
      </w:r>
    </w:p>
    <w:p>
      <w:pPr>
        <w:spacing w:line="600" w:lineRule="exact"/>
        <w:ind w:firstLine="645"/>
        <w:jc w:val="both"/>
        <w:rPr>
          <w:rFonts w:eastAsia="仿宋_GB2312" w:cs="仿宋_GB2312"/>
          <w:sz w:val="30"/>
          <w:szCs w:val="30"/>
        </w:rPr>
      </w:pPr>
      <w:r>
        <w:rPr>
          <w:rFonts w:hint="eastAsia" w:eastAsia="仿宋_GB2312"/>
          <w:sz w:val="30"/>
          <w:szCs w:val="30"/>
        </w:rPr>
        <w:t>3.</w:t>
      </w:r>
      <w:r>
        <w:rPr>
          <w:rFonts w:hint="eastAsia" w:ascii="仿宋_GB2312" w:eastAsia="仿宋_GB2312" w:cs="仿宋_GB2312"/>
          <w:sz w:val="30"/>
          <w:szCs w:val="30"/>
        </w:rPr>
        <w:t>公务接待费预算0.00元，支出决算0.00元（去年同期0.00元），支出决算与预算相比持平；支出决算较上年持平。</w:t>
      </w:r>
      <w:r>
        <w:rPr>
          <w:rFonts w:ascii="仿宋_GB2312" w:eastAsia="仿宋_GB2312" w:cs="仿宋_GB2312"/>
          <w:sz w:val="30"/>
          <w:szCs w:val="30"/>
        </w:rPr>
        <w:t>因本年及去年同期均未使用一般公共预算财政拨款列支“公务接待”经费，故本年支出决算与本年预算、上年支出决算均持平为0。2022</w:t>
      </w:r>
      <w:r>
        <w:rPr>
          <w:rFonts w:hint="eastAsia" w:ascii="仿宋_GB2312" w:eastAsia="仿宋_GB2312" w:cs="仿宋_GB2312"/>
          <w:sz w:val="30"/>
          <w:szCs w:val="30"/>
        </w:rPr>
        <w:t>年本单位国内公务接待0批</w:t>
      </w:r>
      <w:r>
        <w:rPr>
          <w:rFonts w:hint="eastAsia" w:eastAsia="仿宋_GB2312" w:cs="仿宋_GB2312"/>
          <w:sz w:val="30"/>
          <w:szCs w:val="30"/>
        </w:rPr>
        <w:t>次，</w:t>
      </w:r>
      <w:r>
        <w:rPr>
          <w:rFonts w:hint="eastAsia" w:ascii="仿宋_GB2312" w:eastAsia="仿宋_GB2312" w:cs="仿宋_GB2312"/>
          <w:sz w:val="30"/>
          <w:szCs w:val="30"/>
        </w:rPr>
        <w:t>0</w:t>
      </w:r>
      <w:r>
        <w:rPr>
          <w:rFonts w:hint="eastAsia" w:eastAsia="仿宋_GB2312" w:cs="仿宋_GB2312"/>
          <w:sz w:val="30"/>
          <w:szCs w:val="30"/>
        </w:rPr>
        <w:t>人次；其中，外事接待</w:t>
      </w:r>
      <w:r>
        <w:rPr>
          <w:rFonts w:hint="eastAsia" w:ascii="仿宋_GB2312" w:eastAsia="仿宋_GB2312" w:cs="仿宋_GB2312"/>
          <w:sz w:val="30"/>
          <w:szCs w:val="30"/>
        </w:rPr>
        <w:t>0</w:t>
      </w:r>
      <w:r>
        <w:rPr>
          <w:rFonts w:hint="eastAsia" w:eastAsia="仿宋_GB2312" w:cs="仿宋_GB2312"/>
          <w:sz w:val="30"/>
          <w:szCs w:val="30"/>
        </w:rPr>
        <w:t>批次，</w:t>
      </w:r>
      <w:r>
        <w:rPr>
          <w:rFonts w:hint="eastAsia" w:ascii="仿宋_GB2312" w:eastAsia="仿宋_GB2312" w:cs="仿宋_GB2312"/>
          <w:sz w:val="30"/>
          <w:szCs w:val="30"/>
        </w:rPr>
        <w:t>0</w:t>
      </w:r>
      <w:r>
        <w:rPr>
          <w:rFonts w:hint="eastAsia" w:eastAsia="仿宋_GB2312" w:cs="仿宋_GB2312"/>
          <w:sz w:val="30"/>
          <w:szCs w:val="30"/>
        </w:rPr>
        <w:t>人次。</w:t>
      </w:r>
    </w:p>
    <w:p>
      <w:pPr>
        <w:pStyle w:val="3"/>
        <w:spacing w:before="0" w:after="0" w:line="600" w:lineRule="exact"/>
        <w:ind w:firstLine="600" w:firstLineChars="200"/>
        <w:rPr>
          <w:rFonts w:ascii="黑体" w:hAnsi="黑体" w:eastAsia="黑体"/>
          <w:b w:val="0"/>
          <w:sz w:val="30"/>
          <w:szCs w:val="30"/>
        </w:rPr>
      </w:pPr>
      <w:bookmarkStart w:id="26" w:name="_Toc3411"/>
      <w:r>
        <w:rPr>
          <w:rFonts w:hint="eastAsia" w:ascii="黑体" w:hAnsi="黑体" w:eastAsia="黑体"/>
          <w:b w:val="0"/>
          <w:sz w:val="30"/>
          <w:szCs w:val="30"/>
        </w:rPr>
        <w:t>十、</w:t>
      </w:r>
      <w:r>
        <w:rPr>
          <w:rFonts w:ascii="黑体" w:hAnsi="黑体" w:eastAsia="黑体"/>
          <w:b w:val="0"/>
          <w:sz w:val="30"/>
          <w:szCs w:val="30"/>
        </w:rPr>
        <w:t>机关运行经费</w:t>
      </w:r>
      <w:r>
        <w:rPr>
          <w:rFonts w:hint="eastAsia" w:ascii="黑体" w:hAnsi="黑体" w:eastAsia="黑体"/>
          <w:b w:val="0"/>
          <w:sz w:val="30"/>
          <w:szCs w:val="30"/>
        </w:rPr>
        <w:t>支出情况</w:t>
      </w:r>
      <w:r>
        <w:rPr>
          <w:rFonts w:hint="eastAsia" w:ascii="黑体" w:hAnsi="黑体" w:eastAsia="黑体"/>
          <w:b w:val="0"/>
          <w:bCs w:val="0"/>
          <w:sz w:val="30"/>
          <w:szCs w:val="30"/>
        </w:rPr>
        <w:t>说明</w:t>
      </w:r>
      <w:bookmarkEnd w:id="26"/>
    </w:p>
    <w:p>
      <w:pPr>
        <w:spacing w:line="600" w:lineRule="exact"/>
        <w:ind w:firstLine="645"/>
        <w:jc w:val="both"/>
        <w:rPr>
          <w:rFonts w:ascii="仿宋_GB2312" w:eastAsia="仿宋_GB2312" w:cs="仿宋_GB2312"/>
          <w:sz w:val="30"/>
          <w:szCs w:val="30"/>
        </w:rPr>
      </w:pPr>
      <w:r>
        <w:rPr>
          <w:rFonts w:hint="eastAsia" w:ascii="仿宋_GB2312" w:eastAsia="仿宋_GB2312" w:cs="仿宋_GB2312"/>
          <w:sz w:val="30"/>
          <w:szCs w:val="30"/>
        </w:rPr>
        <w:t>机关运行经费是指行政单位和参照公务员法管理的事业单位使用一般公共预算财政拨款安排的基本支出中的日常公用经费支出，天津市津南区北闸口镇人民政府2022年度机关运行经费决算数4810282.10元，比2021年减少943179.53元，下降16.39%，主要原因是</w:t>
      </w:r>
      <w:r>
        <w:rPr>
          <w:rFonts w:hint="eastAsia" w:ascii="仿宋_GB2312" w:eastAsia="仿宋_GB2312" w:cs="仿宋_GB2312"/>
          <w:sz w:val="30"/>
          <w:szCs w:val="30"/>
          <w:lang w:eastAsia="zh-CN"/>
        </w:rPr>
        <w:t>按照政策要求，厉行节约，缩减开支</w:t>
      </w:r>
      <w:r>
        <w:rPr>
          <w:rFonts w:hint="eastAsia" w:ascii="仿宋_GB2312" w:eastAsia="仿宋_GB2312" w:cs="仿宋_GB2312"/>
          <w:sz w:val="30"/>
          <w:szCs w:val="30"/>
        </w:rPr>
        <w:t>。</w:t>
      </w:r>
    </w:p>
    <w:p>
      <w:pPr>
        <w:pStyle w:val="3"/>
        <w:spacing w:before="0" w:after="0" w:line="600" w:lineRule="exact"/>
        <w:ind w:firstLine="600" w:firstLineChars="200"/>
        <w:rPr>
          <w:rFonts w:ascii="黑体" w:hAnsi="黑体" w:eastAsia="黑体"/>
          <w:b w:val="0"/>
          <w:sz w:val="30"/>
          <w:szCs w:val="30"/>
        </w:rPr>
      </w:pPr>
      <w:bookmarkStart w:id="27" w:name="_Toc31102"/>
      <w:r>
        <w:rPr>
          <w:rFonts w:hint="eastAsia" w:ascii="黑体" w:hAnsi="黑体" w:eastAsia="黑体"/>
          <w:b w:val="0"/>
          <w:sz w:val="30"/>
          <w:szCs w:val="30"/>
        </w:rPr>
        <w:t>十一、</w:t>
      </w:r>
      <w:r>
        <w:rPr>
          <w:rFonts w:ascii="黑体" w:hAnsi="黑体" w:eastAsia="黑体"/>
          <w:b w:val="0"/>
          <w:sz w:val="30"/>
          <w:szCs w:val="30"/>
        </w:rPr>
        <w:t>政府采购</w:t>
      </w:r>
      <w:r>
        <w:rPr>
          <w:rFonts w:hint="eastAsia" w:ascii="黑体" w:hAnsi="黑体" w:eastAsia="黑体"/>
          <w:b w:val="0"/>
          <w:sz w:val="30"/>
          <w:szCs w:val="30"/>
        </w:rPr>
        <w:t>支出</w:t>
      </w:r>
      <w:r>
        <w:rPr>
          <w:rFonts w:ascii="黑体" w:hAnsi="黑体" w:eastAsia="黑体"/>
          <w:b w:val="0"/>
          <w:sz w:val="30"/>
          <w:szCs w:val="30"/>
        </w:rPr>
        <w:t>情况</w:t>
      </w:r>
      <w:r>
        <w:rPr>
          <w:rFonts w:hint="eastAsia" w:ascii="黑体" w:hAnsi="黑体" w:eastAsia="黑体"/>
          <w:b w:val="0"/>
          <w:bCs w:val="0"/>
          <w:sz w:val="30"/>
          <w:szCs w:val="30"/>
        </w:rPr>
        <w:t>说明</w:t>
      </w:r>
      <w:bookmarkEnd w:id="27"/>
    </w:p>
    <w:p>
      <w:pPr>
        <w:spacing w:line="600" w:lineRule="exact"/>
        <w:ind w:firstLine="645"/>
        <w:jc w:val="both"/>
        <w:rPr>
          <w:rFonts w:hint="eastAsia" w:ascii="仿宋_GB2312" w:eastAsia="仿宋_GB2312" w:cs="仿宋_GB2312"/>
          <w:sz w:val="30"/>
          <w:szCs w:val="30"/>
        </w:rPr>
      </w:pPr>
      <w:r>
        <w:rPr>
          <w:rFonts w:hint="eastAsia" w:ascii="仿宋_GB2312" w:eastAsia="仿宋_GB2312" w:cs="仿宋_GB2312"/>
          <w:sz w:val="30"/>
          <w:szCs w:val="30"/>
        </w:rPr>
        <w:t>天津市津南区北闸口镇人民政府2022年政府采购支出总额33750229.07元，其中：政府采购货物支出780253.00元、政府采购工程支出1011738.00元、政府采购服务支出31958238.07元。授予中小企业合同金额</w:t>
      </w:r>
      <w:r>
        <w:rPr>
          <w:rFonts w:hint="eastAsia" w:ascii="仿宋_GB2312" w:eastAsia="仿宋_GB2312" w:cs="仿宋_GB2312"/>
          <w:sz w:val="30"/>
          <w:szCs w:val="30"/>
          <w:lang w:val="en-US" w:eastAsia="zh-CN"/>
        </w:rPr>
        <w:t>26350287.00</w:t>
      </w:r>
      <w:r>
        <w:rPr>
          <w:rFonts w:hint="eastAsia" w:ascii="仿宋_GB2312" w:eastAsia="仿宋_GB2312" w:cs="仿宋_GB2312"/>
          <w:sz w:val="30"/>
          <w:szCs w:val="30"/>
        </w:rPr>
        <w:t>元，占政府采购支出总额的</w:t>
      </w:r>
      <w:r>
        <w:rPr>
          <w:rFonts w:hint="eastAsia" w:ascii="仿宋_GB2312" w:eastAsia="仿宋_GB2312" w:cs="仿宋_GB2312"/>
          <w:sz w:val="30"/>
          <w:szCs w:val="30"/>
          <w:lang w:val="en-US" w:eastAsia="zh-CN"/>
        </w:rPr>
        <w:t>78.07</w:t>
      </w:r>
      <w:r>
        <w:rPr>
          <w:rFonts w:hint="eastAsia" w:ascii="仿宋_GB2312" w:eastAsia="仿宋_GB2312" w:cs="仿宋_GB2312"/>
          <w:sz w:val="30"/>
          <w:szCs w:val="30"/>
        </w:rPr>
        <w:t>%，其中：授予小微企业合同金额</w:t>
      </w:r>
      <w:r>
        <w:rPr>
          <w:rFonts w:hint="eastAsia" w:ascii="仿宋_GB2312" w:eastAsia="仿宋_GB2312" w:cs="仿宋_GB2312"/>
          <w:sz w:val="30"/>
          <w:szCs w:val="30"/>
          <w:lang w:val="en-US" w:eastAsia="zh-CN"/>
        </w:rPr>
        <w:t>26350287</w:t>
      </w:r>
      <w:r>
        <w:rPr>
          <w:rFonts w:hint="eastAsia" w:ascii="仿宋_GB2312" w:eastAsia="仿宋_GB2312" w:cs="仿宋_GB2312"/>
          <w:sz w:val="30"/>
          <w:szCs w:val="30"/>
        </w:rPr>
        <w:t>.00元，占政府采购支出总额的</w:t>
      </w:r>
      <w:r>
        <w:rPr>
          <w:rFonts w:hint="eastAsia" w:ascii="仿宋_GB2312" w:eastAsia="仿宋_GB2312" w:cs="仿宋_GB2312"/>
          <w:sz w:val="30"/>
          <w:szCs w:val="30"/>
          <w:lang w:val="en-US" w:eastAsia="zh-CN"/>
        </w:rPr>
        <w:t>78.07</w:t>
      </w:r>
      <w:r>
        <w:rPr>
          <w:rFonts w:hint="eastAsia" w:ascii="仿宋_GB2312" w:eastAsia="仿宋_GB2312" w:cs="仿宋_GB2312"/>
          <w:sz w:val="30"/>
          <w:szCs w:val="30"/>
        </w:rPr>
        <w:t>%；货物采购授予中小企业合同金额占货物支出金额的</w:t>
      </w:r>
      <w:r>
        <w:rPr>
          <w:rFonts w:hint="eastAsia" w:ascii="仿宋_GB2312" w:eastAsia="仿宋_GB2312" w:cs="仿宋_GB2312"/>
          <w:sz w:val="30"/>
          <w:szCs w:val="30"/>
          <w:lang w:val="en-US" w:eastAsia="zh-CN"/>
        </w:rPr>
        <w:t>100.00</w:t>
      </w:r>
      <w:r>
        <w:rPr>
          <w:rFonts w:hint="eastAsia" w:ascii="仿宋_GB2312" w:eastAsia="仿宋_GB2312" w:cs="仿宋_GB2312"/>
          <w:sz w:val="30"/>
          <w:szCs w:val="30"/>
        </w:rPr>
        <w:t>%，工程采购授予中小企业合同金额占工程支出金额的</w:t>
      </w:r>
      <w:r>
        <w:rPr>
          <w:rFonts w:hint="eastAsia" w:ascii="仿宋_GB2312" w:eastAsia="仿宋_GB2312" w:cs="仿宋_GB2312"/>
          <w:sz w:val="30"/>
          <w:szCs w:val="30"/>
          <w:lang w:val="en-US" w:eastAsia="zh-CN"/>
        </w:rPr>
        <w:t>100.00</w:t>
      </w:r>
      <w:r>
        <w:rPr>
          <w:rFonts w:hint="eastAsia" w:ascii="仿宋_GB2312" w:eastAsia="仿宋_GB2312" w:cs="仿宋_GB2312"/>
          <w:sz w:val="30"/>
          <w:szCs w:val="30"/>
        </w:rPr>
        <w:t>%，服务采购授予中小企业合同金额占服务支出金额的</w:t>
      </w:r>
      <w:r>
        <w:rPr>
          <w:rFonts w:hint="eastAsia" w:ascii="仿宋_GB2312" w:eastAsia="仿宋_GB2312" w:cs="仿宋_GB2312"/>
          <w:sz w:val="30"/>
          <w:szCs w:val="30"/>
          <w:lang w:val="en-US" w:eastAsia="zh-CN"/>
        </w:rPr>
        <w:t>76.84</w:t>
      </w:r>
      <w:r>
        <w:rPr>
          <w:rFonts w:hint="eastAsia" w:ascii="仿宋_GB2312" w:eastAsia="仿宋_GB2312" w:cs="仿宋_GB2312"/>
          <w:sz w:val="30"/>
          <w:szCs w:val="30"/>
        </w:rPr>
        <w:t>%。</w:t>
      </w:r>
    </w:p>
    <w:p>
      <w:pPr>
        <w:spacing w:line="600" w:lineRule="exact"/>
        <w:ind w:firstLine="645"/>
        <w:jc w:val="both"/>
        <w:rPr>
          <w:rFonts w:hint="default" w:ascii="仿宋_GB2312" w:eastAsia="仿宋_GB2312" w:cs="仿宋_GB2312"/>
          <w:sz w:val="30"/>
          <w:szCs w:val="30"/>
          <w:lang w:val="en-US" w:eastAsia="zh-CN"/>
        </w:rPr>
      </w:pPr>
      <w:r>
        <w:rPr>
          <w:rFonts w:hint="eastAsia" w:ascii="仿宋_GB2312" w:eastAsia="仿宋_GB2312" w:cs="仿宋_GB2312"/>
          <w:sz w:val="30"/>
          <w:szCs w:val="30"/>
          <w:lang w:eastAsia="zh-CN"/>
        </w:rPr>
        <w:t>本部门</w:t>
      </w:r>
      <w:r>
        <w:rPr>
          <w:rFonts w:hint="eastAsia" w:ascii="仿宋_GB2312" w:eastAsia="仿宋_GB2312" w:cs="仿宋_GB2312"/>
          <w:sz w:val="30"/>
          <w:szCs w:val="30"/>
          <w:lang w:val="en-US" w:eastAsia="zh-CN"/>
        </w:rPr>
        <w:t>2022年</w:t>
      </w:r>
      <w:r>
        <w:rPr>
          <w:rFonts w:hint="eastAsia" w:ascii="仿宋_GB2312" w:eastAsia="仿宋_GB2312" w:cs="仿宋_GB2312"/>
          <w:sz w:val="30"/>
          <w:szCs w:val="30"/>
        </w:rPr>
        <w:t>授予中小企业合同金额</w:t>
      </w:r>
      <w:r>
        <w:rPr>
          <w:rFonts w:hint="eastAsia" w:ascii="仿宋_GB2312" w:eastAsia="仿宋_GB2312" w:cs="仿宋_GB2312"/>
          <w:sz w:val="30"/>
          <w:szCs w:val="30"/>
          <w:lang w:val="en-US" w:eastAsia="zh-CN"/>
        </w:rPr>
        <w:t>26350287.00</w:t>
      </w:r>
      <w:r>
        <w:rPr>
          <w:rFonts w:hint="eastAsia" w:ascii="仿宋_GB2312" w:eastAsia="仿宋_GB2312" w:cs="仿宋_GB2312"/>
          <w:sz w:val="30"/>
          <w:szCs w:val="30"/>
        </w:rPr>
        <w:t>元</w:t>
      </w:r>
      <w:r>
        <w:rPr>
          <w:rFonts w:hint="eastAsia" w:ascii="仿宋_GB2312" w:eastAsia="仿宋_GB2312" w:cs="仿宋_GB2312"/>
          <w:sz w:val="30"/>
          <w:szCs w:val="30"/>
          <w:lang w:eastAsia="zh-CN"/>
        </w:rPr>
        <w:t>，</w:t>
      </w:r>
      <w:r>
        <w:rPr>
          <w:rFonts w:hint="eastAsia" w:ascii="仿宋_GB2312" w:eastAsia="仿宋_GB2312" w:cs="仿宋_GB2312"/>
          <w:sz w:val="30"/>
          <w:szCs w:val="30"/>
          <w:lang w:val="en-US" w:eastAsia="zh-CN"/>
        </w:rPr>
        <w:t>2022年度部门决算中授予小微企业合同金额为</w:t>
      </w:r>
      <w:r>
        <w:rPr>
          <w:rFonts w:hint="eastAsia" w:ascii="仿宋_GB2312" w:eastAsia="仿宋_GB2312" w:cs="仿宋_GB2312"/>
          <w:sz w:val="30"/>
          <w:szCs w:val="30"/>
        </w:rPr>
        <w:t>25354287.00元</w:t>
      </w:r>
      <w:r>
        <w:rPr>
          <w:rFonts w:hint="eastAsia" w:ascii="仿宋_GB2312" w:eastAsia="仿宋_GB2312" w:cs="仿宋_GB2312"/>
          <w:sz w:val="30"/>
          <w:szCs w:val="30"/>
          <w:lang w:eastAsia="zh-CN"/>
        </w:rPr>
        <w:t>，差额为</w:t>
      </w:r>
      <w:r>
        <w:rPr>
          <w:rFonts w:hint="eastAsia" w:ascii="仿宋_GB2312" w:eastAsia="仿宋_GB2312" w:cs="仿宋_GB2312"/>
          <w:sz w:val="30"/>
          <w:szCs w:val="30"/>
          <w:lang w:val="en-US" w:eastAsia="zh-CN"/>
        </w:rPr>
        <w:t>996000.00元，存在差额的原因系统填报问题。</w:t>
      </w:r>
    </w:p>
    <w:p>
      <w:pPr>
        <w:pStyle w:val="3"/>
        <w:spacing w:before="0" w:after="0" w:line="600" w:lineRule="exact"/>
        <w:ind w:firstLine="600" w:firstLineChars="200"/>
        <w:rPr>
          <w:rFonts w:ascii="黑体" w:hAnsi="黑体" w:eastAsia="黑体"/>
          <w:b w:val="0"/>
          <w:sz w:val="30"/>
          <w:szCs w:val="30"/>
        </w:rPr>
      </w:pPr>
      <w:bookmarkStart w:id="28" w:name="_Toc23709"/>
      <w:r>
        <w:rPr>
          <w:rFonts w:hint="eastAsia" w:ascii="黑体" w:hAnsi="黑体" w:eastAsia="黑体"/>
          <w:b w:val="0"/>
          <w:sz w:val="30"/>
          <w:szCs w:val="30"/>
        </w:rPr>
        <w:t>十二、国有资产占有使用情况</w:t>
      </w:r>
      <w:r>
        <w:rPr>
          <w:rFonts w:hint="eastAsia" w:ascii="黑体" w:hAnsi="黑体" w:eastAsia="黑体"/>
          <w:b w:val="0"/>
          <w:bCs w:val="0"/>
          <w:sz w:val="30"/>
          <w:szCs w:val="30"/>
        </w:rPr>
        <w:t>说明</w:t>
      </w:r>
      <w:bookmarkEnd w:id="28"/>
    </w:p>
    <w:p>
      <w:pPr>
        <w:spacing w:line="600" w:lineRule="exact"/>
        <w:ind w:firstLine="645"/>
        <w:jc w:val="both"/>
        <w:rPr>
          <w:rFonts w:ascii="仿宋_GB2312" w:eastAsia="仿宋_GB2312" w:cs="仿宋_GB2312"/>
          <w:sz w:val="30"/>
          <w:szCs w:val="30"/>
        </w:rPr>
      </w:pPr>
      <w:r>
        <w:rPr>
          <w:rFonts w:hint="eastAsia" w:ascii="仿宋_GB2312" w:eastAsia="仿宋_GB2312" w:cs="仿宋_GB2312"/>
          <w:sz w:val="30"/>
          <w:szCs w:val="30"/>
        </w:rPr>
        <w:t>截至2022年12月31日，天津市津南区北闸口镇人民政府共有车辆30辆，其中：副部（省）级及以上领导用车</w:t>
      </w:r>
      <w:r>
        <w:rPr>
          <w:rFonts w:hint="eastAsia" w:ascii="仿宋_GB2312" w:eastAsia="仿宋_GB2312" w:cs="仿宋_GB2312"/>
          <w:sz w:val="30"/>
          <w:szCs w:val="30"/>
          <w:lang w:val="en-US" w:eastAsia="zh-CN"/>
        </w:rPr>
        <w:t>0</w:t>
      </w:r>
      <w:r>
        <w:rPr>
          <w:rFonts w:hint="eastAsia" w:ascii="仿宋_GB2312" w:eastAsia="仿宋_GB2312" w:cs="仿宋_GB2312"/>
          <w:sz w:val="30"/>
          <w:szCs w:val="30"/>
        </w:rPr>
        <w:t>辆、主要领导干部用车0辆、机要通信车0辆、应急保障用车0辆、执法执勤用车0辆、特种专业技术用车0辆、离退休干部用车0辆、其他用车30辆，其他用车主要包括</w:t>
      </w:r>
      <w:r>
        <w:rPr>
          <w:rFonts w:hint="eastAsia" w:ascii="仿宋_GB2312" w:eastAsia="仿宋_GB2312" w:cs="仿宋_GB2312"/>
          <w:sz w:val="30"/>
          <w:szCs w:val="30"/>
          <w:lang w:eastAsia="zh-CN"/>
        </w:rPr>
        <w:t>市容环卫用车、执法用车</w:t>
      </w:r>
      <w:r>
        <w:rPr>
          <w:rFonts w:hint="eastAsia" w:ascii="仿宋_GB2312" w:eastAsia="仿宋_GB2312" w:cs="仿宋_GB2312"/>
          <w:sz w:val="30"/>
          <w:szCs w:val="30"/>
        </w:rPr>
        <w:t>。单价100万元以上的专用设备0台（套）。</w:t>
      </w:r>
    </w:p>
    <w:p>
      <w:pPr>
        <w:pStyle w:val="3"/>
        <w:spacing w:before="0" w:after="0" w:line="540" w:lineRule="exact"/>
        <w:ind w:firstLine="600" w:firstLineChars="200"/>
        <w:rPr>
          <w:rFonts w:ascii="黑体" w:hAnsi="黑体" w:eastAsia="黑体"/>
          <w:b w:val="0"/>
          <w:bCs w:val="0"/>
          <w:sz w:val="30"/>
          <w:szCs w:val="30"/>
        </w:rPr>
      </w:pPr>
      <w:bookmarkStart w:id="29" w:name="_Toc11467"/>
      <w:r>
        <w:rPr>
          <w:rFonts w:hint="eastAsia" w:ascii="黑体" w:hAnsi="黑体" w:eastAsia="黑体"/>
          <w:b w:val="0"/>
          <w:bCs w:val="0"/>
          <w:sz w:val="30"/>
          <w:szCs w:val="30"/>
        </w:rPr>
        <w:t>十三、预算绩效情况说明</w:t>
      </w:r>
      <w:bookmarkEnd w:id="29"/>
    </w:p>
    <w:p>
      <w:pPr>
        <w:spacing w:line="600" w:lineRule="exact"/>
        <w:ind w:firstLine="645"/>
        <w:jc w:val="both"/>
        <w:rPr>
          <w:rFonts w:eastAsia="仿宋_GB2312"/>
          <w:sz w:val="30"/>
          <w:szCs w:val="30"/>
        </w:rPr>
      </w:pPr>
      <w:r>
        <w:rPr>
          <w:rFonts w:hint="eastAsia" w:ascii="仿宋_GB2312" w:eastAsia="仿宋_GB2312" w:cs="仿宋_GB2312"/>
          <w:sz w:val="30"/>
          <w:szCs w:val="30"/>
        </w:rPr>
        <w:t>根据预算绩效管理要求，天津市津南区北闸口镇人民政府2022年度已对</w:t>
      </w:r>
      <w:r>
        <w:rPr>
          <w:rFonts w:hint="eastAsia" w:ascii="仿宋_GB2312" w:eastAsia="仿宋_GB2312" w:cs="仿宋_GB2312"/>
          <w:sz w:val="30"/>
          <w:szCs w:val="30"/>
          <w:lang w:val="en-US" w:eastAsia="zh-CN"/>
        </w:rPr>
        <w:t>95</w:t>
      </w:r>
      <w:r>
        <w:rPr>
          <w:rFonts w:hint="eastAsia" w:ascii="仿宋_GB2312" w:eastAsia="仿宋_GB2312" w:cs="仿宋_GB2312"/>
          <w:sz w:val="30"/>
          <w:szCs w:val="30"/>
        </w:rPr>
        <w:t>个</w:t>
      </w:r>
      <w:r>
        <w:rPr>
          <w:rFonts w:hint="eastAsia" w:ascii="仿宋_GB2312" w:eastAsia="仿宋_GB2312" w:cs="仿宋_GB2312"/>
          <w:sz w:val="30"/>
          <w:szCs w:val="30"/>
          <w:lang w:eastAsia="zh-CN"/>
        </w:rPr>
        <w:t>镇</w:t>
      </w:r>
      <w:r>
        <w:rPr>
          <w:rFonts w:hint="eastAsia" w:ascii="仿宋_GB2312" w:eastAsia="仿宋_GB2312" w:cs="仿宋_GB2312"/>
          <w:sz w:val="30"/>
          <w:szCs w:val="30"/>
        </w:rPr>
        <w:t>级项目开展绩效自评，涉及金额</w:t>
      </w:r>
      <w:r>
        <w:rPr>
          <w:rFonts w:hint="eastAsia" w:ascii="仿宋_GB2312" w:eastAsia="仿宋_GB2312" w:cs="仿宋_GB2312"/>
          <w:sz w:val="30"/>
          <w:szCs w:val="30"/>
          <w:lang w:val="en-US" w:eastAsia="zh-CN"/>
        </w:rPr>
        <w:t>24437386.13</w:t>
      </w:r>
      <w:r>
        <w:rPr>
          <w:rFonts w:hint="eastAsia" w:ascii="仿宋_GB2312" w:eastAsia="仿宋_GB2312" w:cs="仿宋_GB2312"/>
          <w:sz w:val="30"/>
          <w:szCs w:val="30"/>
        </w:rPr>
        <w:t>元，自评结果已随部门决算一并公开；已对</w:t>
      </w:r>
      <w:r>
        <w:rPr>
          <w:rFonts w:hint="eastAsia" w:ascii="仿宋_GB2312" w:eastAsia="仿宋_GB2312" w:cs="仿宋_GB2312"/>
          <w:sz w:val="30"/>
          <w:szCs w:val="30"/>
          <w:lang w:val="en-US" w:eastAsia="zh-CN"/>
        </w:rPr>
        <w:t>6</w:t>
      </w:r>
      <w:r>
        <w:rPr>
          <w:rFonts w:hint="eastAsia" w:ascii="仿宋_GB2312" w:eastAsia="仿宋_GB2312" w:cs="仿宋_GB2312"/>
          <w:sz w:val="30"/>
          <w:szCs w:val="30"/>
        </w:rPr>
        <w:t>个项目开展部门评价，涉及金额</w:t>
      </w:r>
      <w:r>
        <w:rPr>
          <w:rFonts w:hint="eastAsia" w:ascii="仿宋_GB2312" w:eastAsia="仿宋_GB2312" w:cs="仿宋_GB2312"/>
          <w:sz w:val="30"/>
          <w:szCs w:val="30"/>
          <w:lang w:val="en-US" w:eastAsia="zh-CN"/>
        </w:rPr>
        <w:t>24437386.13</w:t>
      </w:r>
      <w:r>
        <w:rPr>
          <w:rFonts w:hint="eastAsia" w:ascii="仿宋_GB2312" w:eastAsia="仿宋_GB2312" w:cs="仿宋_GB2312"/>
          <w:sz w:val="30"/>
          <w:szCs w:val="30"/>
        </w:rPr>
        <w:t>元。</w:t>
      </w:r>
    </w:p>
    <w:p>
      <w:pPr>
        <w:pStyle w:val="3"/>
        <w:spacing w:before="0" w:after="0" w:line="600" w:lineRule="exact"/>
        <w:ind w:firstLine="600" w:firstLineChars="200"/>
        <w:rPr>
          <w:rFonts w:ascii="Times New Roman" w:hAnsi="Times New Roman" w:eastAsia="黑体"/>
          <w:b w:val="0"/>
          <w:sz w:val="30"/>
          <w:szCs w:val="30"/>
        </w:rPr>
      </w:pPr>
      <w:bookmarkStart w:id="30" w:name="_Toc15949"/>
      <w:r>
        <w:rPr>
          <w:rFonts w:hint="eastAsia" w:ascii="Times New Roman" w:hAnsi="Times New Roman" w:eastAsia="黑体"/>
          <w:b w:val="0"/>
          <w:sz w:val="30"/>
          <w:szCs w:val="30"/>
        </w:rPr>
        <w:t>十四、</w:t>
      </w:r>
      <w:r>
        <w:rPr>
          <w:rFonts w:ascii="Times New Roman" w:hAnsi="Times New Roman" w:eastAsia="黑体"/>
          <w:b w:val="0"/>
          <w:sz w:val="30"/>
          <w:szCs w:val="30"/>
        </w:rPr>
        <w:t>教育、医疗卫生、社会保障和就业、住房保障、涉农补贴等民生支出情况</w:t>
      </w:r>
      <w:r>
        <w:rPr>
          <w:rFonts w:hint="eastAsia" w:ascii="黑体" w:hAnsi="黑体" w:eastAsia="黑体"/>
          <w:b w:val="0"/>
          <w:bCs w:val="0"/>
          <w:sz w:val="30"/>
          <w:szCs w:val="30"/>
        </w:rPr>
        <w:t>说明</w:t>
      </w:r>
      <w:bookmarkEnd w:id="30"/>
    </w:p>
    <w:p>
      <w:pPr>
        <w:spacing w:line="600" w:lineRule="exact"/>
        <w:ind w:firstLine="645"/>
        <w:jc w:val="both"/>
        <w:rPr>
          <w:rFonts w:hint="eastAsia" w:ascii="仿宋_GB2312" w:eastAsia="仿宋_GB2312" w:cs="仿宋_GB2312"/>
          <w:sz w:val="30"/>
          <w:szCs w:val="30"/>
          <w:lang w:eastAsia="zh-CN"/>
        </w:rPr>
      </w:pPr>
      <w:r>
        <w:rPr>
          <w:rFonts w:hint="eastAsia" w:ascii="仿宋_GB2312" w:eastAsia="仿宋_GB2312" w:cs="仿宋_GB2312"/>
          <w:sz w:val="30"/>
          <w:szCs w:val="30"/>
        </w:rPr>
        <w:t>天津市津南区北闸口镇人民政府</w:t>
      </w:r>
      <w:r>
        <w:rPr>
          <w:rFonts w:hint="eastAsia" w:ascii="仿宋_GB2312" w:eastAsia="仿宋_GB2312" w:cs="仿宋_GB2312"/>
          <w:sz w:val="30"/>
          <w:szCs w:val="30"/>
          <w:lang w:eastAsia="zh-CN"/>
        </w:rPr>
        <w:t>不涉及</w:t>
      </w:r>
      <w:r>
        <w:rPr>
          <w:rFonts w:hint="eastAsia" w:ascii="仿宋_GB2312" w:eastAsia="仿宋_GB2312" w:cs="仿宋_GB2312"/>
          <w:sz w:val="30"/>
          <w:szCs w:val="30"/>
        </w:rPr>
        <w:t>公开2022年度教育、医疗卫生、住房保障等民生支出情况</w:t>
      </w:r>
      <w:r>
        <w:rPr>
          <w:rFonts w:hint="eastAsia" w:ascii="仿宋_GB2312" w:eastAsia="仿宋_GB2312" w:cs="仿宋_GB2312"/>
          <w:sz w:val="30"/>
          <w:szCs w:val="30"/>
          <w:lang w:eastAsia="zh-CN"/>
        </w:rPr>
        <w:t>。</w:t>
      </w:r>
    </w:p>
    <w:p>
      <w:pPr>
        <w:spacing w:line="600" w:lineRule="exact"/>
        <w:ind w:firstLine="645"/>
        <w:jc w:val="both"/>
        <w:rPr>
          <w:rFonts w:hint="eastAsia" w:ascii="仿宋_GB2312" w:eastAsia="仿宋_GB2312" w:cs="仿宋_GB2312"/>
          <w:sz w:val="30"/>
          <w:szCs w:val="30"/>
          <w:lang w:eastAsia="zh-CN"/>
        </w:rPr>
      </w:pPr>
      <w:r>
        <w:rPr>
          <w:rFonts w:hint="eastAsia" w:ascii="仿宋_GB2312" w:eastAsia="仿宋_GB2312" w:cs="仿宋_GB2312"/>
          <w:sz w:val="30"/>
          <w:szCs w:val="30"/>
        </w:rPr>
        <w:t>天津市津南区北闸口镇人民政府涉及社会保障和就业</w:t>
      </w:r>
      <w:r>
        <w:rPr>
          <w:rFonts w:hint="eastAsia" w:ascii="仿宋_GB2312" w:eastAsia="仿宋_GB2312" w:cs="仿宋_GB2312"/>
          <w:sz w:val="30"/>
          <w:szCs w:val="30"/>
          <w:lang w:eastAsia="zh-CN"/>
        </w:rPr>
        <w:t>、</w:t>
      </w:r>
      <w:bookmarkStart w:id="32" w:name="_GoBack"/>
      <w:bookmarkEnd w:id="32"/>
      <w:r>
        <w:rPr>
          <w:rFonts w:hint="eastAsia" w:ascii="仿宋_GB2312" w:eastAsia="仿宋_GB2312" w:cs="仿宋_GB2312"/>
          <w:sz w:val="30"/>
          <w:szCs w:val="30"/>
        </w:rPr>
        <w:t>涉农补贴等民生支出情况</w:t>
      </w:r>
      <w:r>
        <w:rPr>
          <w:rFonts w:hint="eastAsia" w:ascii="仿宋_GB2312" w:eastAsia="仿宋_GB2312" w:cs="仿宋_GB2312"/>
          <w:sz w:val="30"/>
          <w:szCs w:val="30"/>
          <w:lang w:eastAsia="zh-CN"/>
        </w:rPr>
        <w:t>如下：</w:t>
      </w:r>
    </w:p>
    <w:p>
      <w:pPr>
        <w:spacing w:line="600" w:lineRule="exact"/>
        <w:ind w:firstLine="645"/>
        <w:jc w:val="both"/>
        <w:rPr>
          <w:rFonts w:hint="eastAsia" w:ascii="仿宋_GB2312" w:eastAsia="仿宋_GB2312" w:cs="仿宋_GB2312"/>
          <w:sz w:val="30"/>
          <w:szCs w:val="30"/>
          <w:lang w:val="en-US" w:eastAsia="zh-CN"/>
        </w:rPr>
      </w:pPr>
      <w:r>
        <w:rPr>
          <w:rFonts w:hint="eastAsia" w:ascii="仿宋_GB2312" w:eastAsia="仿宋_GB2312" w:cs="仿宋_GB2312"/>
          <w:sz w:val="30"/>
          <w:szCs w:val="30"/>
          <w:lang w:val="en-US" w:eastAsia="zh-CN"/>
        </w:rPr>
        <w:t>（一）未整合村老年人生活补贴</w:t>
      </w:r>
    </w:p>
    <w:p>
      <w:pPr>
        <w:spacing w:line="600" w:lineRule="exact"/>
        <w:ind w:firstLine="645"/>
        <w:jc w:val="both"/>
        <w:rPr>
          <w:rFonts w:hint="eastAsia" w:ascii="仿宋_GB2312" w:eastAsia="仿宋_GB2312" w:cs="仿宋_GB2312"/>
          <w:sz w:val="30"/>
          <w:szCs w:val="30"/>
          <w:lang w:val="en-US" w:eastAsia="zh-CN"/>
        </w:rPr>
      </w:pPr>
      <w:r>
        <w:rPr>
          <w:rFonts w:hint="eastAsia" w:ascii="仿宋_GB2312" w:eastAsia="仿宋_GB2312" w:cs="仿宋_GB2312"/>
          <w:sz w:val="30"/>
          <w:szCs w:val="30"/>
          <w:lang w:val="en-US" w:eastAsia="zh-CN"/>
        </w:rPr>
        <w:t>1、项目名称：未整合村老年人生活补贴。</w:t>
      </w:r>
    </w:p>
    <w:p>
      <w:pPr>
        <w:spacing w:line="600" w:lineRule="exact"/>
        <w:ind w:firstLine="645"/>
        <w:jc w:val="both"/>
        <w:rPr>
          <w:rFonts w:hint="eastAsia" w:ascii="仿宋_GB2312" w:eastAsia="仿宋_GB2312" w:cs="仿宋_GB2312"/>
          <w:sz w:val="30"/>
          <w:szCs w:val="30"/>
          <w:lang w:val="en" w:eastAsia="zh-CN"/>
        </w:rPr>
      </w:pPr>
      <w:r>
        <w:rPr>
          <w:rFonts w:hint="eastAsia" w:ascii="仿宋_GB2312" w:eastAsia="仿宋_GB2312" w:cs="仿宋_GB2312"/>
          <w:sz w:val="30"/>
          <w:szCs w:val="30"/>
          <w:lang w:val="en-US" w:eastAsia="zh-CN"/>
        </w:rPr>
        <w:t>2、补贴标准：补贴标准每人每月</w:t>
      </w:r>
      <w:r>
        <w:rPr>
          <w:rFonts w:hint="default" w:ascii="仿宋_GB2312" w:eastAsia="仿宋_GB2312" w:cs="仿宋_GB2312"/>
          <w:sz w:val="30"/>
          <w:szCs w:val="30"/>
          <w:lang w:val="en" w:eastAsia="zh-CN"/>
        </w:rPr>
        <w:t>4</w:t>
      </w:r>
      <w:r>
        <w:rPr>
          <w:rFonts w:hint="eastAsia" w:ascii="仿宋_GB2312" w:eastAsia="仿宋_GB2312" w:cs="仿宋_GB2312"/>
          <w:sz w:val="30"/>
          <w:szCs w:val="30"/>
          <w:lang w:val="en-US" w:eastAsia="zh-CN"/>
        </w:rPr>
        <w:t>45元，区级资金60%、镇级资金40%。</w:t>
      </w:r>
    </w:p>
    <w:p>
      <w:pPr>
        <w:spacing w:line="600" w:lineRule="exact"/>
        <w:ind w:firstLine="645"/>
        <w:jc w:val="both"/>
        <w:rPr>
          <w:rFonts w:hint="eastAsia" w:ascii="仿宋_GB2312" w:eastAsia="仿宋_GB2312" w:cs="仿宋_GB2312"/>
          <w:sz w:val="30"/>
          <w:szCs w:val="30"/>
          <w:lang w:val="en-US" w:eastAsia="zh-CN"/>
        </w:rPr>
      </w:pPr>
      <w:r>
        <w:rPr>
          <w:rFonts w:hint="eastAsia" w:ascii="仿宋_GB2312" w:eastAsia="仿宋_GB2312" w:cs="仿宋_GB2312"/>
          <w:sz w:val="30"/>
          <w:szCs w:val="30"/>
          <w:lang w:val="en-US" w:eastAsia="zh-CN"/>
        </w:rPr>
        <w:t>3、预算规模：2022年未整合村老年人生活补贴总预算1620万元。</w:t>
      </w:r>
    </w:p>
    <w:p>
      <w:pPr>
        <w:spacing w:line="600" w:lineRule="exact"/>
        <w:ind w:firstLine="645"/>
        <w:jc w:val="both"/>
        <w:rPr>
          <w:rFonts w:hint="eastAsia" w:ascii="仿宋_GB2312" w:eastAsia="仿宋_GB2312" w:cs="仿宋_GB2312"/>
          <w:sz w:val="30"/>
          <w:szCs w:val="30"/>
          <w:lang w:val="en-US" w:eastAsia="zh-CN"/>
        </w:rPr>
      </w:pPr>
      <w:r>
        <w:rPr>
          <w:rFonts w:hint="eastAsia" w:ascii="仿宋_GB2312" w:eastAsia="仿宋_GB2312" w:cs="仿宋_GB2312"/>
          <w:sz w:val="30"/>
          <w:szCs w:val="30"/>
          <w:lang w:val="en-US" w:eastAsia="zh-CN"/>
        </w:rPr>
        <w:t>4、发放程序：到龄人员由本人或家属提供规定的银行账户和身份证和户口本复印件，到村委会提出申请，村委会专职工作人员初审汇总后统一上报，镇党群服务中心审核后，办理银行代发。</w:t>
      </w:r>
    </w:p>
    <w:p>
      <w:pPr>
        <w:spacing w:line="600" w:lineRule="exact"/>
        <w:ind w:firstLine="645"/>
        <w:jc w:val="both"/>
        <w:rPr>
          <w:rFonts w:hint="eastAsia" w:ascii="仿宋_GB2312" w:eastAsia="仿宋_GB2312" w:cs="仿宋_GB2312"/>
          <w:sz w:val="30"/>
          <w:szCs w:val="30"/>
          <w:lang w:val="en-US" w:eastAsia="zh-CN"/>
        </w:rPr>
      </w:pPr>
      <w:r>
        <w:rPr>
          <w:rFonts w:hint="eastAsia" w:ascii="仿宋_GB2312" w:eastAsia="仿宋_GB2312" w:cs="仿宋_GB2312"/>
          <w:sz w:val="30"/>
          <w:szCs w:val="30"/>
          <w:lang w:val="en-US" w:eastAsia="zh-CN"/>
        </w:rPr>
        <w:t>5、资金分配结果：补贴通过代发银行按月发放到个人账户。</w:t>
      </w:r>
    </w:p>
    <w:p>
      <w:pPr>
        <w:spacing w:line="600" w:lineRule="exact"/>
        <w:ind w:firstLine="645"/>
        <w:jc w:val="both"/>
        <w:rPr>
          <w:rFonts w:hint="eastAsia" w:ascii="仿宋_GB2312" w:eastAsia="仿宋_GB2312" w:cs="仿宋_GB2312"/>
          <w:sz w:val="30"/>
          <w:szCs w:val="30"/>
          <w:lang w:val="en-US" w:eastAsia="zh-CN"/>
        </w:rPr>
      </w:pPr>
      <w:r>
        <w:rPr>
          <w:rFonts w:hint="eastAsia" w:ascii="仿宋_GB2312" w:eastAsia="仿宋_GB2312" w:cs="仿宋_GB2312"/>
          <w:sz w:val="30"/>
          <w:szCs w:val="30"/>
          <w:lang w:val="en-US" w:eastAsia="zh-CN"/>
        </w:rPr>
        <w:t>（二）残疾人两项补贴</w:t>
      </w:r>
    </w:p>
    <w:p>
      <w:pPr>
        <w:spacing w:line="600" w:lineRule="exact"/>
        <w:ind w:firstLine="645"/>
        <w:jc w:val="both"/>
        <w:rPr>
          <w:rFonts w:hint="eastAsia" w:ascii="仿宋_GB2312" w:eastAsia="仿宋_GB2312" w:cs="仿宋_GB2312"/>
          <w:sz w:val="30"/>
          <w:szCs w:val="30"/>
          <w:lang w:val="en-US" w:eastAsia="zh-CN"/>
        </w:rPr>
      </w:pPr>
      <w:r>
        <w:rPr>
          <w:rFonts w:hint="eastAsia" w:ascii="仿宋_GB2312" w:eastAsia="仿宋_GB2312" w:cs="仿宋_GB2312"/>
          <w:sz w:val="30"/>
          <w:szCs w:val="30"/>
          <w:lang w:val="en-US" w:eastAsia="zh-CN"/>
        </w:rPr>
        <w:t>1、项目名称：残疾人两项补贴</w:t>
      </w:r>
    </w:p>
    <w:p>
      <w:pPr>
        <w:spacing w:line="600" w:lineRule="exact"/>
        <w:ind w:firstLine="645"/>
        <w:jc w:val="both"/>
        <w:rPr>
          <w:rFonts w:hint="default" w:ascii="仿宋_GB2312" w:eastAsia="仿宋_GB2312" w:cs="仿宋_GB2312"/>
          <w:sz w:val="30"/>
          <w:szCs w:val="30"/>
          <w:lang w:val="en-US" w:eastAsia="zh-CN"/>
        </w:rPr>
      </w:pPr>
      <w:r>
        <w:rPr>
          <w:rFonts w:hint="eastAsia" w:ascii="仿宋_GB2312" w:eastAsia="仿宋_GB2312" w:cs="仿宋_GB2312"/>
          <w:sz w:val="30"/>
          <w:szCs w:val="30"/>
          <w:lang w:val="en-US" w:eastAsia="zh-CN"/>
        </w:rPr>
        <w:t>2、补贴标准：</w:t>
      </w:r>
      <w:r>
        <w:rPr>
          <w:rFonts w:hint="default" w:ascii="仿宋_GB2312" w:eastAsia="仿宋_GB2312" w:cs="仿宋_GB2312"/>
          <w:sz w:val="30"/>
          <w:szCs w:val="30"/>
          <w:lang w:val="en-US" w:eastAsia="zh-CN"/>
        </w:rPr>
        <w:t>低保低收入重度残疾人生活补贴300元/月；低保低收入非重度残疾人生活补贴160元/月；非低保重度残疾人护理补贴200元/月。</w:t>
      </w:r>
    </w:p>
    <w:p>
      <w:pPr>
        <w:spacing w:line="600" w:lineRule="exact"/>
        <w:ind w:firstLine="645"/>
        <w:jc w:val="both"/>
        <w:rPr>
          <w:rFonts w:hint="default" w:ascii="仿宋_GB2312" w:eastAsia="仿宋_GB2312" w:cs="仿宋_GB2312"/>
          <w:sz w:val="30"/>
          <w:szCs w:val="30"/>
          <w:lang w:val="en-US" w:eastAsia="zh-CN"/>
        </w:rPr>
      </w:pPr>
      <w:r>
        <w:rPr>
          <w:rFonts w:hint="eastAsia" w:ascii="仿宋_GB2312" w:eastAsia="仿宋_GB2312" w:cs="仿宋_GB2312"/>
          <w:sz w:val="30"/>
          <w:szCs w:val="30"/>
          <w:lang w:val="en-US" w:eastAsia="zh-CN"/>
        </w:rPr>
        <w:t>3、预算规模：2022年残疾人两项补贴总预算101万元。</w:t>
      </w:r>
    </w:p>
    <w:p>
      <w:pPr>
        <w:spacing w:line="600" w:lineRule="exact"/>
        <w:ind w:firstLine="645"/>
        <w:jc w:val="both"/>
        <w:rPr>
          <w:rFonts w:hint="default" w:ascii="仿宋_GB2312" w:eastAsia="仿宋_GB2312" w:cs="仿宋_GB2312"/>
          <w:sz w:val="30"/>
          <w:szCs w:val="30"/>
          <w:lang w:val="en-US" w:eastAsia="zh-CN"/>
        </w:rPr>
      </w:pPr>
      <w:r>
        <w:rPr>
          <w:rFonts w:hint="eastAsia" w:ascii="仿宋_GB2312" w:eastAsia="仿宋_GB2312" w:cs="仿宋_GB2312"/>
          <w:sz w:val="30"/>
          <w:szCs w:val="30"/>
          <w:lang w:val="en-US" w:eastAsia="zh-CN"/>
        </w:rPr>
        <w:t>4、发放程序：</w:t>
      </w:r>
      <w:r>
        <w:rPr>
          <w:rFonts w:hint="default" w:ascii="仿宋_GB2312" w:eastAsia="仿宋_GB2312" w:cs="仿宋_GB2312"/>
          <w:sz w:val="30"/>
          <w:szCs w:val="30"/>
          <w:lang w:val="en-US" w:eastAsia="zh-CN"/>
        </w:rPr>
        <w:t>从每月新增低保低收入名单及新增残疾人名单中筛选符合要求的残疾人享受该补贴。其中：低保低收入家庭中有重度残疾人（一、二级）的，可享受生活补贴和护理补贴，有非重度残疾人（三、四级）的，可享受生活补贴；非低保家庭中有重度残疾人的，可享受护理补贴。每月新增人员名单于每月20号之前上报民政局，待民政局审核无误后，</w:t>
      </w:r>
      <w:r>
        <w:rPr>
          <w:rFonts w:hint="eastAsia" w:ascii="仿宋_GB2312" w:eastAsia="仿宋_GB2312" w:cs="仿宋_GB2312"/>
          <w:sz w:val="30"/>
          <w:szCs w:val="30"/>
          <w:lang w:val="en-US" w:eastAsia="zh-CN"/>
        </w:rPr>
        <w:t>办理银行代发</w:t>
      </w:r>
      <w:r>
        <w:rPr>
          <w:rFonts w:hint="default" w:ascii="仿宋_GB2312" w:eastAsia="仿宋_GB2312" w:cs="仿宋_GB2312"/>
          <w:sz w:val="30"/>
          <w:szCs w:val="30"/>
          <w:lang w:val="en-US" w:eastAsia="zh-CN"/>
        </w:rPr>
        <w:t>。</w:t>
      </w:r>
    </w:p>
    <w:p>
      <w:pPr>
        <w:spacing w:line="600" w:lineRule="exact"/>
        <w:ind w:firstLine="645"/>
        <w:jc w:val="both"/>
        <w:rPr>
          <w:rFonts w:hint="eastAsia" w:ascii="仿宋_GB2312" w:eastAsia="仿宋_GB2312" w:cs="仿宋_GB2312"/>
          <w:sz w:val="30"/>
          <w:szCs w:val="30"/>
          <w:lang w:val="en-US" w:eastAsia="zh-CN"/>
        </w:rPr>
      </w:pPr>
      <w:r>
        <w:rPr>
          <w:rFonts w:hint="eastAsia" w:ascii="仿宋_GB2312" w:eastAsia="仿宋_GB2312" w:cs="仿宋_GB2312"/>
          <w:sz w:val="30"/>
          <w:szCs w:val="30"/>
          <w:lang w:val="en-US" w:eastAsia="zh-CN"/>
        </w:rPr>
        <w:t>5、资金分配结果：残疾人两项补贴通过“银行卡”发放到</w:t>
      </w:r>
      <w:r>
        <w:rPr>
          <w:rFonts w:hint="default" w:ascii="仿宋_GB2312" w:eastAsia="仿宋_GB2312" w:cs="仿宋_GB2312"/>
          <w:sz w:val="30"/>
          <w:szCs w:val="30"/>
          <w:lang w:val="en-US" w:eastAsia="zh-CN"/>
        </w:rPr>
        <w:t>残疾人</w:t>
      </w:r>
      <w:r>
        <w:rPr>
          <w:rFonts w:hint="eastAsia" w:ascii="仿宋_GB2312" w:eastAsia="仿宋_GB2312" w:cs="仿宋_GB2312"/>
          <w:sz w:val="30"/>
          <w:szCs w:val="30"/>
          <w:lang w:val="en-US" w:eastAsia="zh-CN"/>
        </w:rPr>
        <w:t>手里。</w:t>
      </w:r>
    </w:p>
    <w:p>
      <w:pPr>
        <w:spacing w:line="600" w:lineRule="exact"/>
        <w:ind w:firstLine="645"/>
        <w:jc w:val="both"/>
        <w:rPr>
          <w:rFonts w:hint="eastAsia" w:ascii="仿宋_GB2312" w:eastAsia="仿宋_GB2312" w:cs="仿宋_GB2312"/>
          <w:sz w:val="30"/>
          <w:szCs w:val="30"/>
          <w:lang w:val="en-US" w:eastAsia="zh-CN"/>
        </w:rPr>
      </w:pPr>
      <w:r>
        <w:rPr>
          <w:rFonts w:hint="eastAsia" w:ascii="仿宋_GB2312" w:eastAsia="仿宋_GB2312" w:cs="仿宋_GB2312"/>
          <w:sz w:val="30"/>
          <w:szCs w:val="30"/>
          <w:lang w:val="en-US" w:eastAsia="zh-CN"/>
        </w:rPr>
        <w:t>（三）最低生活保障补贴</w:t>
      </w:r>
    </w:p>
    <w:p>
      <w:pPr>
        <w:spacing w:line="600" w:lineRule="exact"/>
        <w:ind w:firstLine="645"/>
        <w:jc w:val="both"/>
        <w:rPr>
          <w:rFonts w:hint="default" w:ascii="仿宋_GB2312" w:eastAsia="仿宋_GB2312" w:cs="仿宋_GB2312"/>
          <w:sz w:val="30"/>
          <w:szCs w:val="30"/>
          <w:lang w:val="en-US" w:eastAsia="zh-CN"/>
        </w:rPr>
      </w:pPr>
      <w:r>
        <w:rPr>
          <w:rFonts w:hint="eastAsia" w:ascii="仿宋_GB2312" w:eastAsia="仿宋_GB2312" w:cs="仿宋_GB2312"/>
          <w:sz w:val="30"/>
          <w:szCs w:val="30"/>
          <w:lang w:val="en-US" w:eastAsia="zh-CN"/>
        </w:rPr>
        <w:t>1、项目名称：</w:t>
      </w:r>
      <w:r>
        <w:rPr>
          <w:rFonts w:hint="default" w:ascii="仿宋_GB2312" w:eastAsia="仿宋_GB2312" w:cs="仿宋_GB2312"/>
          <w:sz w:val="30"/>
          <w:szCs w:val="30"/>
          <w:lang w:val="en-US" w:eastAsia="zh-CN"/>
        </w:rPr>
        <w:t>最低生活保障</w:t>
      </w:r>
    </w:p>
    <w:p>
      <w:pPr>
        <w:spacing w:line="600" w:lineRule="exact"/>
        <w:ind w:firstLine="645"/>
        <w:jc w:val="both"/>
        <w:rPr>
          <w:rFonts w:hint="default" w:ascii="仿宋_GB2312" w:eastAsia="仿宋_GB2312" w:cs="仿宋_GB2312"/>
          <w:sz w:val="30"/>
          <w:szCs w:val="30"/>
          <w:lang w:val="en-US" w:eastAsia="zh-CN"/>
        </w:rPr>
      </w:pPr>
      <w:r>
        <w:rPr>
          <w:rFonts w:hint="eastAsia" w:ascii="仿宋_GB2312" w:eastAsia="仿宋_GB2312" w:cs="仿宋_GB2312"/>
          <w:sz w:val="30"/>
          <w:szCs w:val="30"/>
          <w:lang w:val="en-US" w:eastAsia="zh-CN"/>
        </w:rPr>
        <w:t>2、补贴标准：</w:t>
      </w:r>
      <w:r>
        <w:rPr>
          <w:rFonts w:hint="default" w:ascii="仿宋_GB2312" w:eastAsia="仿宋_GB2312" w:cs="仿宋_GB2312"/>
          <w:sz w:val="30"/>
          <w:szCs w:val="30"/>
          <w:lang w:val="en-US" w:eastAsia="zh-CN"/>
        </w:rPr>
        <w:t>每人每月1010元</w:t>
      </w:r>
      <w:r>
        <w:rPr>
          <w:rFonts w:hint="eastAsia" w:ascii="仿宋_GB2312" w:eastAsia="仿宋_GB2312" w:cs="仿宋_GB2312"/>
          <w:sz w:val="30"/>
          <w:szCs w:val="30"/>
          <w:lang w:val="en-US" w:eastAsia="zh-CN"/>
        </w:rPr>
        <w:t>。</w:t>
      </w:r>
    </w:p>
    <w:p>
      <w:pPr>
        <w:spacing w:line="600" w:lineRule="exact"/>
        <w:ind w:firstLine="645"/>
        <w:jc w:val="both"/>
        <w:rPr>
          <w:rFonts w:hint="default" w:ascii="仿宋_GB2312" w:eastAsia="仿宋_GB2312" w:cs="仿宋_GB2312"/>
          <w:sz w:val="30"/>
          <w:szCs w:val="30"/>
          <w:lang w:val="en-US" w:eastAsia="zh-CN"/>
        </w:rPr>
      </w:pPr>
      <w:r>
        <w:rPr>
          <w:rFonts w:hint="eastAsia" w:ascii="仿宋_GB2312" w:eastAsia="仿宋_GB2312" w:cs="仿宋_GB2312"/>
          <w:sz w:val="30"/>
          <w:szCs w:val="30"/>
          <w:lang w:val="en-US" w:eastAsia="zh-CN"/>
        </w:rPr>
        <w:t>3、预算规模：2022年最低生活保障总预算992万元，其中城镇最低生活保障40万元，农村最低生活保障820万元，农村特困供养人员生活救助8万元。</w:t>
      </w:r>
    </w:p>
    <w:p>
      <w:pPr>
        <w:spacing w:line="600" w:lineRule="exact"/>
        <w:ind w:firstLine="645"/>
        <w:jc w:val="both"/>
        <w:rPr>
          <w:rFonts w:hint="default" w:ascii="仿宋_GB2312" w:eastAsia="仿宋_GB2312" w:cs="仿宋_GB2312"/>
          <w:sz w:val="30"/>
          <w:szCs w:val="30"/>
          <w:lang w:val="en-US" w:eastAsia="zh-CN"/>
        </w:rPr>
      </w:pPr>
      <w:r>
        <w:rPr>
          <w:rFonts w:hint="eastAsia" w:ascii="仿宋_GB2312" w:eastAsia="仿宋_GB2312" w:cs="仿宋_GB2312"/>
          <w:sz w:val="30"/>
          <w:szCs w:val="30"/>
          <w:lang w:val="en-US" w:eastAsia="zh-CN"/>
        </w:rPr>
        <w:t>4、发放程序：</w:t>
      </w:r>
      <w:r>
        <w:rPr>
          <w:rFonts w:hint="default" w:ascii="仿宋_GB2312" w:eastAsia="仿宋_GB2312" w:cs="仿宋_GB2312"/>
          <w:sz w:val="30"/>
          <w:szCs w:val="30"/>
          <w:lang w:val="en-US" w:eastAsia="zh-CN"/>
        </w:rPr>
        <w:t>乡镇人民政府（街道办事处）应当根据家庭经济状况调查核实情况，提出初审意见，并在申请人居住地的村（居）民委员会设置的村（居）务公开栏公示。公示期为7天。公示无异议的，乡镇人民政府（街道办事处）应当在5个工作日内做出审核确认决定。确认救助金额后，发放最低生活保障确认通知书，并从作出确认同意决定之日下月起发放最低生活保障金。最低生活保障金原则上实行社会化发放，通过“</w:t>
      </w:r>
      <w:r>
        <w:rPr>
          <w:rFonts w:hint="eastAsia" w:ascii="仿宋_GB2312" w:eastAsia="仿宋_GB2312" w:cs="仿宋_GB2312"/>
          <w:sz w:val="30"/>
          <w:szCs w:val="30"/>
          <w:lang w:val="en-US" w:eastAsia="zh-CN"/>
        </w:rPr>
        <w:t>银行卡</w:t>
      </w:r>
      <w:r>
        <w:rPr>
          <w:rFonts w:hint="default" w:ascii="仿宋_GB2312" w:eastAsia="仿宋_GB2312" w:cs="仿宋_GB2312"/>
          <w:sz w:val="30"/>
          <w:szCs w:val="30"/>
          <w:lang w:val="en-US" w:eastAsia="zh-CN"/>
        </w:rPr>
        <w:t>”按月支付到最低生活保障家庭的账户。最低生活保障金应当按月足额发放。</w:t>
      </w:r>
    </w:p>
    <w:p>
      <w:pPr>
        <w:spacing w:line="600" w:lineRule="exact"/>
        <w:ind w:firstLine="645"/>
        <w:jc w:val="both"/>
        <w:rPr>
          <w:rFonts w:hint="eastAsia" w:ascii="仿宋_GB2312" w:eastAsia="仿宋_GB2312" w:cs="仿宋_GB2312"/>
          <w:sz w:val="30"/>
          <w:szCs w:val="30"/>
          <w:lang w:val="en-US" w:eastAsia="zh-CN"/>
        </w:rPr>
      </w:pPr>
      <w:r>
        <w:rPr>
          <w:rFonts w:hint="eastAsia" w:ascii="仿宋_GB2312" w:eastAsia="仿宋_GB2312" w:cs="仿宋_GB2312"/>
          <w:sz w:val="30"/>
          <w:szCs w:val="30"/>
          <w:lang w:val="en-US" w:eastAsia="zh-CN"/>
        </w:rPr>
        <w:t>5、资金分配结果：</w:t>
      </w:r>
      <w:r>
        <w:rPr>
          <w:rFonts w:hint="default" w:ascii="仿宋_GB2312" w:eastAsia="仿宋_GB2312" w:cs="仿宋_GB2312"/>
          <w:sz w:val="30"/>
          <w:szCs w:val="30"/>
          <w:lang w:val="en-US" w:eastAsia="zh-CN"/>
        </w:rPr>
        <w:t>最低生活保障</w:t>
      </w:r>
      <w:r>
        <w:rPr>
          <w:rFonts w:hint="eastAsia" w:ascii="仿宋_GB2312" w:eastAsia="仿宋_GB2312" w:cs="仿宋_GB2312"/>
          <w:sz w:val="30"/>
          <w:szCs w:val="30"/>
          <w:lang w:val="en-US" w:eastAsia="zh-CN"/>
        </w:rPr>
        <w:t>补贴通过“银行卡”发放到低保户手里。</w:t>
      </w:r>
    </w:p>
    <w:p>
      <w:pPr>
        <w:spacing w:line="600" w:lineRule="exact"/>
        <w:ind w:firstLine="645"/>
        <w:jc w:val="both"/>
        <w:rPr>
          <w:rFonts w:hint="eastAsia" w:ascii="仿宋_GB2312" w:eastAsia="仿宋_GB2312" w:cs="仿宋_GB2312"/>
          <w:sz w:val="30"/>
          <w:szCs w:val="30"/>
          <w:lang w:val="en-US" w:eastAsia="zh-CN"/>
        </w:rPr>
      </w:pPr>
      <w:r>
        <w:rPr>
          <w:rFonts w:hint="eastAsia" w:ascii="仿宋_GB2312" w:eastAsia="仿宋_GB2312" w:cs="仿宋_GB2312"/>
          <w:sz w:val="30"/>
          <w:szCs w:val="30"/>
          <w:lang w:val="en-US" w:eastAsia="zh-CN"/>
        </w:rPr>
        <w:t>（四）特殊困难儿童生活补贴</w:t>
      </w:r>
    </w:p>
    <w:p>
      <w:pPr>
        <w:spacing w:line="600" w:lineRule="exact"/>
        <w:ind w:firstLine="645"/>
        <w:jc w:val="both"/>
        <w:rPr>
          <w:rFonts w:hint="default" w:ascii="仿宋_GB2312" w:eastAsia="仿宋_GB2312" w:cs="仿宋_GB2312"/>
          <w:sz w:val="30"/>
          <w:szCs w:val="30"/>
          <w:lang w:val="en-US" w:eastAsia="zh-CN"/>
        </w:rPr>
      </w:pPr>
      <w:r>
        <w:rPr>
          <w:rFonts w:hint="eastAsia" w:ascii="仿宋_GB2312" w:eastAsia="仿宋_GB2312" w:cs="仿宋_GB2312"/>
          <w:sz w:val="30"/>
          <w:szCs w:val="30"/>
          <w:lang w:val="en-US" w:eastAsia="zh-CN"/>
        </w:rPr>
        <w:t>1、项目名称：特殊困难儿童生活补贴</w:t>
      </w:r>
    </w:p>
    <w:p>
      <w:pPr>
        <w:spacing w:line="600" w:lineRule="exact"/>
        <w:ind w:firstLine="645"/>
        <w:jc w:val="both"/>
        <w:rPr>
          <w:rFonts w:hint="default" w:ascii="仿宋_GB2312" w:eastAsia="仿宋_GB2312" w:cs="仿宋_GB2312"/>
          <w:sz w:val="30"/>
          <w:szCs w:val="30"/>
          <w:lang w:val="en-US" w:eastAsia="zh-CN"/>
        </w:rPr>
      </w:pPr>
      <w:r>
        <w:rPr>
          <w:rFonts w:hint="eastAsia" w:ascii="仿宋_GB2312" w:eastAsia="仿宋_GB2312" w:cs="仿宋_GB2312"/>
          <w:sz w:val="30"/>
          <w:szCs w:val="30"/>
          <w:lang w:val="en-US" w:eastAsia="zh-CN"/>
        </w:rPr>
        <w:t>2、补贴标准：</w:t>
      </w:r>
      <w:r>
        <w:rPr>
          <w:rFonts w:hint="default" w:ascii="仿宋_GB2312" w:eastAsia="仿宋_GB2312" w:cs="仿宋_GB2312"/>
          <w:sz w:val="30"/>
          <w:szCs w:val="30"/>
          <w:lang w:val="en-US" w:eastAsia="zh-CN"/>
        </w:rPr>
        <w:t>每人每月200元</w:t>
      </w:r>
      <w:r>
        <w:rPr>
          <w:rFonts w:hint="eastAsia" w:ascii="仿宋_GB2312" w:eastAsia="仿宋_GB2312" w:cs="仿宋_GB2312"/>
          <w:sz w:val="30"/>
          <w:szCs w:val="30"/>
          <w:lang w:val="en-US" w:eastAsia="zh-CN"/>
        </w:rPr>
        <w:t>。</w:t>
      </w:r>
    </w:p>
    <w:p>
      <w:pPr>
        <w:spacing w:line="600" w:lineRule="exact"/>
        <w:ind w:firstLine="645"/>
        <w:jc w:val="both"/>
        <w:rPr>
          <w:rFonts w:hint="default" w:ascii="仿宋_GB2312" w:eastAsia="仿宋_GB2312" w:cs="仿宋_GB2312"/>
          <w:sz w:val="30"/>
          <w:szCs w:val="30"/>
          <w:lang w:val="en-US" w:eastAsia="zh-CN"/>
        </w:rPr>
      </w:pPr>
      <w:r>
        <w:rPr>
          <w:rFonts w:hint="eastAsia" w:ascii="仿宋_GB2312" w:eastAsia="仿宋_GB2312" w:cs="仿宋_GB2312"/>
          <w:sz w:val="30"/>
          <w:szCs w:val="30"/>
          <w:lang w:val="en-US" w:eastAsia="zh-CN"/>
        </w:rPr>
        <w:t>3、预算规模：2022年特殊困难儿童生活补贴总预算18万元。</w:t>
      </w:r>
    </w:p>
    <w:p>
      <w:pPr>
        <w:spacing w:line="600" w:lineRule="exact"/>
        <w:ind w:firstLine="645"/>
        <w:jc w:val="both"/>
        <w:rPr>
          <w:rFonts w:hint="default" w:ascii="仿宋_GB2312" w:eastAsia="仿宋_GB2312" w:cs="仿宋_GB2312"/>
          <w:sz w:val="30"/>
          <w:szCs w:val="30"/>
          <w:lang w:val="en-US" w:eastAsia="zh-CN"/>
        </w:rPr>
      </w:pPr>
      <w:r>
        <w:rPr>
          <w:rFonts w:hint="eastAsia" w:ascii="仿宋_GB2312" w:eastAsia="仿宋_GB2312" w:cs="仿宋_GB2312"/>
          <w:sz w:val="30"/>
          <w:szCs w:val="30"/>
          <w:lang w:val="en-US" w:eastAsia="zh-CN"/>
        </w:rPr>
        <w:t>4、发放程序：</w:t>
      </w:r>
      <w:r>
        <w:rPr>
          <w:rFonts w:hint="default" w:ascii="仿宋_GB2312" w:eastAsia="仿宋_GB2312" w:cs="仿宋_GB2312"/>
          <w:sz w:val="30"/>
          <w:szCs w:val="30"/>
          <w:lang w:val="en-US" w:eastAsia="zh-CN"/>
        </w:rPr>
        <w:t>困境家庭儿童基本生活费申领由困境家庭儿童监护人提出申请，按照我市城乡分类救助相关政策规定提供相应证明材料，并填写《天津市困境家庭儿童申请生活费审批表》，由所在地街道办事处、乡镇人民政府进行初步审核，报区县民政部门审批。对符合条件的困境家庭儿童，区县民政部门及时报同级财政部门和上一级民政部门备案。年满18周岁的，从18周岁生日所在月份的下一个月份起停发；18周岁以上仍在就学的，从其毕业月份的下一个月起停发等出现符合停发条件的其他情况。</w:t>
      </w:r>
    </w:p>
    <w:p>
      <w:pPr>
        <w:spacing w:line="600" w:lineRule="exact"/>
        <w:ind w:firstLine="645"/>
        <w:jc w:val="both"/>
        <w:rPr>
          <w:rFonts w:hint="eastAsia" w:ascii="仿宋_GB2312" w:eastAsia="仿宋_GB2312" w:cs="仿宋_GB2312"/>
          <w:sz w:val="30"/>
          <w:szCs w:val="30"/>
          <w:lang w:val="en-US" w:eastAsia="zh-CN"/>
        </w:rPr>
      </w:pPr>
      <w:r>
        <w:rPr>
          <w:rFonts w:hint="eastAsia" w:ascii="仿宋_GB2312" w:eastAsia="仿宋_GB2312" w:cs="仿宋_GB2312"/>
          <w:sz w:val="30"/>
          <w:szCs w:val="30"/>
          <w:lang w:val="en-US" w:eastAsia="zh-CN"/>
        </w:rPr>
        <w:t>5资金分配结果：</w:t>
      </w:r>
      <w:r>
        <w:rPr>
          <w:rFonts w:hint="default" w:ascii="仿宋_GB2312" w:eastAsia="仿宋_GB2312" w:cs="仿宋_GB2312"/>
          <w:sz w:val="30"/>
          <w:szCs w:val="30"/>
          <w:lang w:val="en-US" w:eastAsia="zh-CN"/>
        </w:rPr>
        <w:t>困境儿童补贴</w:t>
      </w:r>
      <w:r>
        <w:rPr>
          <w:rFonts w:hint="eastAsia" w:ascii="仿宋_GB2312" w:eastAsia="仿宋_GB2312" w:cs="仿宋_GB2312"/>
          <w:sz w:val="30"/>
          <w:szCs w:val="30"/>
          <w:lang w:val="en-US" w:eastAsia="zh-CN"/>
        </w:rPr>
        <w:t>通过“银行卡”发放到</w:t>
      </w:r>
      <w:r>
        <w:rPr>
          <w:rFonts w:hint="default" w:ascii="仿宋_GB2312" w:eastAsia="仿宋_GB2312" w:cs="仿宋_GB2312"/>
          <w:sz w:val="30"/>
          <w:szCs w:val="30"/>
          <w:lang w:val="en-US" w:eastAsia="zh-CN"/>
        </w:rPr>
        <w:t>困境儿童</w:t>
      </w:r>
      <w:r>
        <w:rPr>
          <w:rFonts w:hint="eastAsia" w:ascii="仿宋_GB2312" w:eastAsia="仿宋_GB2312" w:cs="仿宋_GB2312"/>
          <w:sz w:val="30"/>
          <w:szCs w:val="30"/>
          <w:lang w:val="en-US" w:eastAsia="zh-CN"/>
        </w:rPr>
        <w:t>手里。</w:t>
      </w:r>
    </w:p>
    <w:p>
      <w:pPr>
        <w:spacing w:line="600" w:lineRule="exact"/>
        <w:ind w:firstLine="645"/>
        <w:jc w:val="both"/>
        <w:rPr>
          <w:rFonts w:hint="eastAsia" w:ascii="仿宋_GB2312" w:eastAsia="仿宋_GB2312" w:cs="仿宋_GB2312"/>
          <w:sz w:val="30"/>
          <w:szCs w:val="30"/>
          <w:lang w:val="en-US" w:eastAsia="zh-CN"/>
        </w:rPr>
      </w:pPr>
      <w:r>
        <w:rPr>
          <w:rFonts w:hint="eastAsia" w:ascii="仿宋_GB2312" w:eastAsia="仿宋_GB2312" w:cs="仿宋_GB2312"/>
          <w:sz w:val="30"/>
          <w:szCs w:val="30"/>
          <w:lang w:val="en-US" w:eastAsia="zh-CN"/>
        </w:rPr>
        <w:t>（五）无丧葬补贴居民丧葬补贴</w:t>
      </w:r>
    </w:p>
    <w:p>
      <w:pPr>
        <w:spacing w:line="600" w:lineRule="exact"/>
        <w:ind w:firstLine="645"/>
        <w:jc w:val="both"/>
        <w:rPr>
          <w:rFonts w:hint="default" w:ascii="仿宋_GB2312" w:eastAsia="仿宋_GB2312" w:cs="仿宋_GB2312"/>
          <w:sz w:val="30"/>
          <w:szCs w:val="30"/>
          <w:lang w:val="en-US" w:eastAsia="zh-CN"/>
        </w:rPr>
      </w:pPr>
      <w:r>
        <w:rPr>
          <w:rFonts w:hint="eastAsia" w:ascii="仿宋_GB2312" w:eastAsia="仿宋_GB2312" w:cs="仿宋_GB2312"/>
          <w:sz w:val="30"/>
          <w:szCs w:val="30"/>
          <w:lang w:val="en-US" w:eastAsia="zh-CN"/>
        </w:rPr>
        <w:t>1、项目名称：无丧葬补贴居民丧葬补贴</w:t>
      </w:r>
    </w:p>
    <w:p>
      <w:pPr>
        <w:spacing w:line="600" w:lineRule="exact"/>
        <w:ind w:firstLine="645"/>
        <w:jc w:val="both"/>
        <w:rPr>
          <w:rFonts w:hint="eastAsia" w:ascii="仿宋_GB2312" w:eastAsia="仿宋_GB2312" w:cs="仿宋_GB2312"/>
          <w:sz w:val="30"/>
          <w:szCs w:val="30"/>
          <w:lang w:val="en-US" w:eastAsia="zh-CN"/>
        </w:rPr>
      </w:pPr>
      <w:r>
        <w:rPr>
          <w:rFonts w:hint="eastAsia" w:ascii="仿宋_GB2312" w:eastAsia="仿宋_GB2312" w:cs="仿宋_GB2312"/>
          <w:sz w:val="30"/>
          <w:szCs w:val="30"/>
          <w:lang w:val="en-US" w:eastAsia="zh-CN"/>
        </w:rPr>
        <w:t>2、补贴标准：具有本市户籍，但不享受丧葬补助待遇的城乡居民可以申领无丧葬补助居民丧葬补贴（以下简称“丧葬补贴”）。城乡居民丧葬补贴标准为</w:t>
      </w:r>
      <w:r>
        <w:rPr>
          <w:rFonts w:hint="default" w:ascii="仿宋_GB2312" w:eastAsia="仿宋_GB2312" w:cs="仿宋_GB2312"/>
          <w:sz w:val="30"/>
          <w:szCs w:val="30"/>
          <w:lang w:val="en-US" w:eastAsia="zh-CN"/>
        </w:rPr>
        <w:t>1800</w:t>
      </w:r>
      <w:r>
        <w:rPr>
          <w:rFonts w:hint="eastAsia" w:ascii="仿宋_GB2312" w:eastAsia="仿宋_GB2312" w:cs="仿宋_GB2312"/>
          <w:sz w:val="30"/>
          <w:szCs w:val="30"/>
          <w:lang w:val="en-US" w:eastAsia="zh-CN"/>
        </w:rPr>
        <w:t>元。</w:t>
      </w:r>
    </w:p>
    <w:p>
      <w:pPr>
        <w:spacing w:line="600" w:lineRule="exact"/>
        <w:ind w:firstLine="645"/>
        <w:jc w:val="both"/>
        <w:rPr>
          <w:rFonts w:hint="default" w:ascii="仿宋_GB2312" w:eastAsia="仿宋_GB2312" w:cs="仿宋_GB2312"/>
          <w:sz w:val="30"/>
          <w:szCs w:val="30"/>
          <w:lang w:val="en-US" w:eastAsia="zh-CN"/>
        </w:rPr>
      </w:pPr>
      <w:r>
        <w:rPr>
          <w:rFonts w:hint="eastAsia" w:ascii="仿宋_GB2312" w:eastAsia="仿宋_GB2312" w:cs="仿宋_GB2312"/>
          <w:sz w:val="30"/>
          <w:szCs w:val="30"/>
          <w:lang w:val="en-US" w:eastAsia="zh-CN"/>
        </w:rPr>
        <w:t>3、预算规模：2022年无丧葬补贴居民丧葬补贴总预算18</w:t>
      </w:r>
      <w:r>
        <w:rPr>
          <w:rFonts w:hint="default" w:ascii="仿宋_GB2312" w:eastAsia="仿宋_GB2312" w:cs="仿宋_GB2312"/>
          <w:sz w:val="30"/>
          <w:szCs w:val="30"/>
          <w:lang w:val="en-US" w:eastAsia="zh-CN"/>
        </w:rPr>
        <w:t>万</w:t>
      </w:r>
      <w:r>
        <w:rPr>
          <w:rFonts w:hint="eastAsia" w:ascii="仿宋_GB2312" w:eastAsia="仿宋_GB2312" w:cs="仿宋_GB2312"/>
          <w:sz w:val="30"/>
          <w:szCs w:val="30"/>
          <w:lang w:val="en-US" w:eastAsia="zh-CN"/>
        </w:rPr>
        <w:t>元。</w:t>
      </w:r>
    </w:p>
    <w:p>
      <w:pPr>
        <w:spacing w:line="600" w:lineRule="exact"/>
        <w:ind w:firstLine="645"/>
        <w:jc w:val="both"/>
        <w:rPr>
          <w:rFonts w:hint="default" w:ascii="仿宋_GB2312" w:eastAsia="仿宋_GB2312" w:cs="仿宋_GB2312"/>
          <w:sz w:val="30"/>
          <w:szCs w:val="30"/>
          <w:lang w:val="en-US" w:eastAsia="zh-CN"/>
        </w:rPr>
      </w:pPr>
      <w:r>
        <w:rPr>
          <w:rFonts w:hint="eastAsia" w:ascii="仿宋_GB2312" w:eastAsia="仿宋_GB2312" w:cs="仿宋_GB2312"/>
          <w:sz w:val="30"/>
          <w:szCs w:val="30"/>
          <w:lang w:val="en-US" w:eastAsia="zh-CN"/>
        </w:rPr>
        <w:t>4、发放程序：城乡居民申领丧葬补贴应于亡者火化后</w:t>
      </w:r>
      <w:r>
        <w:rPr>
          <w:rFonts w:hint="default" w:ascii="仿宋_GB2312" w:eastAsia="仿宋_GB2312" w:cs="仿宋_GB2312"/>
          <w:sz w:val="30"/>
          <w:szCs w:val="30"/>
          <w:lang w:val="en-US" w:eastAsia="zh-CN"/>
        </w:rPr>
        <w:t>6</w:t>
      </w:r>
      <w:r>
        <w:rPr>
          <w:rFonts w:hint="eastAsia" w:ascii="仿宋_GB2312" w:eastAsia="仿宋_GB2312" w:cs="仿宋_GB2312"/>
          <w:sz w:val="30"/>
          <w:szCs w:val="30"/>
          <w:lang w:val="en-US" w:eastAsia="zh-CN"/>
        </w:rPr>
        <w:t>个月内按照以下程序办理：</w:t>
      </w:r>
    </w:p>
    <w:p>
      <w:pPr>
        <w:spacing w:line="600" w:lineRule="exact"/>
        <w:ind w:firstLine="645"/>
        <w:jc w:val="both"/>
        <w:rPr>
          <w:rFonts w:hint="default" w:ascii="仿宋_GB2312" w:eastAsia="仿宋_GB2312" w:cs="仿宋_GB2312"/>
          <w:sz w:val="30"/>
          <w:szCs w:val="30"/>
          <w:lang w:val="en-US" w:eastAsia="zh-CN"/>
        </w:rPr>
      </w:pPr>
      <w:r>
        <w:rPr>
          <w:rFonts w:hint="eastAsia" w:ascii="仿宋_GB2312" w:eastAsia="仿宋_GB2312" w:cs="仿宋_GB2312"/>
          <w:sz w:val="30"/>
          <w:szCs w:val="30"/>
          <w:lang w:val="en-US" w:eastAsia="zh-CN"/>
        </w:rPr>
        <w:t>（一）注销户口。符合申领丧葬补贴条件的死亡人员，由申领人到亡者户籍所在地公安机关办理户口注销手续。</w:t>
      </w:r>
    </w:p>
    <w:p>
      <w:pPr>
        <w:spacing w:line="600" w:lineRule="exact"/>
        <w:ind w:firstLine="645"/>
        <w:jc w:val="both"/>
        <w:rPr>
          <w:rFonts w:hint="default" w:ascii="仿宋_GB2312" w:eastAsia="仿宋_GB2312" w:cs="仿宋_GB2312"/>
          <w:sz w:val="30"/>
          <w:szCs w:val="30"/>
          <w:lang w:val="en-US" w:eastAsia="zh-CN"/>
        </w:rPr>
      </w:pPr>
      <w:r>
        <w:rPr>
          <w:rFonts w:hint="eastAsia" w:ascii="仿宋_GB2312" w:eastAsia="仿宋_GB2312" w:cs="仿宋_GB2312"/>
          <w:sz w:val="30"/>
          <w:szCs w:val="30"/>
          <w:lang w:val="en-US" w:eastAsia="zh-CN"/>
        </w:rPr>
        <w:t>（二）提交申请。申领人持公安机关出具的注销户口证明到亡者户籍所在地街道（乡、镇）公共服务办公室（民政部门）提出申请，填写《天津市无丧葬补助居民丧葬补贴申领表》，并同时提交下列材料：</w:t>
      </w:r>
    </w:p>
    <w:p>
      <w:pPr>
        <w:spacing w:line="600" w:lineRule="exact"/>
        <w:ind w:firstLine="645"/>
        <w:jc w:val="both"/>
        <w:rPr>
          <w:rFonts w:hint="default" w:ascii="仿宋_GB2312" w:eastAsia="仿宋_GB2312" w:cs="仿宋_GB2312"/>
          <w:sz w:val="30"/>
          <w:szCs w:val="30"/>
          <w:lang w:val="en-US" w:eastAsia="zh-CN"/>
        </w:rPr>
      </w:pPr>
      <w:r>
        <w:rPr>
          <w:rFonts w:hint="eastAsia" w:ascii="仿宋_GB2312" w:eastAsia="仿宋_GB2312" w:cs="仿宋_GB2312"/>
          <w:sz w:val="30"/>
          <w:szCs w:val="30"/>
          <w:lang w:val="en-US" w:eastAsia="zh-CN"/>
        </w:rPr>
        <w:t>①申领人本人有效身份证件（原件）；</w:t>
      </w:r>
    </w:p>
    <w:p>
      <w:pPr>
        <w:spacing w:line="600" w:lineRule="exact"/>
        <w:ind w:firstLine="645"/>
        <w:jc w:val="both"/>
        <w:rPr>
          <w:rFonts w:hint="default" w:ascii="仿宋_GB2312" w:eastAsia="仿宋_GB2312" w:cs="仿宋_GB2312"/>
          <w:sz w:val="30"/>
          <w:szCs w:val="30"/>
          <w:lang w:val="en-US" w:eastAsia="zh-CN"/>
        </w:rPr>
      </w:pPr>
      <w:r>
        <w:rPr>
          <w:rFonts w:hint="eastAsia" w:ascii="仿宋_GB2312" w:eastAsia="仿宋_GB2312" w:cs="仿宋_GB2312"/>
          <w:sz w:val="30"/>
          <w:szCs w:val="30"/>
          <w:lang w:val="en-US" w:eastAsia="zh-CN"/>
        </w:rPr>
        <w:t>②亡者注销户口证明（原件）；</w:t>
      </w:r>
    </w:p>
    <w:p>
      <w:pPr>
        <w:spacing w:line="600" w:lineRule="exact"/>
        <w:ind w:firstLine="645"/>
        <w:jc w:val="both"/>
        <w:rPr>
          <w:rFonts w:hint="default" w:ascii="仿宋_GB2312" w:eastAsia="仿宋_GB2312" w:cs="仿宋_GB2312"/>
          <w:sz w:val="30"/>
          <w:szCs w:val="30"/>
          <w:lang w:val="en-US" w:eastAsia="zh-CN"/>
        </w:rPr>
      </w:pPr>
      <w:r>
        <w:rPr>
          <w:rFonts w:hint="eastAsia" w:ascii="仿宋_GB2312" w:eastAsia="仿宋_GB2312" w:cs="仿宋_GB2312"/>
          <w:sz w:val="30"/>
          <w:szCs w:val="30"/>
          <w:lang w:val="en-US" w:eastAsia="zh-CN"/>
        </w:rPr>
        <w:t>③《居民死亡医学证明（推断）书》（原件）；</w:t>
      </w:r>
    </w:p>
    <w:p>
      <w:pPr>
        <w:spacing w:line="600" w:lineRule="exact"/>
        <w:ind w:firstLine="645"/>
        <w:jc w:val="both"/>
        <w:rPr>
          <w:rFonts w:hint="default" w:ascii="仿宋_GB2312" w:eastAsia="仿宋_GB2312" w:cs="仿宋_GB2312"/>
          <w:sz w:val="30"/>
          <w:szCs w:val="30"/>
          <w:lang w:val="en-US" w:eastAsia="zh-CN"/>
        </w:rPr>
      </w:pPr>
      <w:r>
        <w:rPr>
          <w:rFonts w:hint="eastAsia" w:ascii="仿宋_GB2312" w:eastAsia="仿宋_GB2312" w:cs="仿宋_GB2312"/>
          <w:sz w:val="30"/>
          <w:szCs w:val="30"/>
          <w:lang w:val="en-US" w:eastAsia="zh-CN"/>
        </w:rPr>
        <w:t>④本市殡仪馆火化票据（原件）。</w:t>
      </w:r>
    </w:p>
    <w:p>
      <w:pPr>
        <w:spacing w:line="600" w:lineRule="exact"/>
        <w:ind w:firstLine="645"/>
        <w:jc w:val="both"/>
        <w:rPr>
          <w:rFonts w:hint="default" w:ascii="仿宋_GB2312" w:eastAsia="仿宋_GB2312" w:cs="仿宋_GB2312"/>
          <w:sz w:val="30"/>
          <w:szCs w:val="30"/>
          <w:lang w:val="en-US" w:eastAsia="zh-CN"/>
        </w:rPr>
      </w:pPr>
      <w:r>
        <w:rPr>
          <w:rFonts w:hint="eastAsia" w:ascii="仿宋_GB2312" w:eastAsia="仿宋_GB2312" w:cs="仿宋_GB2312"/>
          <w:sz w:val="30"/>
          <w:szCs w:val="30"/>
          <w:lang w:val="en-US" w:eastAsia="zh-CN"/>
        </w:rPr>
        <w:t>依法可以土葬的少数民族及土葬区居民提供本办法第四条第二款规定的前三类申请材料。本市依法可以土葬的少数民族包括：回族、维吾尔族、哈萨克族、乌孜别克族、塔塔尔族、塔吉克族、东乡族、撒拉族、保安族和柯尔克孜族。</w:t>
      </w:r>
    </w:p>
    <w:p>
      <w:pPr>
        <w:spacing w:line="600" w:lineRule="exact"/>
        <w:ind w:firstLine="645"/>
        <w:jc w:val="both"/>
        <w:rPr>
          <w:rFonts w:hint="default" w:ascii="仿宋_GB2312" w:eastAsia="仿宋_GB2312" w:cs="仿宋_GB2312"/>
          <w:sz w:val="30"/>
          <w:szCs w:val="30"/>
          <w:lang w:val="en-US" w:eastAsia="zh-CN"/>
        </w:rPr>
      </w:pPr>
      <w:r>
        <w:rPr>
          <w:rFonts w:hint="eastAsia" w:ascii="仿宋_GB2312" w:eastAsia="仿宋_GB2312" w:cs="仿宋_GB2312"/>
          <w:sz w:val="30"/>
          <w:szCs w:val="30"/>
          <w:lang w:val="en-US" w:eastAsia="zh-CN"/>
        </w:rPr>
        <w:t>非正常死亡的，提供公安等部门出具的证明（原件）；因遗体捐献等原因无法出具本市殡仪馆火化票据且符合丧葬补贴申领条件的，申领丧葬补贴时需提供遗体捐献等相关证明原件。</w:t>
      </w:r>
    </w:p>
    <w:p>
      <w:pPr>
        <w:spacing w:line="600" w:lineRule="exact"/>
        <w:ind w:firstLine="645"/>
        <w:jc w:val="both"/>
        <w:rPr>
          <w:rFonts w:hint="default" w:ascii="仿宋_GB2312" w:eastAsia="仿宋_GB2312" w:cs="仿宋_GB2312"/>
          <w:sz w:val="30"/>
          <w:szCs w:val="30"/>
          <w:lang w:val="en-US" w:eastAsia="zh-CN"/>
        </w:rPr>
      </w:pPr>
      <w:r>
        <w:rPr>
          <w:rFonts w:hint="eastAsia" w:ascii="仿宋_GB2312" w:eastAsia="仿宋_GB2312" w:cs="仿宋_GB2312"/>
          <w:sz w:val="30"/>
          <w:szCs w:val="30"/>
          <w:lang w:val="en-US" w:eastAsia="zh-CN"/>
        </w:rPr>
        <w:t>本市城乡居民在外地死亡且在外地火化，符合丧葬补贴申领条件的，提出申请时应同时提供其在外地死亡的证明材料和当地殡仪馆的火化票据。</w:t>
      </w:r>
    </w:p>
    <w:p>
      <w:pPr>
        <w:spacing w:line="600" w:lineRule="exact"/>
        <w:ind w:firstLine="645"/>
        <w:jc w:val="both"/>
        <w:rPr>
          <w:rFonts w:hint="default" w:ascii="仿宋_GB2312" w:eastAsia="仿宋_GB2312" w:cs="仿宋_GB2312"/>
          <w:sz w:val="30"/>
          <w:szCs w:val="30"/>
          <w:lang w:val="en-US" w:eastAsia="zh-CN"/>
        </w:rPr>
      </w:pPr>
      <w:r>
        <w:rPr>
          <w:rFonts w:hint="eastAsia" w:ascii="仿宋_GB2312" w:eastAsia="仿宋_GB2312" w:cs="仿宋_GB2312"/>
          <w:sz w:val="30"/>
          <w:szCs w:val="30"/>
          <w:lang w:val="en-US" w:eastAsia="zh-CN"/>
        </w:rPr>
        <w:t>申领人因特殊情况未能于亡者火化后</w:t>
      </w:r>
      <w:r>
        <w:rPr>
          <w:rFonts w:hint="default" w:ascii="仿宋_GB2312" w:eastAsia="仿宋_GB2312" w:cs="仿宋_GB2312"/>
          <w:sz w:val="30"/>
          <w:szCs w:val="30"/>
          <w:lang w:val="en-US" w:eastAsia="zh-CN"/>
        </w:rPr>
        <w:t>6</w:t>
      </w:r>
      <w:r>
        <w:rPr>
          <w:rFonts w:hint="eastAsia" w:ascii="仿宋_GB2312" w:eastAsia="仿宋_GB2312" w:cs="仿宋_GB2312"/>
          <w:sz w:val="30"/>
          <w:szCs w:val="30"/>
          <w:lang w:val="en-US" w:eastAsia="zh-CN"/>
        </w:rPr>
        <w:t>个月内申领丧葬补贴的，需提交书面情况说明材料并经街道（乡、镇）公共服务办公室（民政部门）同意后方可进行申领。</w:t>
      </w:r>
    </w:p>
    <w:p>
      <w:pPr>
        <w:spacing w:line="600" w:lineRule="exact"/>
        <w:ind w:firstLine="645"/>
        <w:jc w:val="both"/>
        <w:rPr>
          <w:rFonts w:hint="default" w:ascii="仿宋_GB2312" w:eastAsia="仿宋_GB2312" w:cs="仿宋_GB2312"/>
          <w:sz w:val="30"/>
          <w:szCs w:val="30"/>
          <w:lang w:val="en-US" w:eastAsia="zh-CN"/>
        </w:rPr>
      </w:pPr>
      <w:r>
        <w:rPr>
          <w:rFonts w:hint="eastAsia" w:ascii="仿宋_GB2312" w:eastAsia="仿宋_GB2312" w:cs="仿宋_GB2312"/>
          <w:sz w:val="30"/>
          <w:szCs w:val="30"/>
          <w:lang w:val="en-US" w:eastAsia="zh-CN"/>
        </w:rPr>
        <w:t>街道（乡、镇）公共服务办公室（民政部门）对申请材料进行初步审核，材料准确、齐全的当场出具书面受理通知书。材料不全或不符合条件的，应当场告知并要求补正。</w:t>
      </w:r>
    </w:p>
    <w:p>
      <w:pPr>
        <w:spacing w:line="600" w:lineRule="exact"/>
        <w:ind w:firstLine="645"/>
        <w:jc w:val="both"/>
        <w:rPr>
          <w:rFonts w:hint="default" w:ascii="仿宋_GB2312" w:eastAsia="仿宋_GB2312" w:cs="仿宋_GB2312"/>
          <w:sz w:val="30"/>
          <w:szCs w:val="30"/>
          <w:lang w:val="en-US" w:eastAsia="zh-CN"/>
        </w:rPr>
      </w:pPr>
      <w:r>
        <w:rPr>
          <w:rFonts w:hint="eastAsia" w:ascii="仿宋_GB2312" w:eastAsia="仿宋_GB2312" w:cs="仿宋_GB2312"/>
          <w:sz w:val="30"/>
          <w:szCs w:val="30"/>
          <w:lang w:val="en-US" w:eastAsia="zh-CN"/>
        </w:rPr>
        <w:t>受理后，街道（乡、镇）公共服务办公室（民政部门）将亡者《居民死亡医学证明（推断）书》复印两份，向亡者户籍所在地街道（乡、镇）劳动保障服务中心核查相关情况。亡者满</w:t>
      </w:r>
      <w:r>
        <w:rPr>
          <w:rFonts w:hint="default" w:ascii="仿宋_GB2312" w:eastAsia="仿宋_GB2312" w:cs="仿宋_GB2312"/>
          <w:sz w:val="30"/>
          <w:szCs w:val="30"/>
          <w:lang w:val="en-US" w:eastAsia="zh-CN"/>
        </w:rPr>
        <w:t>60</w:t>
      </w:r>
      <w:r>
        <w:rPr>
          <w:rFonts w:hint="eastAsia" w:ascii="仿宋_GB2312" w:eastAsia="仿宋_GB2312" w:cs="仿宋_GB2312"/>
          <w:sz w:val="30"/>
          <w:szCs w:val="30"/>
          <w:lang w:val="en-US" w:eastAsia="zh-CN"/>
        </w:rPr>
        <w:t>周岁（含</w:t>
      </w:r>
      <w:r>
        <w:rPr>
          <w:rFonts w:hint="default" w:ascii="仿宋_GB2312" w:eastAsia="仿宋_GB2312" w:cs="仿宋_GB2312"/>
          <w:sz w:val="30"/>
          <w:szCs w:val="30"/>
          <w:lang w:val="en-US" w:eastAsia="zh-CN"/>
        </w:rPr>
        <w:t>60</w:t>
      </w:r>
      <w:r>
        <w:rPr>
          <w:rFonts w:hint="eastAsia" w:ascii="仿宋_GB2312" w:eastAsia="仿宋_GB2312" w:cs="仿宋_GB2312"/>
          <w:sz w:val="30"/>
          <w:szCs w:val="30"/>
          <w:lang w:val="en-US" w:eastAsia="zh-CN"/>
        </w:rPr>
        <w:t>周岁）的，核查其是否领取城乡居民基本养老保险待遇；</w:t>
      </w:r>
      <w:r>
        <w:rPr>
          <w:rFonts w:hint="default" w:ascii="仿宋_GB2312" w:eastAsia="仿宋_GB2312" w:cs="仿宋_GB2312"/>
          <w:sz w:val="30"/>
          <w:szCs w:val="30"/>
          <w:lang w:val="en-US" w:eastAsia="zh-CN"/>
        </w:rPr>
        <w:t>16</w:t>
      </w:r>
      <w:r>
        <w:rPr>
          <w:rFonts w:hint="eastAsia" w:ascii="仿宋_GB2312" w:eastAsia="仿宋_GB2312" w:cs="仿宋_GB2312"/>
          <w:sz w:val="30"/>
          <w:szCs w:val="30"/>
          <w:lang w:val="en-US" w:eastAsia="zh-CN"/>
        </w:rPr>
        <w:t>周岁至</w:t>
      </w:r>
      <w:r>
        <w:rPr>
          <w:rFonts w:hint="default" w:ascii="仿宋_GB2312" w:eastAsia="仿宋_GB2312" w:cs="仿宋_GB2312"/>
          <w:sz w:val="30"/>
          <w:szCs w:val="30"/>
          <w:lang w:val="en-US" w:eastAsia="zh-CN"/>
        </w:rPr>
        <w:t>60</w:t>
      </w:r>
      <w:r>
        <w:rPr>
          <w:rFonts w:hint="eastAsia" w:ascii="仿宋_GB2312" w:eastAsia="仿宋_GB2312" w:cs="仿宋_GB2312"/>
          <w:sz w:val="30"/>
          <w:szCs w:val="30"/>
          <w:lang w:val="en-US" w:eastAsia="zh-CN"/>
        </w:rPr>
        <w:t>周岁的，核查其是否参加城乡居民基本养老保险。核查后，由街道（乡、镇）劳动保障服务中心在《居民死亡医学证明（推断）书》复印件上签字盖章，并将一份于</w:t>
      </w:r>
      <w:r>
        <w:rPr>
          <w:rFonts w:hint="default" w:ascii="仿宋_GB2312" w:eastAsia="仿宋_GB2312" w:cs="仿宋_GB2312"/>
          <w:sz w:val="30"/>
          <w:szCs w:val="30"/>
          <w:lang w:val="en-US" w:eastAsia="zh-CN"/>
        </w:rPr>
        <w:t>4</w:t>
      </w:r>
      <w:r>
        <w:rPr>
          <w:rFonts w:hint="eastAsia" w:ascii="仿宋_GB2312" w:eastAsia="仿宋_GB2312" w:cs="仿宋_GB2312"/>
          <w:sz w:val="30"/>
          <w:szCs w:val="30"/>
          <w:lang w:val="en-US" w:eastAsia="zh-CN"/>
        </w:rPr>
        <w:t>个工作日内反馈街道（乡、镇）公共服务办公室（民政部门）。</w:t>
      </w:r>
      <w:r>
        <w:rPr>
          <w:rFonts w:hint="default" w:ascii="仿宋_GB2312" w:eastAsia="仿宋_GB2312" w:cs="仿宋_GB2312"/>
          <w:sz w:val="30"/>
          <w:szCs w:val="30"/>
          <w:lang w:val="en-US" w:eastAsia="zh-CN"/>
        </w:rPr>
        <w:t>16</w:t>
      </w:r>
      <w:r>
        <w:rPr>
          <w:rFonts w:hint="eastAsia" w:ascii="仿宋_GB2312" w:eastAsia="仿宋_GB2312" w:cs="仿宋_GB2312"/>
          <w:sz w:val="30"/>
          <w:szCs w:val="30"/>
          <w:lang w:val="en-US" w:eastAsia="zh-CN"/>
        </w:rPr>
        <w:t>周岁以下的不在参加城乡居民基本养老保险范围内，不再进行核查。</w:t>
      </w:r>
    </w:p>
    <w:p>
      <w:pPr>
        <w:spacing w:line="600" w:lineRule="exact"/>
        <w:ind w:firstLine="645"/>
        <w:jc w:val="both"/>
        <w:rPr>
          <w:rFonts w:hint="default" w:ascii="仿宋_GB2312" w:eastAsia="仿宋_GB2312" w:cs="仿宋_GB2312"/>
          <w:sz w:val="30"/>
          <w:szCs w:val="30"/>
          <w:lang w:val="en-US" w:eastAsia="zh-CN"/>
        </w:rPr>
      </w:pPr>
      <w:r>
        <w:rPr>
          <w:rFonts w:hint="eastAsia" w:ascii="仿宋_GB2312" w:eastAsia="仿宋_GB2312" w:cs="仿宋_GB2312"/>
          <w:sz w:val="30"/>
          <w:szCs w:val="30"/>
          <w:lang w:val="en-US" w:eastAsia="zh-CN"/>
        </w:rPr>
        <w:t>经核实后，符合申报条件的，街道（乡、镇）应在收到申请材料</w:t>
      </w:r>
      <w:r>
        <w:rPr>
          <w:rFonts w:hint="default" w:ascii="仿宋_GB2312" w:eastAsia="仿宋_GB2312" w:cs="仿宋_GB2312"/>
          <w:sz w:val="30"/>
          <w:szCs w:val="30"/>
          <w:lang w:val="en-US" w:eastAsia="zh-CN"/>
        </w:rPr>
        <w:t>14</w:t>
      </w:r>
      <w:r>
        <w:rPr>
          <w:rFonts w:hint="eastAsia" w:ascii="仿宋_GB2312" w:eastAsia="仿宋_GB2312" w:cs="仿宋_GB2312"/>
          <w:sz w:val="30"/>
          <w:szCs w:val="30"/>
          <w:lang w:val="en-US" w:eastAsia="zh-CN"/>
        </w:rPr>
        <w:t>个工作日（含劳动保障部门核查时间）内做出审批决定。经审批符合发放条件的，申领人持本人有效身份证件、书面受理通知书、《居民死亡医学证明（推断）书》、火化票据到街道（乡、镇）公共服务办公室（民政部门）领取补贴。经审批不符合发放条件的，应书面告知申领人。</w:t>
      </w:r>
    </w:p>
    <w:p>
      <w:pPr>
        <w:spacing w:line="600" w:lineRule="exact"/>
        <w:ind w:firstLine="645"/>
        <w:jc w:val="both"/>
        <w:rPr>
          <w:rFonts w:hint="eastAsia" w:ascii="仿宋_GB2312" w:eastAsia="仿宋_GB2312" w:cs="仿宋_GB2312"/>
          <w:sz w:val="30"/>
          <w:szCs w:val="30"/>
          <w:lang w:val="en-US" w:eastAsia="zh-CN"/>
        </w:rPr>
      </w:pPr>
      <w:r>
        <w:rPr>
          <w:rFonts w:hint="eastAsia" w:ascii="仿宋_GB2312" w:eastAsia="仿宋_GB2312" w:cs="仿宋_GB2312"/>
          <w:sz w:val="30"/>
          <w:szCs w:val="30"/>
          <w:lang w:val="en-US" w:eastAsia="zh-CN"/>
        </w:rPr>
        <w:t>街道（乡、镇）公共服务办公室（民政部门）在发放丧葬补贴时，应当在《居民死亡医学证明（推断）书》、火化票据原件上加盖“已领取补贴专用章”，并留存相关申请材料。</w:t>
      </w:r>
    </w:p>
    <w:p>
      <w:pPr>
        <w:spacing w:line="600" w:lineRule="exact"/>
        <w:ind w:firstLine="645"/>
        <w:jc w:val="both"/>
        <w:rPr>
          <w:rFonts w:hint="eastAsia" w:ascii="仿宋_GB2312" w:eastAsia="仿宋_GB2312" w:cs="仿宋_GB2312"/>
          <w:sz w:val="30"/>
          <w:szCs w:val="30"/>
          <w:lang w:val="en-US" w:eastAsia="zh-CN"/>
        </w:rPr>
      </w:pPr>
      <w:r>
        <w:rPr>
          <w:rFonts w:hint="eastAsia" w:ascii="仿宋_GB2312" w:eastAsia="仿宋_GB2312" w:cs="仿宋_GB2312"/>
          <w:sz w:val="30"/>
          <w:szCs w:val="30"/>
          <w:lang w:val="en-US" w:eastAsia="zh-CN"/>
        </w:rPr>
        <w:t>5、资金分配结果：丧葬补贴通过“银行卡”发放到农户手里。</w:t>
      </w:r>
    </w:p>
    <w:p>
      <w:pPr>
        <w:spacing w:line="600" w:lineRule="exact"/>
        <w:ind w:firstLine="645"/>
        <w:jc w:val="both"/>
        <w:rPr>
          <w:rFonts w:hint="eastAsia" w:ascii="仿宋_GB2312" w:eastAsia="仿宋_GB2312" w:cs="仿宋_GB2312"/>
          <w:sz w:val="30"/>
          <w:szCs w:val="30"/>
          <w:lang w:val="en-US" w:eastAsia="zh-CN"/>
        </w:rPr>
      </w:pPr>
      <w:r>
        <w:rPr>
          <w:rFonts w:hint="eastAsia" w:ascii="仿宋_GB2312" w:eastAsia="仿宋_GB2312" w:cs="仿宋_GB2312"/>
          <w:sz w:val="30"/>
          <w:szCs w:val="30"/>
          <w:lang w:val="en-US" w:eastAsia="zh-CN"/>
        </w:rPr>
        <w:t>（六）严重精神障碍患者看护奖励</w:t>
      </w:r>
    </w:p>
    <w:p>
      <w:pPr>
        <w:spacing w:line="600" w:lineRule="exact"/>
        <w:ind w:firstLine="645"/>
        <w:jc w:val="both"/>
        <w:rPr>
          <w:rFonts w:hint="eastAsia" w:ascii="仿宋_GB2312" w:eastAsia="仿宋_GB2312" w:cs="仿宋_GB2312"/>
          <w:sz w:val="30"/>
          <w:szCs w:val="30"/>
          <w:lang w:val="en-US" w:eastAsia="zh-CN"/>
        </w:rPr>
      </w:pPr>
      <w:r>
        <w:rPr>
          <w:rFonts w:hint="eastAsia" w:ascii="仿宋_GB2312" w:eastAsia="仿宋_GB2312" w:cs="仿宋_GB2312"/>
          <w:sz w:val="30"/>
          <w:szCs w:val="30"/>
          <w:lang w:val="en-US" w:eastAsia="zh-CN"/>
        </w:rPr>
        <w:t>1、项目名称：严重精神障碍患者看护奖励</w:t>
      </w:r>
    </w:p>
    <w:p>
      <w:pPr>
        <w:spacing w:line="600" w:lineRule="exact"/>
        <w:ind w:firstLine="645"/>
        <w:jc w:val="both"/>
        <w:rPr>
          <w:rFonts w:hint="default" w:ascii="仿宋_GB2312" w:eastAsia="仿宋_GB2312" w:cs="仿宋_GB2312"/>
          <w:sz w:val="30"/>
          <w:szCs w:val="30"/>
          <w:lang w:val="en-US" w:eastAsia="zh-CN"/>
        </w:rPr>
      </w:pPr>
      <w:r>
        <w:rPr>
          <w:rFonts w:hint="eastAsia" w:ascii="仿宋_GB2312" w:eastAsia="仿宋_GB2312" w:cs="仿宋_GB2312"/>
          <w:sz w:val="30"/>
          <w:szCs w:val="30"/>
          <w:lang w:val="en-US" w:eastAsia="zh-CN"/>
        </w:rPr>
        <w:t>2、补贴标准：</w:t>
      </w:r>
      <w:r>
        <w:rPr>
          <w:rFonts w:hint="default" w:ascii="仿宋_GB2312" w:eastAsia="仿宋_GB2312" w:cs="仿宋_GB2312"/>
          <w:sz w:val="30"/>
          <w:szCs w:val="30"/>
          <w:lang w:val="en-US" w:eastAsia="zh-CN"/>
        </w:rPr>
        <w:t>每人每月200元</w:t>
      </w:r>
      <w:r>
        <w:rPr>
          <w:rFonts w:hint="eastAsia" w:ascii="仿宋_GB2312" w:eastAsia="仿宋_GB2312" w:cs="仿宋_GB2312"/>
          <w:sz w:val="30"/>
          <w:szCs w:val="30"/>
          <w:lang w:val="en-US" w:eastAsia="zh-CN"/>
        </w:rPr>
        <w:t>。</w:t>
      </w:r>
    </w:p>
    <w:p>
      <w:pPr>
        <w:spacing w:line="600" w:lineRule="exact"/>
        <w:ind w:firstLine="645"/>
        <w:jc w:val="both"/>
        <w:rPr>
          <w:rFonts w:hint="default" w:ascii="仿宋_GB2312" w:eastAsia="仿宋_GB2312" w:cs="仿宋_GB2312"/>
          <w:sz w:val="30"/>
          <w:szCs w:val="30"/>
          <w:lang w:val="en-US" w:eastAsia="zh-CN"/>
        </w:rPr>
      </w:pPr>
      <w:r>
        <w:rPr>
          <w:rFonts w:hint="eastAsia" w:ascii="仿宋_GB2312" w:eastAsia="仿宋_GB2312" w:cs="仿宋_GB2312"/>
          <w:sz w:val="30"/>
          <w:szCs w:val="30"/>
          <w:lang w:val="en-US" w:eastAsia="zh-CN"/>
        </w:rPr>
        <w:t>3、预算规模：2022年严重精神障碍患者看护奖励总预算70</w:t>
      </w:r>
      <w:r>
        <w:rPr>
          <w:rFonts w:hint="default" w:ascii="仿宋_GB2312" w:eastAsia="仿宋_GB2312" w:cs="仿宋_GB2312"/>
          <w:sz w:val="30"/>
          <w:szCs w:val="30"/>
          <w:lang w:val="en-US" w:eastAsia="zh-CN"/>
        </w:rPr>
        <w:t>万</w:t>
      </w:r>
      <w:r>
        <w:rPr>
          <w:rFonts w:hint="eastAsia" w:ascii="仿宋_GB2312" w:eastAsia="仿宋_GB2312" w:cs="仿宋_GB2312"/>
          <w:sz w:val="30"/>
          <w:szCs w:val="30"/>
          <w:lang w:val="en-US" w:eastAsia="zh-CN"/>
        </w:rPr>
        <w:t>。</w:t>
      </w:r>
    </w:p>
    <w:p>
      <w:pPr>
        <w:spacing w:line="600" w:lineRule="exact"/>
        <w:ind w:firstLine="645"/>
        <w:jc w:val="both"/>
        <w:rPr>
          <w:rFonts w:hint="default" w:ascii="仿宋_GB2312" w:eastAsia="仿宋_GB2312" w:cs="仿宋_GB2312"/>
          <w:sz w:val="30"/>
          <w:szCs w:val="30"/>
          <w:lang w:val="en-US" w:eastAsia="zh-CN"/>
        </w:rPr>
      </w:pPr>
      <w:r>
        <w:rPr>
          <w:rFonts w:hint="eastAsia" w:ascii="仿宋_GB2312" w:eastAsia="仿宋_GB2312" w:cs="仿宋_GB2312"/>
          <w:sz w:val="30"/>
          <w:szCs w:val="30"/>
          <w:lang w:val="en-US" w:eastAsia="zh-CN"/>
        </w:rPr>
        <w:t>4、发放程序：</w:t>
      </w:r>
      <w:r>
        <w:rPr>
          <w:rFonts w:hint="default" w:ascii="仿宋_GB2312" w:eastAsia="仿宋_GB2312" w:cs="仿宋_GB2312"/>
          <w:sz w:val="30"/>
          <w:szCs w:val="30"/>
          <w:lang w:val="en-US" w:eastAsia="zh-CN"/>
        </w:rPr>
        <w:t>具备安定医院诊断证明、经镇卫生院鉴诊（镇卫健办）后符合条件人员，通过社会化发放由北闸口镇农商银行银行打入监护人银行卡</w:t>
      </w:r>
      <w:r>
        <w:rPr>
          <w:rFonts w:hint="eastAsia" w:ascii="仿宋_GB2312" w:eastAsia="仿宋_GB2312" w:cs="仿宋_GB2312"/>
          <w:sz w:val="30"/>
          <w:szCs w:val="30"/>
          <w:lang w:val="en-US" w:eastAsia="zh-CN"/>
        </w:rPr>
        <w:t>或</w:t>
      </w:r>
      <w:r>
        <w:rPr>
          <w:rFonts w:hint="default" w:ascii="仿宋_GB2312" w:eastAsia="仿宋_GB2312" w:cs="仿宋_GB2312"/>
          <w:sz w:val="30"/>
          <w:szCs w:val="30"/>
          <w:lang w:val="en-US" w:eastAsia="zh-CN"/>
        </w:rPr>
        <w:t>存折。</w:t>
      </w:r>
    </w:p>
    <w:p>
      <w:pPr>
        <w:spacing w:line="600" w:lineRule="exact"/>
        <w:ind w:firstLine="645"/>
        <w:jc w:val="both"/>
        <w:rPr>
          <w:rFonts w:hint="eastAsia" w:ascii="仿宋_GB2312" w:eastAsia="仿宋_GB2312" w:cs="仿宋_GB2312"/>
          <w:sz w:val="30"/>
          <w:szCs w:val="30"/>
          <w:lang w:val="en-US" w:eastAsia="zh-CN"/>
        </w:rPr>
      </w:pPr>
      <w:r>
        <w:rPr>
          <w:rFonts w:hint="eastAsia" w:ascii="仿宋_GB2312" w:eastAsia="仿宋_GB2312" w:cs="仿宋_GB2312"/>
          <w:sz w:val="30"/>
          <w:szCs w:val="30"/>
          <w:lang w:val="en-US" w:eastAsia="zh-CN"/>
        </w:rPr>
        <w:t>5、资金分配结果：各项补贴通过“</w:t>
      </w:r>
      <w:r>
        <w:rPr>
          <w:rFonts w:hint="default" w:ascii="仿宋_GB2312" w:eastAsia="仿宋_GB2312" w:cs="仿宋_GB2312"/>
          <w:sz w:val="30"/>
          <w:szCs w:val="30"/>
          <w:lang w:val="en-US" w:eastAsia="zh-CN"/>
        </w:rPr>
        <w:t>银行卡</w:t>
      </w:r>
      <w:r>
        <w:rPr>
          <w:rFonts w:hint="eastAsia" w:ascii="仿宋_GB2312" w:eastAsia="仿宋_GB2312" w:cs="仿宋_GB2312"/>
          <w:sz w:val="30"/>
          <w:szCs w:val="30"/>
          <w:lang w:val="en-US" w:eastAsia="zh-CN"/>
        </w:rPr>
        <w:t>”发放到监护人手里。</w:t>
      </w:r>
    </w:p>
    <w:p>
      <w:pPr>
        <w:spacing w:line="600" w:lineRule="exact"/>
        <w:ind w:firstLine="645"/>
        <w:jc w:val="both"/>
        <w:rPr>
          <w:rFonts w:hint="eastAsia" w:ascii="仿宋_GB2312" w:eastAsia="仿宋_GB2312" w:cs="仿宋_GB2312"/>
          <w:sz w:val="30"/>
          <w:szCs w:val="30"/>
          <w:lang w:val="en-US" w:eastAsia="zh-CN"/>
        </w:rPr>
      </w:pPr>
      <w:r>
        <w:rPr>
          <w:rFonts w:hint="eastAsia" w:ascii="仿宋_GB2312" w:eastAsia="仿宋_GB2312" w:cs="仿宋_GB2312"/>
          <w:sz w:val="30"/>
          <w:szCs w:val="30"/>
          <w:lang w:val="en-US" w:eastAsia="zh-CN"/>
        </w:rPr>
        <w:t>（七）</w:t>
      </w:r>
      <w:r>
        <w:rPr>
          <w:rFonts w:hint="default" w:ascii="仿宋_GB2312" w:eastAsia="仿宋_GB2312" w:cs="仿宋_GB2312"/>
          <w:sz w:val="30"/>
          <w:szCs w:val="30"/>
          <w:lang w:val="en-US" w:eastAsia="zh-CN"/>
        </w:rPr>
        <w:t>居家养老服务（护理）补贴</w:t>
      </w:r>
    </w:p>
    <w:p>
      <w:pPr>
        <w:spacing w:line="600" w:lineRule="exact"/>
        <w:ind w:firstLine="645"/>
        <w:jc w:val="both"/>
        <w:rPr>
          <w:rFonts w:hint="default" w:ascii="仿宋_GB2312" w:eastAsia="仿宋_GB2312" w:cs="仿宋_GB2312"/>
          <w:sz w:val="30"/>
          <w:szCs w:val="30"/>
          <w:lang w:val="en-US" w:eastAsia="zh-CN"/>
        </w:rPr>
      </w:pPr>
      <w:r>
        <w:rPr>
          <w:rFonts w:hint="eastAsia" w:ascii="仿宋_GB2312" w:eastAsia="仿宋_GB2312" w:cs="仿宋_GB2312"/>
          <w:sz w:val="30"/>
          <w:szCs w:val="30"/>
          <w:lang w:val="en-US" w:eastAsia="zh-CN"/>
        </w:rPr>
        <w:t>1、项目名称：</w:t>
      </w:r>
      <w:r>
        <w:rPr>
          <w:rFonts w:hint="default" w:ascii="仿宋_GB2312" w:eastAsia="仿宋_GB2312" w:cs="仿宋_GB2312"/>
          <w:sz w:val="30"/>
          <w:szCs w:val="30"/>
          <w:lang w:val="en-US" w:eastAsia="zh-CN"/>
        </w:rPr>
        <w:t>居家养老服务（护理）补贴</w:t>
      </w:r>
    </w:p>
    <w:p>
      <w:pPr>
        <w:spacing w:line="600" w:lineRule="exact"/>
        <w:ind w:firstLine="645"/>
        <w:jc w:val="both"/>
        <w:rPr>
          <w:rFonts w:hint="default" w:ascii="仿宋_GB2312" w:eastAsia="仿宋_GB2312" w:cs="仿宋_GB2312"/>
          <w:sz w:val="30"/>
          <w:szCs w:val="30"/>
          <w:lang w:val="en-US" w:eastAsia="zh-CN"/>
        </w:rPr>
      </w:pPr>
      <w:r>
        <w:rPr>
          <w:rFonts w:hint="eastAsia" w:ascii="仿宋_GB2312" w:eastAsia="仿宋_GB2312" w:cs="仿宋_GB2312"/>
          <w:sz w:val="30"/>
          <w:szCs w:val="30"/>
          <w:lang w:val="en-US" w:eastAsia="zh-CN"/>
        </w:rPr>
        <w:t>2、补贴标准：</w:t>
      </w:r>
      <w:r>
        <w:rPr>
          <w:rFonts w:hint="default" w:ascii="仿宋_GB2312" w:eastAsia="仿宋_GB2312" w:cs="仿宋_GB2312"/>
          <w:sz w:val="30"/>
          <w:szCs w:val="30"/>
          <w:lang w:val="en-US" w:eastAsia="zh-CN"/>
        </w:rPr>
        <w:t>按照天津市非全日制劳动者最低小时工资标准（每小时20.8元）和护理服务时间进行测算并取整数，居家养老服务补贴居家养老护理补贴具体标准为：照料等级轻度，居家养老服务补贴100元/月、居家养老护理补贴100元/月，每人每月护理服务时间5小时；照料等级中度，居家养老服务补贴200元/月、居家养老护理补贴200元/月，每人每月护理服务时间10小时；照料等级中度，居家养老服务补贴300元/月、居家养老护理补贴300元/月，每人每月护理服务时间15小时。</w:t>
      </w:r>
    </w:p>
    <w:p>
      <w:pPr>
        <w:spacing w:line="600" w:lineRule="exact"/>
        <w:ind w:firstLine="645"/>
        <w:jc w:val="both"/>
        <w:rPr>
          <w:rFonts w:hint="default" w:ascii="仿宋_GB2312" w:eastAsia="仿宋_GB2312" w:cs="仿宋_GB2312"/>
          <w:sz w:val="30"/>
          <w:szCs w:val="30"/>
          <w:lang w:val="en-US" w:eastAsia="zh-CN"/>
        </w:rPr>
      </w:pPr>
      <w:r>
        <w:rPr>
          <w:rFonts w:hint="eastAsia" w:ascii="仿宋_GB2312" w:eastAsia="仿宋_GB2312" w:cs="仿宋_GB2312"/>
          <w:sz w:val="30"/>
          <w:szCs w:val="30"/>
          <w:lang w:val="en-US" w:eastAsia="zh-CN"/>
        </w:rPr>
        <w:t>3、预算规模：2022年</w:t>
      </w:r>
      <w:r>
        <w:rPr>
          <w:rFonts w:hint="default" w:ascii="仿宋_GB2312" w:eastAsia="仿宋_GB2312" w:cs="仿宋_GB2312"/>
          <w:sz w:val="30"/>
          <w:szCs w:val="30"/>
          <w:lang w:val="en-US" w:eastAsia="zh-CN"/>
        </w:rPr>
        <w:t>居家养老服务（护理）补贴</w:t>
      </w:r>
      <w:r>
        <w:rPr>
          <w:rFonts w:hint="eastAsia" w:ascii="仿宋_GB2312" w:eastAsia="仿宋_GB2312" w:cs="仿宋_GB2312"/>
          <w:sz w:val="30"/>
          <w:szCs w:val="30"/>
          <w:lang w:val="en-US" w:eastAsia="zh-CN"/>
        </w:rPr>
        <w:t>总预算15.5万元。</w:t>
      </w:r>
    </w:p>
    <w:p>
      <w:pPr>
        <w:spacing w:line="600" w:lineRule="exact"/>
        <w:ind w:firstLine="645"/>
        <w:jc w:val="both"/>
        <w:rPr>
          <w:rFonts w:hint="default" w:ascii="仿宋_GB2312" w:eastAsia="仿宋_GB2312" w:cs="仿宋_GB2312"/>
          <w:sz w:val="30"/>
          <w:szCs w:val="30"/>
          <w:lang w:val="en-US" w:eastAsia="zh-CN"/>
        </w:rPr>
      </w:pPr>
      <w:r>
        <w:rPr>
          <w:rFonts w:hint="eastAsia" w:ascii="仿宋_GB2312" w:eastAsia="仿宋_GB2312" w:cs="仿宋_GB2312"/>
          <w:sz w:val="30"/>
          <w:szCs w:val="30"/>
          <w:lang w:val="en-US" w:eastAsia="zh-CN"/>
        </w:rPr>
        <w:t>4、发放程序：</w:t>
      </w:r>
      <w:r>
        <w:rPr>
          <w:rFonts w:hint="default" w:ascii="仿宋_GB2312" w:eastAsia="仿宋_GB2312" w:cs="仿宋_GB2312"/>
          <w:sz w:val="30"/>
          <w:szCs w:val="30"/>
          <w:lang w:val="en-US" w:eastAsia="zh-CN"/>
        </w:rPr>
        <w:t>符合条件个人提供新申请所需材料，由民政局派出的第三方进行入户测评，对当事人的照料等级进行评定。评定结果进行公示，公示期三天。对符合条件的补贴，补贴依申请发放，新申请的自递交当月计发补贴，当月未能发放的，于第一次发放时补发；不符合条件需停发的自取消补贴自次月起停发补贴，同时应填写《撤销服务登记表》并签字盖章。因死亡撤销补贴的，需提供死亡证明复印件。低保撤销的需提供低保停发单。</w:t>
      </w:r>
    </w:p>
    <w:p>
      <w:pPr>
        <w:spacing w:line="600" w:lineRule="exact"/>
        <w:ind w:firstLine="645"/>
        <w:jc w:val="both"/>
        <w:rPr>
          <w:rFonts w:hint="eastAsia" w:ascii="仿宋_GB2312" w:eastAsia="仿宋_GB2312" w:cs="仿宋_GB2312"/>
          <w:sz w:val="30"/>
          <w:szCs w:val="30"/>
          <w:lang w:val="en-US" w:eastAsia="zh-CN"/>
        </w:rPr>
      </w:pPr>
      <w:r>
        <w:rPr>
          <w:rFonts w:hint="eastAsia" w:ascii="仿宋_GB2312" w:eastAsia="仿宋_GB2312" w:cs="仿宋_GB2312"/>
          <w:sz w:val="30"/>
          <w:szCs w:val="30"/>
          <w:lang w:val="en-US" w:eastAsia="zh-CN"/>
        </w:rPr>
        <w:t>5、资金分配结果：</w:t>
      </w:r>
      <w:r>
        <w:rPr>
          <w:rFonts w:hint="default" w:ascii="仿宋_GB2312" w:eastAsia="仿宋_GB2312" w:cs="仿宋_GB2312"/>
          <w:sz w:val="30"/>
          <w:szCs w:val="30"/>
          <w:lang w:val="en-US" w:eastAsia="zh-CN"/>
        </w:rPr>
        <w:t>居家养老</w:t>
      </w:r>
      <w:r>
        <w:rPr>
          <w:rFonts w:hint="eastAsia" w:ascii="仿宋_GB2312" w:eastAsia="仿宋_GB2312" w:cs="仿宋_GB2312"/>
          <w:sz w:val="30"/>
          <w:szCs w:val="30"/>
          <w:lang w:val="en-US" w:eastAsia="zh-CN"/>
        </w:rPr>
        <w:t>补贴通过“</w:t>
      </w:r>
      <w:r>
        <w:rPr>
          <w:rFonts w:hint="default" w:ascii="仿宋_GB2312" w:eastAsia="仿宋_GB2312" w:cs="仿宋_GB2312"/>
          <w:sz w:val="30"/>
          <w:szCs w:val="30"/>
          <w:lang w:val="en-US" w:eastAsia="zh-CN"/>
        </w:rPr>
        <w:t>银行卡</w:t>
      </w:r>
      <w:r>
        <w:rPr>
          <w:rFonts w:hint="eastAsia" w:ascii="仿宋_GB2312" w:eastAsia="仿宋_GB2312" w:cs="仿宋_GB2312"/>
          <w:sz w:val="30"/>
          <w:szCs w:val="30"/>
          <w:lang w:val="en-US" w:eastAsia="zh-CN"/>
        </w:rPr>
        <w:t>”发放到农户手里。</w:t>
      </w:r>
    </w:p>
    <w:p>
      <w:pPr>
        <w:spacing w:line="600" w:lineRule="exact"/>
        <w:ind w:firstLine="645"/>
        <w:jc w:val="both"/>
        <w:rPr>
          <w:rFonts w:hint="eastAsia" w:ascii="仿宋_GB2312" w:eastAsia="仿宋_GB2312" w:cs="仿宋_GB2312"/>
          <w:sz w:val="30"/>
          <w:szCs w:val="30"/>
          <w:lang w:val="en-US" w:eastAsia="zh-CN"/>
        </w:rPr>
      </w:pPr>
      <w:r>
        <w:rPr>
          <w:rFonts w:hint="eastAsia" w:ascii="仿宋_GB2312" w:eastAsia="仿宋_GB2312" w:cs="仿宋_GB2312"/>
          <w:sz w:val="30"/>
          <w:szCs w:val="30"/>
          <w:lang w:val="en-US" w:eastAsia="zh-CN"/>
        </w:rPr>
        <w:t>（八）农作物秸秆综合利用</w:t>
      </w:r>
    </w:p>
    <w:p>
      <w:pPr>
        <w:spacing w:line="600" w:lineRule="exact"/>
        <w:ind w:firstLine="645"/>
        <w:jc w:val="both"/>
        <w:rPr>
          <w:rFonts w:hint="eastAsia" w:ascii="仿宋_GB2312" w:eastAsia="仿宋_GB2312" w:cs="仿宋_GB2312"/>
          <w:sz w:val="30"/>
          <w:szCs w:val="30"/>
          <w:lang w:val="en-US" w:eastAsia="zh-CN"/>
        </w:rPr>
      </w:pPr>
      <w:r>
        <w:rPr>
          <w:rFonts w:hint="eastAsia" w:ascii="仿宋_GB2312" w:eastAsia="仿宋_GB2312" w:cs="仿宋_GB2312"/>
          <w:sz w:val="30"/>
          <w:szCs w:val="30"/>
          <w:lang w:val="en-US" w:eastAsia="zh-CN"/>
        </w:rPr>
        <w:t>1、项目名称：农作物秸秆综合利用</w:t>
      </w:r>
    </w:p>
    <w:p>
      <w:pPr>
        <w:spacing w:line="600" w:lineRule="exact"/>
        <w:ind w:firstLine="645"/>
        <w:jc w:val="both"/>
        <w:rPr>
          <w:rFonts w:hint="eastAsia" w:ascii="仿宋_GB2312" w:eastAsia="仿宋_GB2312" w:cs="仿宋_GB2312"/>
          <w:sz w:val="30"/>
          <w:szCs w:val="30"/>
          <w:lang w:val="en-US" w:eastAsia="zh-CN"/>
        </w:rPr>
      </w:pPr>
      <w:r>
        <w:rPr>
          <w:rFonts w:hint="eastAsia" w:ascii="仿宋_GB2312" w:eastAsia="仿宋_GB2312" w:cs="仿宋_GB2312"/>
          <w:sz w:val="30"/>
          <w:szCs w:val="30"/>
          <w:lang w:val="en-US" w:eastAsia="zh-CN"/>
        </w:rPr>
        <w:t>2、补贴标准：农作物秸秆综合利用对小麦秸秆粉碎还田作业，给予每亩15元补助；对玉米（包括高粱等）秸秆粉碎还田，并及时进行机耕覆盖作业，给予每亩40元补助；对玉米（或高粱）秸秆饲料化利用，给予每亩15元补助；对棉花秸秆机械化离田作业，给予每亩20元补助；对水稻秸秆机械化打捆离田作业，给予每亩30元补助。</w:t>
      </w:r>
    </w:p>
    <w:p>
      <w:pPr>
        <w:spacing w:line="600" w:lineRule="exact"/>
        <w:ind w:firstLine="645"/>
        <w:jc w:val="both"/>
        <w:rPr>
          <w:rFonts w:hint="eastAsia" w:ascii="仿宋_GB2312" w:eastAsia="仿宋_GB2312" w:cs="仿宋_GB2312"/>
          <w:sz w:val="30"/>
          <w:szCs w:val="30"/>
          <w:lang w:val="en-US" w:eastAsia="zh-CN"/>
        </w:rPr>
      </w:pPr>
      <w:r>
        <w:rPr>
          <w:rFonts w:hint="eastAsia" w:ascii="仿宋_GB2312" w:eastAsia="仿宋_GB2312" w:cs="仿宋_GB2312"/>
          <w:sz w:val="30"/>
          <w:szCs w:val="30"/>
          <w:lang w:val="en-US" w:eastAsia="zh-CN"/>
        </w:rPr>
        <w:t>3、预算规模：2022年农作物秸秆综合利用预算42.7万元，实际支出399615元。</w:t>
      </w:r>
    </w:p>
    <w:p>
      <w:pPr>
        <w:spacing w:line="600" w:lineRule="exact"/>
        <w:ind w:firstLine="645"/>
        <w:jc w:val="both"/>
        <w:rPr>
          <w:rFonts w:hint="eastAsia" w:ascii="仿宋_GB2312" w:hAnsi="仿宋_GB2312" w:eastAsia="仿宋_GB2312" w:cs="仿宋_GB2312"/>
          <w:sz w:val="30"/>
          <w:szCs w:val="30"/>
          <w:u w:val="none"/>
          <w:lang w:val="en-US" w:eastAsia="zh-CN"/>
        </w:rPr>
      </w:pPr>
      <w:r>
        <w:rPr>
          <w:rFonts w:hint="eastAsia" w:ascii="仿宋_GB2312" w:eastAsia="仿宋_GB2312" w:cs="仿宋_GB2312"/>
          <w:sz w:val="30"/>
          <w:szCs w:val="30"/>
          <w:lang w:val="en-US" w:eastAsia="zh-CN"/>
        </w:rPr>
        <w:t>4、发放程序：农作物秸秆综合利用先与种植户或农业规模经营主体签订协议后方可进行作业。在秸秆还田、离田作业整个过程中村委会负责组织检查、核实、验收 ，核查验收合格后，由村委会对作业面积、补贴资金进行公示，公示期不少于7天，示无异议后，将公示结果及所提供的材料报区农服中心。由区农机中心进行审核，审核无误后向区财政局提出用款申请，由区农机中心将补贴资金拨付镇人民政府，通过“一卡通”的形式将补贴资金足额发放到种植者。</w:t>
      </w:r>
    </w:p>
    <w:p>
      <w:pPr>
        <w:spacing w:line="600" w:lineRule="exact"/>
        <w:ind w:firstLine="645"/>
        <w:jc w:val="both"/>
        <w:rPr>
          <w:rFonts w:hint="eastAsia" w:ascii="仿宋_GB2312" w:eastAsia="仿宋_GB2312" w:cs="仿宋_GB2312"/>
          <w:sz w:val="30"/>
          <w:szCs w:val="30"/>
          <w:lang w:val="en-US" w:eastAsia="zh-CN"/>
        </w:rPr>
        <w:sectPr>
          <w:pgSz w:w="11906" w:h="16838"/>
          <w:pgMar w:top="1440" w:right="1800" w:bottom="1440" w:left="1800" w:header="851" w:footer="992" w:gutter="0"/>
          <w:cols w:space="720" w:num="1"/>
          <w:docGrid w:type="lines" w:linePitch="312" w:charSpace="0"/>
        </w:sectPr>
      </w:pPr>
    </w:p>
    <w:p>
      <w:pPr>
        <w:pStyle w:val="2"/>
        <w:spacing w:before="0" w:after="0" w:line="600" w:lineRule="exact"/>
        <w:jc w:val="center"/>
        <w:rPr>
          <w:rFonts w:ascii="方正小标宋简体" w:hAnsi="方正小标宋简体" w:eastAsia="方正小标宋简体" w:cs="方正小标宋简体"/>
          <w:b w:val="0"/>
        </w:rPr>
      </w:pPr>
      <w:bookmarkStart w:id="31" w:name="_Toc30612"/>
      <w:r>
        <w:rPr>
          <w:rFonts w:hint="eastAsia" w:ascii="方正小标宋简体" w:hAnsi="方正小标宋简体" w:eastAsia="方正小标宋简体" w:cs="方正小标宋简体"/>
          <w:b w:val="0"/>
        </w:rPr>
        <w:t>第四部分  名词解释</w:t>
      </w:r>
      <w:bookmarkEnd w:id="31"/>
    </w:p>
    <w:p>
      <w:pPr>
        <w:spacing w:line="600" w:lineRule="exact"/>
        <w:ind w:firstLine="600" w:firstLineChars="200"/>
        <w:rPr>
          <w:rFonts w:ascii="仿宋_GB2312" w:eastAsia="仿宋_GB2312"/>
          <w:sz w:val="30"/>
          <w:szCs w:val="30"/>
        </w:rPr>
      </w:pPr>
    </w:p>
    <w:p>
      <w:pPr>
        <w:numPr>
          <w:ilvl w:val="0"/>
          <w:numId w:val="3"/>
        </w:numPr>
        <w:spacing w:line="600" w:lineRule="exact"/>
        <w:ind w:firstLine="600" w:firstLineChars="200"/>
        <w:rPr>
          <w:rFonts w:eastAsia="仿宋_GB2312"/>
          <w:sz w:val="30"/>
          <w:szCs w:val="30"/>
        </w:rPr>
      </w:pPr>
      <w:r>
        <w:rPr>
          <w:rFonts w:hint="eastAsia" w:eastAsia="仿宋_GB2312"/>
          <w:sz w:val="30"/>
          <w:szCs w:val="30"/>
        </w:rPr>
        <w:t>部门决算。是指各部门依据国家有关法律法规规定及其履行职能情况编制，反映部门所有预算收支和结余执行结果及绩效等情况的综合性年度报告，是改进部门预算执行以及编制后续年度部门预算的参考和依据。</w:t>
      </w:r>
    </w:p>
    <w:p>
      <w:pPr>
        <w:spacing w:line="600" w:lineRule="exact"/>
        <w:ind w:firstLine="600" w:firstLineChars="200"/>
        <w:rPr>
          <w:rFonts w:eastAsia="仿宋_GB2312"/>
          <w:sz w:val="30"/>
          <w:szCs w:val="30"/>
        </w:rPr>
      </w:pPr>
      <w:r>
        <w:rPr>
          <w:rFonts w:hint="eastAsia" w:eastAsia="仿宋_GB2312"/>
          <w:sz w:val="30"/>
          <w:szCs w:val="30"/>
        </w:rPr>
        <w:t>2.机关运行经费。反映为保障行政单位（含参照公务员管理事业单位）运行用于购买货物和服务的各项资金，包括办公及印刷费、邮电费、差旅费、会议费、福利费、日常维修费及一般设备购置费、办公用房水电费、办公用房取暖费、办公用房物业管理费、公务用车运行维护费以及其他费用。</w:t>
      </w:r>
    </w:p>
    <w:p>
      <w:pPr>
        <w:spacing w:line="600" w:lineRule="exact"/>
        <w:ind w:firstLine="600" w:firstLineChars="200"/>
        <w:rPr>
          <w:rFonts w:eastAsia="仿宋_GB2312"/>
          <w:sz w:val="30"/>
          <w:szCs w:val="30"/>
        </w:rPr>
      </w:pPr>
      <w:r>
        <w:rPr>
          <w:rFonts w:hint="eastAsia" w:eastAsia="仿宋_GB2312"/>
          <w:sz w:val="30"/>
          <w:szCs w:val="30"/>
        </w:rPr>
        <w:t>3.“三公”经费。是指各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燃料费、维修费、过桥过路费、保险费、安全奖励费用等支出；公务接待费反映单位按规定开支的各类公务接待（含外宾接待）支出。</w:t>
      </w:r>
    </w:p>
    <w:p>
      <w:pPr>
        <w:spacing w:line="600" w:lineRule="exact"/>
        <w:ind w:firstLine="600" w:firstLineChars="200"/>
        <w:rPr>
          <w:rFonts w:eastAsia="仿宋_GB2312"/>
          <w:sz w:val="30"/>
          <w:szCs w:val="30"/>
          <w:highlight w:val="yellow"/>
        </w:rPr>
      </w:pPr>
    </w:p>
    <w:sectPr>
      <w:footerReference r:id="rId7"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altName w:val="宋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r>
      <w:rPr>
        <w:rFonts w:hint="eastAsia"/>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7"/>
                          </w:pPr>
                          <w:r>
                            <w:fldChar w:fldCharType="begin"/>
                          </w:r>
                          <w:r>
                            <w:instrText xml:space="preserve"> PAGE  \* MERGEFORMAT </w:instrText>
                          </w:r>
                          <w:r>
                            <w:fldChar w:fldCharType="separate"/>
                          </w:r>
                          <w:r>
                            <w:t>19</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LNJWO7QAAAABQEAAA8AAAAAAAAAAQAgAAAAIgAA&#10;AGRycy9kb3ducmV2LnhtbFBLAQIUABQAAAAIAIdO4kDoI+MdEAIAAAcEAAAOAAAAAAAAAAEAIAAA&#10;AB8BAABkcnMvZTJvRG9jLnhtbFBLBQYAAAAABgAGAFkBAAChBQAAAAA=&#10;">
              <v:fill on="f" focussize="0,0"/>
              <v:stroke on="f" weight="0.5pt"/>
              <v:imagedata o:title=""/>
              <o:lock v:ext="edit" aspectratio="f"/>
              <v:textbox inset="0mm,0mm,0mm,0mm" style="mso-fit-shape-to-text:t;">
                <w:txbxContent>
                  <w:p>
                    <w:pPr>
                      <w:pStyle w:val="7"/>
                    </w:pPr>
                    <w:r>
                      <w:fldChar w:fldCharType="begin"/>
                    </w:r>
                    <w:r>
                      <w:instrText xml:space="preserve"> PAGE  \* MERGEFORMAT </w:instrText>
                    </w:r>
                    <w:r>
                      <w:fldChar w:fldCharType="separate"/>
                    </w:r>
                    <w:r>
                      <w:t>19</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7"/>
                          </w:pPr>
                          <w:r>
                            <w:fldChar w:fldCharType="begin"/>
                          </w:r>
                          <w:r>
                            <w:instrText xml:space="preserve"> PAGE  \* MERGEFORMAT </w:instrText>
                          </w:r>
                          <w:r>
                            <w:fldChar w:fldCharType="separate"/>
                          </w:r>
                          <w:r>
                            <w:t>20</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CzSVju0AAAAAUBAAAPAAAAAAAAAAEAIAAAACIAAABk&#10;cnMvZG93bnJldi54bWxQSwECFAAUAAAACACHTuJABEkaiw4CAAAHBAAADgAAAAAAAAABACAAAAAf&#10;AQAAZHJzL2Uyb0RvYy54bWxQSwUGAAAAAAYABgBZAQAAnwUAAAAA&#10;">
              <v:fill on="f" focussize="0,0"/>
              <v:stroke on="f" weight="0.5pt"/>
              <v:imagedata o:title=""/>
              <o:lock v:ext="edit" aspectratio="f"/>
              <v:textbox inset="0mm,0mm,0mm,0mm" style="mso-fit-shape-to-text:t;">
                <w:txbxContent>
                  <w:p>
                    <w:pPr>
                      <w:pStyle w:val="7"/>
                    </w:pPr>
                    <w:r>
                      <w:fldChar w:fldCharType="begin"/>
                    </w:r>
                    <w:r>
                      <w:instrText xml:space="preserve"> PAGE  \* MERGEFORMAT </w:instrText>
                    </w:r>
                    <w:r>
                      <w:fldChar w:fldCharType="separate"/>
                    </w:r>
                    <w:r>
                      <w:t>20</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03A6DC5"/>
    <w:multiLevelType w:val="singleLevel"/>
    <w:tmpl w:val="403A6DC5"/>
    <w:lvl w:ilvl="0" w:tentative="0">
      <w:start w:val="12"/>
      <w:numFmt w:val="chineseCounting"/>
      <w:suff w:val="nothing"/>
      <w:lvlText w:val="%1、"/>
      <w:lvlJc w:val="left"/>
      <w:rPr>
        <w:rFonts w:hint="eastAsia"/>
      </w:rPr>
    </w:lvl>
  </w:abstractNum>
  <w:abstractNum w:abstractNumId="1">
    <w:nsid w:val="62CB79B7"/>
    <w:multiLevelType w:val="singleLevel"/>
    <w:tmpl w:val="62CB79B7"/>
    <w:lvl w:ilvl="0" w:tentative="0">
      <w:start w:val="3"/>
      <w:numFmt w:val="chineseCounting"/>
      <w:suff w:val="nothing"/>
      <w:lvlText w:val="（%1）"/>
      <w:lvlJc w:val="left"/>
    </w:lvl>
  </w:abstractNum>
  <w:abstractNum w:abstractNumId="2">
    <w:nsid w:val="62CB88B4"/>
    <w:multiLevelType w:val="singleLevel"/>
    <w:tmpl w:val="62CB88B4"/>
    <w:lvl w:ilvl="0" w:tentative="0">
      <w:start w:val="1"/>
      <w:numFmt w:val="decimal"/>
      <w:suff w:val="nothing"/>
      <w:lvlText w:val="%1."/>
      <w:lvlJc w:val="left"/>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QzZmJjZTk2ZTkyODk0YjRhYzQ1MWY2MDgzOGJjMDUifQ=="/>
  </w:docVars>
  <w:rsids>
    <w:rsidRoot w:val="00172A27"/>
    <w:rsid w:val="00015911"/>
    <w:rsid w:val="000423B8"/>
    <w:rsid w:val="00046E1C"/>
    <w:rsid w:val="00053901"/>
    <w:rsid w:val="000864BF"/>
    <w:rsid w:val="00092AB8"/>
    <w:rsid w:val="000B4E39"/>
    <w:rsid w:val="00112C55"/>
    <w:rsid w:val="001179AF"/>
    <w:rsid w:val="0012059C"/>
    <w:rsid w:val="00124993"/>
    <w:rsid w:val="0012531C"/>
    <w:rsid w:val="00126E2D"/>
    <w:rsid w:val="00172A27"/>
    <w:rsid w:val="001829A0"/>
    <w:rsid w:val="00186ED8"/>
    <w:rsid w:val="001974AC"/>
    <w:rsid w:val="001F61CD"/>
    <w:rsid w:val="00215444"/>
    <w:rsid w:val="00215EBD"/>
    <w:rsid w:val="00241712"/>
    <w:rsid w:val="002532F7"/>
    <w:rsid w:val="002566ED"/>
    <w:rsid w:val="00257643"/>
    <w:rsid w:val="002912A7"/>
    <w:rsid w:val="002D2BBE"/>
    <w:rsid w:val="002E091E"/>
    <w:rsid w:val="002F00A9"/>
    <w:rsid w:val="003365DD"/>
    <w:rsid w:val="00352CF7"/>
    <w:rsid w:val="003714D5"/>
    <w:rsid w:val="00381206"/>
    <w:rsid w:val="0038216E"/>
    <w:rsid w:val="003942CD"/>
    <w:rsid w:val="003A4529"/>
    <w:rsid w:val="004040D1"/>
    <w:rsid w:val="00432D37"/>
    <w:rsid w:val="0044208E"/>
    <w:rsid w:val="00464079"/>
    <w:rsid w:val="00465602"/>
    <w:rsid w:val="004918AD"/>
    <w:rsid w:val="004A1361"/>
    <w:rsid w:val="0050332F"/>
    <w:rsid w:val="00532C4C"/>
    <w:rsid w:val="00570354"/>
    <w:rsid w:val="005B60DB"/>
    <w:rsid w:val="005C22AF"/>
    <w:rsid w:val="005F2510"/>
    <w:rsid w:val="00676A5E"/>
    <w:rsid w:val="006A54BF"/>
    <w:rsid w:val="006D05B2"/>
    <w:rsid w:val="00722412"/>
    <w:rsid w:val="00727434"/>
    <w:rsid w:val="00734D29"/>
    <w:rsid w:val="0077787E"/>
    <w:rsid w:val="0079348B"/>
    <w:rsid w:val="007A3491"/>
    <w:rsid w:val="007B4B58"/>
    <w:rsid w:val="007B78DD"/>
    <w:rsid w:val="007F3679"/>
    <w:rsid w:val="007F448B"/>
    <w:rsid w:val="007F718E"/>
    <w:rsid w:val="00801B2B"/>
    <w:rsid w:val="0080287C"/>
    <w:rsid w:val="00803B43"/>
    <w:rsid w:val="00817AE2"/>
    <w:rsid w:val="008405C5"/>
    <w:rsid w:val="0085671E"/>
    <w:rsid w:val="00876FA4"/>
    <w:rsid w:val="00893EAC"/>
    <w:rsid w:val="008A6092"/>
    <w:rsid w:val="008C19C3"/>
    <w:rsid w:val="008C3474"/>
    <w:rsid w:val="008C677C"/>
    <w:rsid w:val="008D2605"/>
    <w:rsid w:val="008D64CE"/>
    <w:rsid w:val="008E4334"/>
    <w:rsid w:val="009142B8"/>
    <w:rsid w:val="00915276"/>
    <w:rsid w:val="00936468"/>
    <w:rsid w:val="009371C3"/>
    <w:rsid w:val="00977064"/>
    <w:rsid w:val="0098387F"/>
    <w:rsid w:val="009D4654"/>
    <w:rsid w:val="009E0EF5"/>
    <w:rsid w:val="009F18E1"/>
    <w:rsid w:val="009F712F"/>
    <w:rsid w:val="00A12C57"/>
    <w:rsid w:val="00A557F8"/>
    <w:rsid w:val="00AA676A"/>
    <w:rsid w:val="00B13870"/>
    <w:rsid w:val="00B14558"/>
    <w:rsid w:val="00B17258"/>
    <w:rsid w:val="00B210F5"/>
    <w:rsid w:val="00B2577C"/>
    <w:rsid w:val="00B53416"/>
    <w:rsid w:val="00B807AE"/>
    <w:rsid w:val="00BA3182"/>
    <w:rsid w:val="00BB0047"/>
    <w:rsid w:val="00BB051A"/>
    <w:rsid w:val="00BD343E"/>
    <w:rsid w:val="00BE682B"/>
    <w:rsid w:val="00C0672E"/>
    <w:rsid w:val="00C33362"/>
    <w:rsid w:val="00C47864"/>
    <w:rsid w:val="00C528B3"/>
    <w:rsid w:val="00C52B2B"/>
    <w:rsid w:val="00C53602"/>
    <w:rsid w:val="00C77332"/>
    <w:rsid w:val="00C83F29"/>
    <w:rsid w:val="00CA5CD5"/>
    <w:rsid w:val="00CE4C80"/>
    <w:rsid w:val="00CE7A0E"/>
    <w:rsid w:val="00CF0671"/>
    <w:rsid w:val="00CF4ADE"/>
    <w:rsid w:val="00D20562"/>
    <w:rsid w:val="00D56FBF"/>
    <w:rsid w:val="00D81609"/>
    <w:rsid w:val="00DA3A83"/>
    <w:rsid w:val="00DB0D2B"/>
    <w:rsid w:val="00DC0D31"/>
    <w:rsid w:val="00DD76CF"/>
    <w:rsid w:val="00E124DF"/>
    <w:rsid w:val="00E21DD7"/>
    <w:rsid w:val="00E4337C"/>
    <w:rsid w:val="00E56EBF"/>
    <w:rsid w:val="00E56F06"/>
    <w:rsid w:val="00E576CC"/>
    <w:rsid w:val="00E8795B"/>
    <w:rsid w:val="00EB277E"/>
    <w:rsid w:val="00EB7B3B"/>
    <w:rsid w:val="00F01373"/>
    <w:rsid w:val="00F14DB8"/>
    <w:rsid w:val="00F3454D"/>
    <w:rsid w:val="00F3737B"/>
    <w:rsid w:val="00F6315A"/>
    <w:rsid w:val="00FF6CDB"/>
    <w:rsid w:val="01582EB3"/>
    <w:rsid w:val="01670A75"/>
    <w:rsid w:val="01D92F4B"/>
    <w:rsid w:val="021D09AE"/>
    <w:rsid w:val="02317CA1"/>
    <w:rsid w:val="023B6BC5"/>
    <w:rsid w:val="029562D6"/>
    <w:rsid w:val="02C26D17"/>
    <w:rsid w:val="032B2B72"/>
    <w:rsid w:val="03633F1C"/>
    <w:rsid w:val="03795BF7"/>
    <w:rsid w:val="03877CF5"/>
    <w:rsid w:val="03971CD2"/>
    <w:rsid w:val="03997587"/>
    <w:rsid w:val="03A73B20"/>
    <w:rsid w:val="04D27C6A"/>
    <w:rsid w:val="04DA6E85"/>
    <w:rsid w:val="04F73278"/>
    <w:rsid w:val="054E0E8D"/>
    <w:rsid w:val="05901C8F"/>
    <w:rsid w:val="059D199E"/>
    <w:rsid w:val="05D15877"/>
    <w:rsid w:val="060A6FDB"/>
    <w:rsid w:val="06516202"/>
    <w:rsid w:val="065A73D7"/>
    <w:rsid w:val="068D56CD"/>
    <w:rsid w:val="068F1656"/>
    <w:rsid w:val="06CE3C39"/>
    <w:rsid w:val="070745F4"/>
    <w:rsid w:val="071F0864"/>
    <w:rsid w:val="0750320D"/>
    <w:rsid w:val="07CE6F5B"/>
    <w:rsid w:val="080C427F"/>
    <w:rsid w:val="08496DC5"/>
    <w:rsid w:val="08601190"/>
    <w:rsid w:val="08610C17"/>
    <w:rsid w:val="08876261"/>
    <w:rsid w:val="08AB76E6"/>
    <w:rsid w:val="08B17C7F"/>
    <w:rsid w:val="09302C28"/>
    <w:rsid w:val="0949606C"/>
    <w:rsid w:val="0972111F"/>
    <w:rsid w:val="09794F69"/>
    <w:rsid w:val="09BC7107"/>
    <w:rsid w:val="09C86481"/>
    <w:rsid w:val="09CD6F6A"/>
    <w:rsid w:val="0ABD2EA9"/>
    <w:rsid w:val="0AF02B7A"/>
    <w:rsid w:val="0B0A0FB3"/>
    <w:rsid w:val="0B0C0657"/>
    <w:rsid w:val="0B2F7E6E"/>
    <w:rsid w:val="0B7057C8"/>
    <w:rsid w:val="0BF51CAC"/>
    <w:rsid w:val="0C0B7609"/>
    <w:rsid w:val="0C327E5C"/>
    <w:rsid w:val="0D584888"/>
    <w:rsid w:val="0D66464C"/>
    <w:rsid w:val="0DAD0977"/>
    <w:rsid w:val="0DCA24E7"/>
    <w:rsid w:val="0E1905E8"/>
    <w:rsid w:val="0E6B081A"/>
    <w:rsid w:val="0E812A35"/>
    <w:rsid w:val="0F3A0931"/>
    <w:rsid w:val="0F3A7BBE"/>
    <w:rsid w:val="0FB146BC"/>
    <w:rsid w:val="0FB77790"/>
    <w:rsid w:val="10D0376E"/>
    <w:rsid w:val="10E01064"/>
    <w:rsid w:val="114C04A7"/>
    <w:rsid w:val="11785740"/>
    <w:rsid w:val="11D75F2F"/>
    <w:rsid w:val="11D802DB"/>
    <w:rsid w:val="12062D4C"/>
    <w:rsid w:val="121401BA"/>
    <w:rsid w:val="122B009F"/>
    <w:rsid w:val="12946208"/>
    <w:rsid w:val="12B64BE0"/>
    <w:rsid w:val="12D15108"/>
    <w:rsid w:val="135D03D9"/>
    <w:rsid w:val="13A17616"/>
    <w:rsid w:val="13F07C78"/>
    <w:rsid w:val="1412383C"/>
    <w:rsid w:val="144813FA"/>
    <w:rsid w:val="144F5DF3"/>
    <w:rsid w:val="149264E6"/>
    <w:rsid w:val="14A04A70"/>
    <w:rsid w:val="14F31DE2"/>
    <w:rsid w:val="15127621"/>
    <w:rsid w:val="156A2C3E"/>
    <w:rsid w:val="157A3189"/>
    <w:rsid w:val="15E37C52"/>
    <w:rsid w:val="167A005C"/>
    <w:rsid w:val="169221B4"/>
    <w:rsid w:val="16C60CFC"/>
    <w:rsid w:val="16EA0A1B"/>
    <w:rsid w:val="17A617C9"/>
    <w:rsid w:val="17BE4FC6"/>
    <w:rsid w:val="17CF1E32"/>
    <w:rsid w:val="181D0AF6"/>
    <w:rsid w:val="18A84204"/>
    <w:rsid w:val="18B54B84"/>
    <w:rsid w:val="18E12A26"/>
    <w:rsid w:val="196A3BC0"/>
    <w:rsid w:val="1A2F34CF"/>
    <w:rsid w:val="1A937147"/>
    <w:rsid w:val="1B0B6786"/>
    <w:rsid w:val="1B8A679C"/>
    <w:rsid w:val="1BCC4E67"/>
    <w:rsid w:val="1BD2737E"/>
    <w:rsid w:val="1BE24A05"/>
    <w:rsid w:val="1C12375B"/>
    <w:rsid w:val="1C2A403D"/>
    <w:rsid w:val="1C2D7127"/>
    <w:rsid w:val="1C2E1750"/>
    <w:rsid w:val="1C8A5079"/>
    <w:rsid w:val="1D520C3E"/>
    <w:rsid w:val="1D886D0B"/>
    <w:rsid w:val="1D9A07EC"/>
    <w:rsid w:val="1DA340AC"/>
    <w:rsid w:val="1E2F4E67"/>
    <w:rsid w:val="1E363DC4"/>
    <w:rsid w:val="1E506972"/>
    <w:rsid w:val="1E52271C"/>
    <w:rsid w:val="1E8146FC"/>
    <w:rsid w:val="1E9B145E"/>
    <w:rsid w:val="1EC8639D"/>
    <w:rsid w:val="1EC97805"/>
    <w:rsid w:val="1EFB07B0"/>
    <w:rsid w:val="1F403C04"/>
    <w:rsid w:val="1F464788"/>
    <w:rsid w:val="1F6101B7"/>
    <w:rsid w:val="1FABD71D"/>
    <w:rsid w:val="1FCF1423"/>
    <w:rsid w:val="20505929"/>
    <w:rsid w:val="2093268B"/>
    <w:rsid w:val="211A5ECC"/>
    <w:rsid w:val="228770CD"/>
    <w:rsid w:val="22A211C8"/>
    <w:rsid w:val="22BD254A"/>
    <w:rsid w:val="22F75B35"/>
    <w:rsid w:val="236906A5"/>
    <w:rsid w:val="2369111C"/>
    <w:rsid w:val="23712C4B"/>
    <w:rsid w:val="23BA0D09"/>
    <w:rsid w:val="23FF7A41"/>
    <w:rsid w:val="243E103F"/>
    <w:rsid w:val="24593BF8"/>
    <w:rsid w:val="24BA0C0F"/>
    <w:rsid w:val="25000BD5"/>
    <w:rsid w:val="250B61A3"/>
    <w:rsid w:val="259F5563"/>
    <w:rsid w:val="25A662F9"/>
    <w:rsid w:val="25AD749C"/>
    <w:rsid w:val="25AE4162"/>
    <w:rsid w:val="261B2634"/>
    <w:rsid w:val="26716845"/>
    <w:rsid w:val="26872640"/>
    <w:rsid w:val="26C653DA"/>
    <w:rsid w:val="26EC5D21"/>
    <w:rsid w:val="27615821"/>
    <w:rsid w:val="27A13E6E"/>
    <w:rsid w:val="27A644E5"/>
    <w:rsid w:val="28863E70"/>
    <w:rsid w:val="288A6337"/>
    <w:rsid w:val="28994B2A"/>
    <w:rsid w:val="28CD1B01"/>
    <w:rsid w:val="290441D9"/>
    <w:rsid w:val="292E4395"/>
    <w:rsid w:val="29867FF5"/>
    <w:rsid w:val="299B2F17"/>
    <w:rsid w:val="29D72E63"/>
    <w:rsid w:val="29F01BC9"/>
    <w:rsid w:val="2A1248CB"/>
    <w:rsid w:val="2A24302B"/>
    <w:rsid w:val="2A7456B8"/>
    <w:rsid w:val="2B330D0F"/>
    <w:rsid w:val="2B6B4436"/>
    <w:rsid w:val="2C1D01D3"/>
    <w:rsid w:val="2C3B01C9"/>
    <w:rsid w:val="2CB024EC"/>
    <w:rsid w:val="2D0C4BDB"/>
    <w:rsid w:val="2D2B1A30"/>
    <w:rsid w:val="2D5BB7F4"/>
    <w:rsid w:val="2DA87FE3"/>
    <w:rsid w:val="2DAB1C1C"/>
    <w:rsid w:val="2DCF25AB"/>
    <w:rsid w:val="2E1F0FC6"/>
    <w:rsid w:val="2E6455AA"/>
    <w:rsid w:val="2E6E5875"/>
    <w:rsid w:val="2EAA1E45"/>
    <w:rsid w:val="2EBA2F30"/>
    <w:rsid w:val="2F06408B"/>
    <w:rsid w:val="2F120B2A"/>
    <w:rsid w:val="2F3E0E4D"/>
    <w:rsid w:val="2F8573F4"/>
    <w:rsid w:val="2FFC60D8"/>
    <w:rsid w:val="2FFD4B55"/>
    <w:rsid w:val="30B31E99"/>
    <w:rsid w:val="31732E43"/>
    <w:rsid w:val="31F32BCC"/>
    <w:rsid w:val="322D5537"/>
    <w:rsid w:val="32500429"/>
    <w:rsid w:val="32B00783"/>
    <w:rsid w:val="33987EA4"/>
    <w:rsid w:val="33C323F3"/>
    <w:rsid w:val="33E55770"/>
    <w:rsid w:val="342060B3"/>
    <w:rsid w:val="343041E9"/>
    <w:rsid w:val="343E2C5A"/>
    <w:rsid w:val="344F2576"/>
    <w:rsid w:val="346E05B1"/>
    <w:rsid w:val="34CB5C82"/>
    <w:rsid w:val="34E404B6"/>
    <w:rsid w:val="34EC7728"/>
    <w:rsid w:val="35353D4F"/>
    <w:rsid w:val="353874A5"/>
    <w:rsid w:val="356C4B0F"/>
    <w:rsid w:val="357756D0"/>
    <w:rsid w:val="35F83418"/>
    <w:rsid w:val="35FA3DA7"/>
    <w:rsid w:val="36433E0B"/>
    <w:rsid w:val="366E69EE"/>
    <w:rsid w:val="3685618C"/>
    <w:rsid w:val="368813E7"/>
    <w:rsid w:val="369B027F"/>
    <w:rsid w:val="36C626E3"/>
    <w:rsid w:val="36DF7E92"/>
    <w:rsid w:val="37210A48"/>
    <w:rsid w:val="37C605ED"/>
    <w:rsid w:val="37EC07D4"/>
    <w:rsid w:val="383F7040"/>
    <w:rsid w:val="38D05FFF"/>
    <w:rsid w:val="39054161"/>
    <w:rsid w:val="395157DA"/>
    <w:rsid w:val="39D81DB4"/>
    <w:rsid w:val="39DD1F63"/>
    <w:rsid w:val="3A875795"/>
    <w:rsid w:val="3B3A6848"/>
    <w:rsid w:val="3B5C22DF"/>
    <w:rsid w:val="3C7702D9"/>
    <w:rsid w:val="3C822FFF"/>
    <w:rsid w:val="3C987755"/>
    <w:rsid w:val="3CC7395A"/>
    <w:rsid w:val="3D1712DB"/>
    <w:rsid w:val="3D6E4CFB"/>
    <w:rsid w:val="3DB948D9"/>
    <w:rsid w:val="3DED19CC"/>
    <w:rsid w:val="3E551C1D"/>
    <w:rsid w:val="3E6D1878"/>
    <w:rsid w:val="3E970CEA"/>
    <w:rsid w:val="3EAA16DD"/>
    <w:rsid w:val="3EE7006C"/>
    <w:rsid w:val="3F043070"/>
    <w:rsid w:val="3F3917BB"/>
    <w:rsid w:val="3F397145"/>
    <w:rsid w:val="3FCD655C"/>
    <w:rsid w:val="419141BF"/>
    <w:rsid w:val="41C515FE"/>
    <w:rsid w:val="41F26234"/>
    <w:rsid w:val="42955F29"/>
    <w:rsid w:val="42C52D12"/>
    <w:rsid w:val="42EA0B90"/>
    <w:rsid w:val="43643369"/>
    <w:rsid w:val="436E1D48"/>
    <w:rsid w:val="43823361"/>
    <w:rsid w:val="43A072C9"/>
    <w:rsid w:val="442221E6"/>
    <w:rsid w:val="44D04970"/>
    <w:rsid w:val="44FC0AD9"/>
    <w:rsid w:val="4594599D"/>
    <w:rsid w:val="45C66F5A"/>
    <w:rsid w:val="464311BD"/>
    <w:rsid w:val="46762869"/>
    <w:rsid w:val="46800ECA"/>
    <w:rsid w:val="46D65DFF"/>
    <w:rsid w:val="46ED43C8"/>
    <w:rsid w:val="47655748"/>
    <w:rsid w:val="47895C4A"/>
    <w:rsid w:val="481F5D29"/>
    <w:rsid w:val="482D7546"/>
    <w:rsid w:val="485B08F6"/>
    <w:rsid w:val="48E65506"/>
    <w:rsid w:val="490177EE"/>
    <w:rsid w:val="49A95325"/>
    <w:rsid w:val="49C60D15"/>
    <w:rsid w:val="49EE18E7"/>
    <w:rsid w:val="4B7A188E"/>
    <w:rsid w:val="4C3B1BD6"/>
    <w:rsid w:val="4C72500A"/>
    <w:rsid w:val="4C7B78B7"/>
    <w:rsid w:val="4E1C4782"/>
    <w:rsid w:val="4E470451"/>
    <w:rsid w:val="4E5A4E46"/>
    <w:rsid w:val="4E776E4B"/>
    <w:rsid w:val="4E8C095C"/>
    <w:rsid w:val="4EBE5040"/>
    <w:rsid w:val="4EC635D4"/>
    <w:rsid w:val="4EF42DDE"/>
    <w:rsid w:val="4F021DFD"/>
    <w:rsid w:val="4F4E29DD"/>
    <w:rsid w:val="4FA5088A"/>
    <w:rsid w:val="4FA55968"/>
    <w:rsid w:val="4FA93361"/>
    <w:rsid w:val="50067390"/>
    <w:rsid w:val="50491464"/>
    <w:rsid w:val="50A54F03"/>
    <w:rsid w:val="50B131B8"/>
    <w:rsid w:val="50EB4351"/>
    <w:rsid w:val="50FA5D76"/>
    <w:rsid w:val="50FC089B"/>
    <w:rsid w:val="513E3E14"/>
    <w:rsid w:val="516E5D30"/>
    <w:rsid w:val="519A61B8"/>
    <w:rsid w:val="529328AD"/>
    <w:rsid w:val="52A145CD"/>
    <w:rsid w:val="52A26688"/>
    <w:rsid w:val="52C3106D"/>
    <w:rsid w:val="52CB0C33"/>
    <w:rsid w:val="532D1C0A"/>
    <w:rsid w:val="53396407"/>
    <w:rsid w:val="53583E88"/>
    <w:rsid w:val="53783C94"/>
    <w:rsid w:val="54D72BF4"/>
    <w:rsid w:val="54E16725"/>
    <w:rsid w:val="54F6709D"/>
    <w:rsid w:val="56336B0D"/>
    <w:rsid w:val="56503B63"/>
    <w:rsid w:val="566138B1"/>
    <w:rsid w:val="56832AE6"/>
    <w:rsid w:val="56F540E8"/>
    <w:rsid w:val="57562C34"/>
    <w:rsid w:val="576B6402"/>
    <w:rsid w:val="57814C22"/>
    <w:rsid w:val="579303E0"/>
    <w:rsid w:val="57BD125F"/>
    <w:rsid w:val="57DB4D69"/>
    <w:rsid w:val="58354DBE"/>
    <w:rsid w:val="5845415A"/>
    <w:rsid w:val="58CB2B06"/>
    <w:rsid w:val="59005937"/>
    <w:rsid w:val="591946E0"/>
    <w:rsid w:val="59581636"/>
    <w:rsid w:val="59594ADC"/>
    <w:rsid w:val="596D5572"/>
    <w:rsid w:val="59DC23BD"/>
    <w:rsid w:val="5A106A61"/>
    <w:rsid w:val="5B012DD6"/>
    <w:rsid w:val="5B4A303E"/>
    <w:rsid w:val="5B730780"/>
    <w:rsid w:val="5B867F38"/>
    <w:rsid w:val="5BBF1EDC"/>
    <w:rsid w:val="5C0D5EDF"/>
    <w:rsid w:val="5CCB520D"/>
    <w:rsid w:val="5CDE5F6B"/>
    <w:rsid w:val="5CE729B2"/>
    <w:rsid w:val="5CFC40FC"/>
    <w:rsid w:val="5D072615"/>
    <w:rsid w:val="5D4D2BAA"/>
    <w:rsid w:val="5D820B03"/>
    <w:rsid w:val="5DDC291B"/>
    <w:rsid w:val="5DE919D2"/>
    <w:rsid w:val="5DE96BF2"/>
    <w:rsid w:val="5E0F60B1"/>
    <w:rsid w:val="5E3B56D9"/>
    <w:rsid w:val="5E7F01AB"/>
    <w:rsid w:val="5E910416"/>
    <w:rsid w:val="5F5A335C"/>
    <w:rsid w:val="5FC652D8"/>
    <w:rsid w:val="6043407E"/>
    <w:rsid w:val="605F74B4"/>
    <w:rsid w:val="607B68FE"/>
    <w:rsid w:val="61096DE8"/>
    <w:rsid w:val="617007B5"/>
    <w:rsid w:val="61E56E86"/>
    <w:rsid w:val="61EC23C6"/>
    <w:rsid w:val="621870FC"/>
    <w:rsid w:val="629B764B"/>
    <w:rsid w:val="62DA2A3D"/>
    <w:rsid w:val="637B3A8F"/>
    <w:rsid w:val="63A65E89"/>
    <w:rsid w:val="644A72CC"/>
    <w:rsid w:val="64902579"/>
    <w:rsid w:val="64E02555"/>
    <w:rsid w:val="65001203"/>
    <w:rsid w:val="652750B8"/>
    <w:rsid w:val="65737FA2"/>
    <w:rsid w:val="65D920E1"/>
    <w:rsid w:val="65D9655D"/>
    <w:rsid w:val="6637149C"/>
    <w:rsid w:val="6656630C"/>
    <w:rsid w:val="6658045E"/>
    <w:rsid w:val="66EC0C69"/>
    <w:rsid w:val="67AD24B8"/>
    <w:rsid w:val="67F5DAB5"/>
    <w:rsid w:val="68261741"/>
    <w:rsid w:val="693E2FAD"/>
    <w:rsid w:val="698062FC"/>
    <w:rsid w:val="69BD5EE8"/>
    <w:rsid w:val="6A4A31CF"/>
    <w:rsid w:val="6A740B43"/>
    <w:rsid w:val="6ABD46BF"/>
    <w:rsid w:val="6AF730BD"/>
    <w:rsid w:val="6B617BE2"/>
    <w:rsid w:val="6BA66029"/>
    <w:rsid w:val="6CA041B2"/>
    <w:rsid w:val="6DDD5EBF"/>
    <w:rsid w:val="6DFC4CD2"/>
    <w:rsid w:val="6E2E2D6D"/>
    <w:rsid w:val="6E3F51B6"/>
    <w:rsid w:val="6E460B96"/>
    <w:rsid w:val="6EA82131"/>
    <w:rsid w:val="6EB5235D"/>
    <w:rsid w:val="6F046708"/>
    <w:rsid w:val="6F68529E"/>
    <w:rsid w:val="6FB410D2"/>
    <w:rsid w:val="6FC54BEF"/>
    <w:rsid w:val="70535170"/>
    <w:rsid w:val="706921FA"/>
    <w:rsid w:val="70B22C23"/>
    <w:rsid w:val="7104137A"/>
    <w:rsid w:val="710E21DD"/>
    <w:rsid w:val="71411B5D"/>
    <w:rsid w:val="719931E1"/>
    <w:rsid w:val="71CF7BDA"/>
    <w:rsid w:val="71DF766A"/>
    <w:rsid w:val="7240055A"/>
    <w:rsid w:val="728E0BA0"/>
    <w:rsid w:val="73134A0E"/>
    <w:rsid w:val="731C6E4F"/>
    <w:rsid w:val="736064A7"/>
    <w:rsid w:val="736159D6"/>
    <w:rsid w:val="73634FBB"/>
    <w:rsid w:val="73F71039"/>
    <w:rsid w:val="73F91498"/>
    <w:rsid w:val="74793E2D"/>
    <w:rsid w:val="74D5337C"/>
    <w:rsid w:val="74D975E2"/>
    <w:rsid w:val="756B7D6A"/>
    <w:rsid w:val="757C417D"/>
    <w:rsid w:val="759272EB"/>
    <w:rsid w:val="759455DB"/>
    <w:rsid w:val="75D02172"/>
    <w:rsid w:val="75D160D9"/>
    <w:rsid w:val="7625391F"/>
    <w:rsid w:val="762914BB"/>
    <w:rsid w:val="76685F07"/>
    <w:rsid w:val="76901DB2"/>
    <w:rsid w:val="773A73AB"/>
    <w:rsid w:val="775767BB"/>
    <w:rsid w:val="7779068F"/>
    <w:rsid w:val="77B92148"/>
    <w:rsid w:val="77FFE39F"/>
    <w:rsid w:val="781B1736"/>
    <w:rsid w:val="78E977D3"/>
    <w:rsid w:val="78F051A8"/>
    <w:rsid w:val="792A15C4"/>
    <w:rsid w:val="796E7CD8"/>
    <w:rsid w:val="79915775"/>
    <w:rsid w:val="79EF18A6"/>
    <w:rsid w:val="7A707A80"/>
    <w:rsid w:val="7A903B21"/>
    <w:rsid w:val="7AC3080E"/>
    <w:rsid w:val="7C4F0F8B"/>
    <w:rsid w:val="7C8F243F"/>
    <w:rsid w:val="7C9D1B23"/>
    <w:rsid w:val="7CCD2F68"/>
    <w:rsid w:val="7CF2196B"/>
    <w:rsid w:val="7D0F17D2"/>
    <w:rsid w:val="7D172435"/>
    <w:rsid w:val="7D2E7430"/>
    <w:rsid w:val="7D993EC8"/>
    <w:rsid w:val="7D9A013D"/>
    <w:rsid w:val="7DCD20F6"/>
    <w:rsid w:val="7DE71E07"/>
    <w:rsid w:val="7E9160CF"/>
    <w:rsid w:val="7EC677D3"/>
    <w:rsid w:val="7F040AF0"/>
    <w:rsid w:val="7F9E2695"/>
    <w:rsid w:val="7FDC2489"/>
    <w:rsid w:val="7FFDEEFD"/>
    <w:rsid w:val="BBFEB28B"/>
    <w:rsid w:val="D74FDF30"/>
    <w:rsid w:val="DEAEE68D"/>
    <w:rsid w:val="F7F97754"/>
    <w:rsid w:val="FB7FC3E7"/>
    <w:rsid w:val="FF3F61B6"/>
    <w:rsid w:val="FFC7EC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360" w:lineRule="atLeast"/>
      <w:textAlignment w:val="baseline"/>
    </w:pPr>
    <w:rPr>
      <w:rFonts w:ascii="Times New Roman" w:hAnsi="Times New Roman" w:eastAsia="宋体" w:cs="Times New Roman"/>
      <w:sz w:val="24"/>
      <w:lang w:val="en-US" w:eastAsia="zh-CN" w:bidi="ar-SA"/>
    </w:rPr>
  </w:style>
  <w:style w:type="paragraph" w:styleId="2">
    <w:name w:val="heading 1"/>
    <w:basedOn w:val="1"/>
    <w:next w:val="1"/>
    <w:link w:val="14"/>
    <w:qFormat/>
    <w:uiPriority w:val="9"/>
    <w:pPr>
      <w:keepNext/>
      <w:keepLines/>
      <w:spacing w:before="340" w:after="330" w:line="578" w:lineRule="atLeast"/>
      <w:outlineLvl w:val="0"/>
    </w:pPr>
    <w:rPr>
      <w:b/>
      <w:bCs/>
      <w:kern w:val="44"/>
      <w:sz w:val="44"/>
      <w:szCs w:val="44"/>
    </w:rPr>
  </w:style>
  <w:style w:type="paragraph" w:styleId="3">
    <w:name w:val="heading 2"/>
    <w:basedOn w:val="1"/>
    <w:next w:val="1"/>
    <w:link w:val="15"/>
    <w:unhideWhenUsed/>
    <w:qFormat/>
    <w:uiPriority w:val="9"/>
    <w:pPr>
      <w:keepNext/>
      <w:keepLines/>
      <w:spacing w:before="260" w:after="260" w:line="416" w:lineRule="atLeast"/>
      <w:outlineLvl w:val="1"/>
    </w:pPr>
    <w:rPr>
      <w:rFonts w:ascii="Cambria" w:hAnsi="Cambria"/>
      <w:b/>
      <w:bCs/>
      <w:sz w:val="32"/>
      <w:szCs w:val="32"/>
    </w:rPr>
  </w:style>
  <w:style w:type="paragraph" w:styleId="4">
    <w:name w:val="heading 3"/>
    <w:basedOn w:val="1"/>
    <w:next w:val="1"/>
    <w:link w:val="16"/>
    <w:unhideWhenUsed/>
    <w:qFormat/>
    <w:uiPriority w:val="9"/>
    <w:pPr>
      <w:keepNext/>
      <w:keepLines/>
      <w:spacing w:before="260" w:after="260" w:line="416" w:lineRule="atLeast"/>
      <w:outlineLvl w:val="2"/>
    </w:pPr>
    <w:rPr>
      <w:b/>
      <w:bCs/>
      <w:sz w:val="32"/>
      <w:szCs w:val="32"/>
    </w:rPr>
  </w:style>
  <w:style w:type="character" w:default="1" w:styleId="12">
    <w:name w:val="Default Paragraph Font"/>
    <w:semiHidden/>
    <w:unhideWhenUsed/>
    <w:uiPriority w:val="1"/>
  </w:style>
  <w:style w:type="table" w:default="1" w:styleId="11">
    <w:name w:val="Normal Table"/>
    <w:semiHidden/>
    <w:unhideWhenUsed/>
    <w:qFormat/>
    <w:uiPriority w:val="99"/>
    <w:tblPr>
      <w:tblLayout w:type="fixed"/>
      <w:tblCellMar>
        <w:top w:w="0" w:type="dxa"/>
        <w:left w:w="108" w:type="dxa"/>
        <w:bottom w:w="0" w:type="dxa"/>
        <w:right w:w="108" w:type="dxa"/>
      </w:tblCellMar>
    </w:tblPr>
  </w:style>
  <w:style w:type="paragraph" w:styleId="5">
    <w:name w:val="toc 3"/>
    <w:basedOn w:val="1"/>
    <w:next w:val="1"/>
    <w:unhideWhenUsed/>
    <w:qFormat/>
    <w:uiPriority w:val="39"/>
    <w:pPr>
      <w:widowControl/>
      <w:adjustRightInd/>
      <w:spacing w:after="100" w:line="276" w:lineRule="auto"/>
      <w:ind w:left="440"/>
      <w:textAlignment w:val="auto"/>
    </w:pPr>
    <w:rPr>
      <w:rFonts w:ascii="Calibri" w:hAnsi="Calibri"/>
      <w:sz w:val="22"/>
      <w:szCs w:val="22"/>
    </w:rPr>
  </w:style>
  <w:style w:type="paragraph" w:styleId="6">
    <w:name w:val="Balloon Text"/>
    <w:basedOn w:val="1"/>
    <w:link w:val="17"/>
    <w:unhideWhenUsed/>
    <w:qFormat/>
    <w:uiPriority w:val="99"/>
    <w:pPr>
      <w:spacing w:line="240" w:lineRule="auto"/>
    </w:pPr>
    <w:rPr>
      <w:sz w:val="18"/>
      <w:szCs w:val="18"/>
    </w:rPr>
  </w:style>
  <w:style w:type="paragraph" w:styleId="7">
    <w:name w:val="footer"/>
    <w:basedOn w:val="1"/>
    <w:link w:val="18"/>
    <w:unhideWhenUsed/>
    <w:qFormat/>
    <w:uiPriority w:val="0"/>
    <w:pPr>
      <w:tabs>
        <w:tab w:val="center" w:pos="4153"/>
        <w:tab w:val="right" w:pos="8306"/>
      </w:tabs>
      <w:snapToGrid w:val="0"/>
      <w:spacing w:line="240" w:lineRule="atLeast"/>
    </w:pPr>
    <w:rPr>
      <w:sz w:val="18"/>
      <w:szCs w:val="18"/>
    </w:rPr>
  </w:style>
  <w:style w:type="paragraph" w:styleId="8">
    <w:name w:val="header"/>
    <w:basedOn w:val="1"/>
    <w:link w:val="19"/>
    <w:unhideWhenUsed/>
    <w:qFormat/>
    <w:uiPriority w:val="0"/>
    <w:pPr>
      <w:pBdr>
        <w:bottom w:val="single" w:color="auto" w:sz="6" w:space="1"/>
      </w:pBdr>
      <w:tabs>
        <w:tab w:val="center" w:pos="4153"/>
        <w:tab w:val="right" w:pos="8306"/>
      </w:tabs>
      <w:snapToGrid w:val="0"/>
      <w:spacing w:line="240" w:lineRule="atLeast"/>
      <w:jc w:val="center"/>
    </w:pPr>
    <w:rPr>
      <w:sz w:val="18"/>
      <w:szCs w:val="18"/>
    </w:rPr>
  </w:style>
  <w:style w:type="paragraph" w:styleId="9">
    <w:name w:val="toc 1"/>
    <w:basedOn w:val="1"/>
    <w:next w:val="1"/>
    <w:unhideWhenUsed/>
    <w:qFormat/>
    <w:uiPriority w:val="39"/>
    <w:pPr>
      <w:widowControl/>
      <w:tabs>
        <w:tab w:val="right" w:leader="dot" w:pos="8296"/>
      </w:tabs>
      <w:adjustRightInd/>
      <w:spacing w:after="100" w:line="276" w:lineRule="auto"/>
      <w:textAlignment w:val="auto"/>
    </w:pPr>
    <w:rPr>
      <w:rFonts w:ascii="黑体" w:hAnsi="黑体" w:eastAsia="黑体" w:cs="方正小标宋简体"/>
      <w:sz w:val="22"/>
      <w:szCs w:val="22"/>
    </w:rPr>
  </w:style>
  <w:style w:type="paragraph" w:styleId="10">
    <w:name w:val="toc 2"/>
    <w:basedOn w:val="1"/>
    <w:next w:val="1"/>
    <w:unhideWhenUsed/>
    <w:qFormat/>
    <w:uiPriority w:val="39"/>
    <w:pPr>
      <w:widowControl/>
      <w:adjustRightInd/>
      <w:spacing w:after="100" w:line="276" w:lineRule="auto"/>
      <w:ind w:left="220"/>
      <w:textAlignment w:val="auto"/>
    </w:pPr>
    <w:rPr>
      <w:rFonts w:ascii="Calibri" w:hAnsi="Calibri"/>
      <w:sz w:val="22"/>
      <w:szCs w:val="22"/>
    </w:rPr>
  </w:style>
  <w:style w:type="character" w:styleId="13">
    <w:name w:val="Hyperlink"/>
    <w:unhideWhenUsed/>
    <w:qFormat/>
    <w:uiPriority w:val="99"/>
    <w:rPr>
      <w:color w:val="0000FF"/>
      <w:u w:val="single"/>
    </w:rPr>
  </w:style>
  <w:style w:type="character" w:customStyle="1" w:styleId="14">
    <w:name w:val="标题 1 字符"/>
    <w:link w:val="2"/>
    <w:qFormat/>
    <w:uiPriority w:val="9"/>
    <w:rPr>
      <w:b/>
      <w:bCs/>
      <w:kern w:val="44"/>
      <w:sz w:val="44"/>
      <w:szCs w:val="44"/>
    </w:rPr>
  </w:style>
  <w:style w:type="character" w:customStyle="1" w:styleId="15">
    <w:name w:val="标题 2 字符"/>
    <w:link w:val="3"/>
    <w:semiHidden/>
    <w:qFormat/>
    <w:uiPriority w:val="9"/>
    <w:rPr>
      <w:rFonts w:ascii="Cambria" w:hAnsi="Cambria" w:eastAsia="宋体" w:cs="Times New Roman"/>
      <w:b/>
      <w:bCs/>
      <w:sz w:val="32"/>
      <w:szCs w:val="32"/>
    </w:rPr>
  </w:style>
  <w:style w:type="character" w:customStyle="1" w:styleId="16">
    <w:name w:val="标题 3 字符"/>
    <w:link w:val="4"/>
    <w:semiHidden/>
    <w:qFormat/>
    <w:uiPriority w:val="9"/>
    <w:rPr>
      <w:b/>
      <w:bCs/>
      <w:sz w:val="32"/>
      <w:szCs w:val="32"/>
    </w:rPr>
  </w:style>
  <w:style w:type="character" w:customStyle="1" w:styleId="17">
    <w:name w:val="批注框文本 字符"/>
    <w:link w:val="6"/>
    <w:semiHidden/>
    <w:qFormat/>
    <w:uiPriority w:val="99"/>
    <w:rPr>
      <w:sz w:val="18"/>
      <w:szCs w:val="18"/>
    </w:rPr>
  </w:style>
  <w:style w:type="character" w:customStyle="1" w:styleId="18">
    <w:name w:val="页脚 字符"/>
    <w:link w:val="7"/>
    <w:semiHidden/>
    <w:qFormat/>
    <w:uiPriority w:val="0"/>
    <w:rPr>
      <w:sz w:val="18"/>
      <w:szCs w:val="18"/>
    </w:rPr>
  </w:style>
  <w:style w:type="character" w:customStyle="1" w:styleId="19">
    <w:name w:val="页眉 字符"/>
    <w:link w:val="8"/>
    <w:semiHidden/>
    <w:qFormat/>
    <w:uiPriority w:val="0"/>
    <w:rPr>
      <w:sz w:val="18"/>
      <w:szCs w:val="18"/>
    </w:rPr>
  </w:style>
  <w:style w:type="paragraph" w:customStyle="1" w:styleId="20">
    <w:name w:val="TOC 标题1"/>
    <w:basedOn w:val="2"/>
    <w:next w:val="1"/>
    <w:unhideWhenUsed/>
    <w:qFormat/>
    <w:uiPriority w:val="39"/>
    <w:pPr>
      <w:widowControl/>
      <w:adjustRightInd/>
      <w:spacing w:before="480" w:after="0" w:line="276" w:lineRule="auto"/>
      <w:textAlignment w:val="auto"/>
      <w:outlineLvl w:val="9"/>
    </w:pPr>
    <w:rPr>
      <w:rFonts w:ascii="Cambria" w:hAnsi="Cambria"/>
      <w:color w:val="365F91"/>
      <w:kern w:val="0"/>
      <w:sz w:val="28"/>
      <w:szCs w:val="28"/>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23</Pages>
  <Words>2126</Words>
  <Characters>12124</Characters>
  <Lines>101</Lines>
  <Paragraphs>28</Paragraphs>
  <TotalTime>0</TotalTime>
  <ScaleCrop>false</ScaleCrop>
  <LinksUpToDate>false</LinksUpToDate>
  <CharactersWithSpaces>14222</CharactersWithSpaces>
  <Application>WPS Office_11.8.2.8411_F1E327BC-269C-435d-A152-05C5408002CA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2019-07-28T02:37:00Z</dcterms:created>
  <dc:creator>Administrator</dc:creator>
  <cp:lastModifiedBy>Administrator</cp:lastModifiedBy>
  <cp:lastPrinted>2012-09-19T14:00:00Z</cp:lastPrinted>
  <dcterms:modified xsi:type="dcterms:W3CDTF">2023-09-13T08:51:21Z</dcterms:modified>
  <dc:title>附件1</dc:title>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2052-11.8.2.8411</vt:lpwstr>
  </property>
  <property fmtid="{D5CDD505-2E9C-101B-9397-08002B2CF9AE}" pid="3" name="ICV">
    <vt:lpwstr>90D74AD8847844C8B6B3F08FF3278CF3_13</vt:lpwstr>
  </property>
</Properties>
</file>