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240" w:lineRule="auto"/>
        <w:rPr>
          <w:rFonts w:ascii="黑体" w:hAnsi="黑体" w:eastAsia="黑体" w:cs="黑体"/>
          <w:w w:val="95"/>
          <w:sz w:val="32"/>
          <w:szCs w:val="32"/>
          <w:lang w:val="en"/>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天津市津南区北闸口镇人民政府(本级)</w:t>
      </w:r>
    </w:p>
    <w:p>
      <w:pPr>
        <w:spacing w:line="580" w:lineRule="exact"/>
        <w:jc w:val="center"/>
        <w:rPr>
          <w:rFonts w:ascii="方正小标宋简体" w:hAnsi="方正小标宋简体" w:eastAsia="方正小标宋简体" w:cs="方正小标宋简体"/>
          <w:sz w:val="48"/>
          <w:szCs w:val="48"/>
        </w:rPr>
        <w:sectPr>
          <w:headerReference r:id="rId5" w:type="default"/>
          <w:footerReference r:id="rId6" w:type="default"/>
          <w:pgSz w:w="11906" w:h="16838"/>
          <w:pgMar w:top="1440" w:right="1800" w:bottom="1440" w:left="1800" w:header="851" w:footer="992" w:gutter="0"/>
          <w:pgNumType w:start="1"/>
          <w:cols w:space="720" w:num="1"/>
          <w:docGrid w:type="lines" w:linePitch="312" w:charSpace="0"/>
        </w:sectPr>
      </w:pPr>
      <w:r>
        <w:rPr>
          <w:rFonts w:hint="eastAsia" w:ascii="方正小标宋简体" w:hAnsi="方正小标宋简体" w:eastAsia="方正小标宋简体" w:cs="方正小标宋简体"/>
          <w:sz w:val="48"/>
          <w:szCs w:val="48"/>
        </w:rPr>
        <w:t>2022年度部门决算</w:t>
      </w:r>
    </w:p>
    <w:p>
      <w:pPr>
        <w:spacing w:line="600" w:lineRule="exact"/>
        <w:jc w:val="center"/>
        <w:rPr>
          <w:rFonts w:ascii="黑体" w:eastAsia="黑体"/>
          <w:sz w:val="44"/>
          <w:szCs w:val="44"/>
        </w:rPr>
      </w:pPr>
    </w:p>
    <w:p>
      <w:pPr>
        <w:spacing w:line="600" w:lineRule="exact"/>
        <w:jc w:val="center"/>
        <w:rPr>
          <w:rFonts w:ascii="黑体" w:eastAsia="黑体"/>
          <w:sz w:val="44"/>
          <w:szCs w:val="44"/>
        </w:rPr>
      </w:pPr>
      <w:r>
        <w:rPr>
          <w:rFonts w:hint="eastAsia" w:ascii="黑体" w:eastAsia="黑体"/>
          <w:sz w:val="44"/>
          <w:szCs w:val="44"/>
        </w:rPr>
        <w:t>目   录</w:t>
      </w:r>
    </w:p>
    <w:p>
      <w:pPr>
        <w:spacing w:line="600" w:lineRule="exact"/>
        <w:rPr>
          <w:rFonts w:ascii="黑体" w:eastAsia="黑体"/>
          <w:sz w:val="30"/>
          <w:szCs w:val="30"/>
        </w:rPr>
      </w:pPr>
    </w:p>
    <w:p>
      <w:pPr>
        <w:pStyle w:val="9"/>
        <w:tabs>
          <w:tab w:val="right" w:leader="dot" w:pos="8306"/>
          <w:tab w:val="clear" w:pos="8296"/>
        </w:tabs>
        <w:rPr>
          <w:rFonts w:ascii="仿宋_GB2312" w:hAnsi="Times New Roman" w:eastAsia="仿宋_GB2312" w:cs="Times New Roman"/>
          <w:sz w:val="30"/>
          <w:szCs w:val="30"/>
        </w:rPr>
      </w:pP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TOC \o "1-3" \h \z \u </w:instrText>
      </w:r>
      <w:r>
        <w:rPr>
          <w:rFonts w:hint="eastAsia" w:ascii="仿宋_GB2312" w:hAnsi="Times New Roman" w:eastAsia="仿宋_GB2312" w:cs="Times New Roman"/>
          <w:sz w:val="30"/>
          <w:szCs w:val="30"/>
        </w:rPr>
        <w:fldChar w:fldCharType="separate"/>
      </w:r>
      <w:r>
        <w:fldChar w:fldCharType="begin"/>
      </w:r>
      <w:r>
        <w:instrText xml:space="preserve"> HYPERLINK \l "_Toc859" </w:instrText>
      </w:r>
      <w:r>
        <w:fldChar w:fldCharType="separate"/>
      </w:r>
      <w:r>
        <w:rPr>
          <w:rFonts w:hint="eastAsia" w:ascii="仿宋_GB2312" w:hAnsi="Times New Roman" w:eastAsia="仿宋_GB2312" w:cs="Times New Roman"/>
          <w:sz w:val="30"/>
          <w:szCs w:val="30"/>
        </w:rPr>
        <w:t>第一部分  概 况</w:t>
      </w:r>
      <w:r>
        <w:rPr>
          <w:rFonts w:hint="eastAsia" w:ascii="仿宋_GB2312" w:hAnsi="Times New Roman" w:eastAsia="仿宋_GB2312" w:cs="Times New Roman"/>
          <w:sz w:val="30"/>
          <w:szCs w:val="30"/>
        </w:rPr>
        <w:tab/>
      </w: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PAGEREF _Toc859 \h </w:instrText>
      </w:r>
      <w:r>
        <w:rPr>
          <w:rFonts w:hint="eastAsia" w:ascii="仿宋_GB2312" w:hAnsi="Times New Roman" w:eastAsia="仿宋_GB2312" w:cs="Times New Roman"/>
          <w:sz w:val="30"/>
          <w:szCs w:val="30"/>
        </w:rPr>
        <w:fldChar w:fldCharType="separate"/>
      </w:r>
      <w:r>
        <w:rPr>
          <w:rFonts w:hint="eastAsia" w:ascii="仿宋_GB2312" w:hAnsi="Times New Roman" w:eastAsia="仿宋_GB2312" w:cs="Times New Roman"/>
          <w:sz w:val="30"/>
          <w:szCs w:val="30"/>
        </w:rPr>
        <w:t>1</w:t>
      </w:r>
      <w:r>
        <w:rPr>
          <w:rFonts w:hint="eastAsia" w:ascii="仿宋_GB2312" w:hAnsi="Times New Roman" w:eastAsia="仿宋_GB2312" w:cs="Times New Roman"/>
          <w:sz w:val="30"/>
          <w:szCs w:val="30"/>
        </w:rPr>
        <w:fldChar w:fldCharType="end"/>
      </w:r>
      <w:r>
        <w:rPr>
          <w:rFonts w:hint="eastAsia" w:ascii="仿宋_GB2312" w:hAnsi="Times New Roman" w:eastAsia="仿宋_GB2312" w:cs="Times New Roman"/>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"_Toc21919" </w:instrText>
      </w:r>
      <w:r>
        <w:fldChar w:fldCharType="separate"/>
      </w:r>
      <w:r>
        <w:rPr>
          <w:rFonts w:hint="eastAsia" w:ascii="仿宋_GB2312" w:hAnsi="Times New Roman" w:eastAsia="仿宋_GB2312"/>
          <w:sz w:val="30"/>
          <w:szCs w:val="30"/>
        </w:rPr>
        <w:t>一、主要职责</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_Toc21919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"_Toc17388" </w:instrText>
      </w:r>
      <w:r>
        <w:fldChar w:fldCharType="separate"/>
      </w:r>
      <w:r>
        <w:rPr>
          <w:rFonts w:hint="eastAsia" w:ascii="仿宋_GB2312" w:hAnsi="Times New Roman" w:eastAsia="仿宋_GB2312"/>
          <w:sz w:val="30"/>
          <w:szCs w:val="30"/>
        </w:rPr>
        <w:t>二、机构设置</w:t>
      </w:r>
      <w:r>
        <w:rPr>
          <w:rFonts w:hint="eastAsia" w:ascii="仿宋_GB2312" w:hAnsi="Times New Roman" w:eastAsia="仿宋_GB2312"/>
          <w:sz w:val="30"/>
          <w:szCs w:val="30"/>
        </w:rPr>
        <w:tab/>
      </w:r>
      <w:r>
        <w:rPr>
          <w:rFonts w:hint="eastAsia" w:ascii="仿宋_GB2312" w:hAnsi="Times New Roman" w:eastAsia="仿宋_GB2312"/>
          <w:sz w:val="30"/>
          <w:szCs w:val="30"/>
          <w:lang w:val="en-US" w:eastAsia="zh-CN"/>
        </w:rPr>
        <w:t>2</w:t>
      </w:r>
      <w:r>
        <w:rPr>
          <w:rFonts w:hint="eastAsia" w:ascii="仿宋_GB2312" w:hAnsi="Times New Roman" w:eastAsia="仿宋_GB2312"/>
          <w:sz w:val="30"/>
          <w:szCs w:val="30"/>
        </w:rPr>
        <w:fldChar w:fldCharType="end"/>
      </w:r>
    </w:p>
    <w:p>
      <w:pPr>
        <w:pStyle w:val="9"/>
        <w:tabs>
          <w:tab w:val="right" w:leader="dot" w:pos="8306"/>
          <w:tab w:val="clear" w:pos="8296"/>
        </w:tabs>
        <w:rPr>
          <w:rFonts w:ascii="仿宋_GB2312" w:hAnsi="Times New Roman" w:eastAsia="仿宋_GB2312" w:cs="Times New Roman"/>
          <w:sz w:val="30"/>
          <w:szCs w:val="30"/>
        </w:rPr>
      </w:pPr>
      <w:r>
        <w:fldChar w:fldCharType="begin"/>
      </w:r>
      <w:r>
        <w:instrText xml:space="preserve"> HYPERLINK \l "_Toc24747" </w:instrText>
      </w:r>
      <w:r>
        <w:fldChar w:fldCharType="separate"/>
      </w:r>
      <w:r>
        <w:rPr>
          <w:rFonts w:hint="eastAsia" w:ascii="仿宋_GB2312" w:hAnsi="Times New Roman" w:eastAsia="仿宋_GB2312" w:cs="Times New Roman"/>
          <w:sz w:val="30"/>
          <w:szCs w:val="30"/>
        </w:rPr>
        <w:t>第二部分  2022年度部门决算表</w:t>
      </w:r>
      <w:r>
        <w:rPr>
          <w:rFonts w:hint="eastAsia" w:ascii="仿宋_GB2312" w:hAnsi="Times New Roman" w:eastAsia="仿宋_GB2312" w:cs="Times New Roman"/>
          <w:sz w:val="30"/>
          <w:szCs w:val="30"/>
        </w:rPr>
        <w:tab/>
      </w: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PAGEREF _Toc24747 \h </w:instrText>
      </w:r>
      <w:r>
        <w:rPr>
          <w:rFonts w:hint="eastAsia" w:ascii="仿宋_GB2312" w:hAnsi="Times New Roman" w:eastAsia="仿宋_GB2312" w:cs="Times New Roman"/>
          <w:sz w:val="30"/>
          <w:szCs w:val="30"/>
        </w:rPr>
        <w:fldChar w:fldCharType="separate"/>
      </w:r>
      <w:r>
        <w:rPr>
          <w:rFonts w:hint="eastAsia" w:ascii="仿宋_GB2312" w:hAnsi="Times New Roman" w:eastAsia="仿宋_GB2312" w:cs="Times New Roman"/>
          <w:sz w:val="30"/>
          <w:szCs w:val="30"/>
        </w:rPr>
        <w:t>3</w:t>
      </w:r>
      <w:r>
        <w:rPr>
          <w:rFonts w:hint="eastAsia" w:ascii="仿宋_GB2312" w:hAnsi="Times New Roman" w:eastAsia="仿宋_GB2312" w:cs="Times New Roman"/>
          <w:sz w:val="30"/>
          <w:szCs w:val="30"/>
        </w:rPr>
        <w:fldChar w:fldCharType="end"/>
      </w:r>
      <w:r>
        <w:rPr>
          <w:rFonts w:hint="eastAsia" w:ascii="仿宋_GB2312" w:hAnsi="Times New Roman" w:eastAsia="仿宋_GB2312" w:cs="Times New Roman"/>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"_Toc20142" </w:instrText>
      </w:r>
      <w:r>
        <w:fldChar w:fldCharType="separate"/>
      </w:r>
      <w:r>
        <w:rPr>
          <w:rFonts w:hint="eastAsia" w:ascii="仿宋_GB2312" w:hAnsi="Times New Roman" w:eastAsia="仿宋_GB2312"/>
          <w:sz w:val="30"/>
          <w:szCs w:val="30"/>
        </w:rPr>
        <w:t>一、《收入支出决算总表》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_Toc20142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"_Toc1616" </w:instrText>
      </w:r>
      <w:r>
        <w:fldChar w:fldCharType="separate"/>
      </w:r>
      <w:r>
        <w:rPr>
          <w:rFonts w:hint="eastAsia" w:ascii="仿宋_GB2312" w:hAnsi="Times New Roman" w:eastAsia="仿宋_GB2312"/>
          <w:sz w:val="30"/>
          <w:szCs w:val="30"/>
        </w:rPr>
        <w:t>二、《收入决算表（按功能分类列示）》</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_Toc1616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"_Toc12050" </w:instrText>
      </w:r>
      <w:r>
        <w:fldChar w:fldCharType="separate"/>
      </w:r>
      <w:r>
        <w:rPr>
          <w:rFonts w:hint="eastAsia" w:ascii="仿宋_GB2312" w:hAnsi="Times New Roman" w:eastAsia="仿宋_GB2312"/>
          <w:sz w:val="30"/>
          <w:szCs w:val="30"/>
        </w:rPr>
        <w:t>三、《收入决算表（按单位列示）》</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_Toc12050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"_Toc1989" </w:instrText>
      </w:r>
      <w:r>
        <w:fldChar w:fldCharType="separate"/>
      </w:r>
      <w:r>
        <w:rPr>
          <w:rFonts w:hint="eastAsia" w:ascii="仿宋_GB2312" w:hAnsi="Times New Roman" w:eastAsia="仿宋_GB2312"/>
          <w:sz w:val="30"/>
          <w:szCs w:val="30"/>
        </w:rPr>
        <w:t>四、《支出决算表》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_Toc1989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"_Toc32498" </w:instrText>
      </w:r>
      <w:r>
        <w:fldChar w:fldCharType="separate"/>
      </w:r>
      <w:r>
        <w:rPr>
          <w:rFonts w:hint="eastAsia" w:ascii="仿宋_GB2312" w:hAnsi="Times New Roman" w:eastAsia="仿宋_GB2312"/>
          <w:sz w:val="30"/>
          <w:szCs w:val="30"/>
        </w:rPr>
        <w:t>五、《财政拨款收入支出决算总表》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_Toc32498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"_Toc26379" </w:instrText>
      </w:r>
      <w:r>
        <w:fldChar w:fldCharType="separate"/>
      </w:r>
      <w:r>
        <w:rPr>
          <w:rFonts w:hint="eastAsia" w:ascii="仿宋_GB2312" w:hAnsi="Times New Roman" w:eastAsia="仿宋_GB2312"/>
          <w:sz w:val="30"/>
          <w:szCs w:val="30"/>
        </w:rPr>
        <w:t>六、《一般公共预算财政拨款支出决算表》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_Toc26379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"_Toc4498" </w:instrText>
      </w:r>
      <w:r>
        <w:fldChar w:fldCharType="separate"/>
      </w:r>
      <w:r>
        <w:rPr>
          <w:rFonts w:hint="eastAsia" w:ascii="仿宋_GB2312" w:hAnsi="Times New Roman" w:eastAsia="仿宋_GB2312"/>
          <w:sz w:val="30"/>
          <w:szCs w:val="30"/>
        </w:rPr>
        <w:t>七、《一般公共预算财政拨款基本支出决算表》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_Toc4498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"_Toc18038" </w:instrText>
      </w:r>
      <w:r>
        <w:fldChar w:fldCharType="separate"/>
      </w:r>
      <w:r>
        <w:rPr>
          <w:rFonts w:hint="eastAsia" w:ascii="仿宋_GB2312" w:hAnsi="Times New Roman" w:eastAsia="仿宋_GB2312"/>
          <w:sz w:val="30"/>
          <w:szCs w:val="30"/>
        </w:rPr>
        <w:t>八、《政府性基金预算财政拨款收入支出决算表》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_Toc18038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"_Toc13200" </w:instrText>
      </w:r>
      <w:r>
        <w:fldChar w:fldCharType="separate"/>
      </w:r>
      <w:r>
        <w:rPr>
          <w:rFonts w:hint="eastAsia" w:ascii="仿宋_GB2312" w:hAnsi="Times New Roman" w:eastAsia="仿宋_GB2312"/>
          <w:sz w:val="30"/>
          <w:szCs w:val="30"/>
        </w:rPr>
        <w:t>九、《国有资本经营预算财政拨款收入支出决算表》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_Toc13200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"_Toc3423" </w:instrText>
      </w:r>
      <w:r>
        <w:fldChar w:fldCharType="separate"/>
      </w:r>
      <w:r>
        <w:rPr>
          <w:rFonts w:hint="eastAsia" w:ascii="仿宋_GB2312" w:hAnsi="Times New Roman" w:eastAsia="仿宋_GB2312"/>
          <w:sz w:val="30"/>
          <w:szCs w:val="30"/>
        </w:rPr>
        <w:t>十、《一般公共预算财政拨款“三公”经费支出决算表》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_Toc3423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"_Toc3915" </w:instrText>
      </w:r>
      <w:r>
        <w:fldChar w:fldCharType="separate"/>
      </w:r>
      <w:r>
        <w:rPr>
          <w:rFonts w:hint="eastAsia" w:ascii="仿宋_GB2312" w:hAnsi="Times New Roman" w:eastAsia="仿宋_GB2312"/>
          <w:sz w:val="30"/>
          <w:szCs w:val="30"/>
        </w:rPr>
        <w:t>十一、《项目支出决算表》</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_Toc3915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"_Toc17260" </w:instrText>
      </w:r>
      <w:r>
        <w:fldChar w:fldCharType="separate"/>
      </w:r>
      <w:r>
        <w:rPr>
          <w:rFonts w:hint="eastAsia" w:ascii="仿宋_GB2312" w:hAnsi="Times New Roman" w:eastAsia="仿宋_GB2312"/>
          <w:sz w:val="30"/>
          <w:szCs w:val="30"/>
        </w:rPr>
        <w:t>十二、关于空表的说明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_Toc17260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9"/>
        <w:tabs>
          <w:tab w:val="right" w:leader="dot" w:pos="8306"/>
          <w:tab w:val="clear" w:pos="8296"/>
        </w:tabs>
        <w:rPr>
          <w:rFonts w:ascii="仿宋_GB2312" w:hAnsi="Times New Roman" w:eastAsia="仿宋_GB2312" w:cs="Times New Roman"/>
          <w:sz w:val="30"/>
          <w:szCs w:val="30"/>
        </w:rPr>
      </w:pPr>
      <w:r>
        <w:fldChar w:fldCharType="begin"/>
      </w:r>
      <w:r>
        <w:instrText xml:space="preserve"> HYPERLINK \l "_Toc396" </w:instrText>
      </w:r>
      <w:r>
        <w:fldChar w:fldCharType="separate"/>
      </w:r>
      <w:r>
        <w:rPr>
          <w:rFonts w:hint="eastAsia" w:ascii="仿宋_GB2312" w:hAnsi="Times New Roman" w:eastAsia="仿宋_GB2312" w:cs="Times New Roman"/>
          <w:sz w:val="30"/>
          <w:szCs w:val="30"/>
        </w:rPr>
        <w:t>第三部分  2022年度部门决算情况说明</w:t>
      </w:r>
      <w:r>
        <w:rPr>
          <w:rFonts w:hint="eastAsia" w:ascii="仿宋_GB2312" w:hAnsi="Times New Roman" w:eastAsia="仿宋_GB2312" w:cs="Times New Roman"/>
          <w:sz w:val="30"/>
          <w:szCs w:val="30"/>
        </w:rPr>
        <w:tab/>
      </w: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PAGEREF _Toc396 \h </w:instrText>
      </w:r>
      <w:r>
        <w:rPr>
          <w:rFonts w:hint="eastAsia" w:ascii="仿宋_GB2312" w:hAnsi="Times New Roman" w:eastAsia="仿宋_GB2312" w:cs="Times New Roman"/>
          <w:sz w:val="30"/>
          <w:szCs w:val="30"/>
        </w:rPr>
        <w:fldChar w:fldCharType="separate"/>
      </w:r>
      <w:r>
        <w:rPr>
          <w:rFonts w:hint="eastAsia" w:ascii="仿宋_GB2312" w:hAnsi="Times New Roman" w:eastAsia="仿宋_GB2312" w:cs="Times New Roman"/>
          <w:sz w:val="30"/>
          <w:szCs w:val="30"/>
        </w:rPr>
        <w:t>4</w:t>
      </w:r>
      <w:r>
        <w:rPr>
          <w:rFonts w:hint="eastAsia" w:ascii="仿宋_GB2312" w:hAnsi="Times New Roman" w:eastAsia="仿宋_GB2312" w:cs="Times New Roman"/>
          <w:sz w:val="30"/>
          <w:szCs w:val="30"/>
        </w:rPr>
        <w:fldChar w:fldCharType="end"/>
      </w:r>
      <w:r>
        <w:rPr>
          <w:rFonts w:hint="eastAsia" w:ascii="仿宋_GB2312" w:hAnsi="Times New Roman" w:eastAsia="仿宋_GB2312" w:cs="Times New Roman"/>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"_Toc24340" </w:instrText>
      </w:r>
      <w:r>
        <w:fldChar w:fldCharType="separate"/>
      </w:r>
      <w:r>
        <w:rPr>
          <w:rFonts w:hint="eastAsia" w:ascii="仿宋_GB2312" w:hAnsi="Times New Roman" w:eastAsia="仿宋_GB2312"/>
          <w:sz w:val="30"/>
          <w:szCs w:val="30"/>
        </w:rPr>
        <w:t>一、收入支出决算总体情况说明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_Toc24340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4</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"_Toc18552" </w:instrText>
      </w:r>
      <w:r>
        <w:fldChar w:fldCharType="separate"/>
      </w:r>
      <w:r>
        <w:rPr>
          <w:rFonts w:hint="eastAsia" w:ascii="仿宋_GB2312" w:hAnsi="Times New Roman" w:eastAsia="仿宋_GB2312"/>
          <w:sz w:val="30"/>
          <w:szCs w:val="30"/>
        </w:rPr>
        <w:t>二、收入决算情况说明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_Toc18552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4</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"_Toc26952" </w:instrText>
      </w:r>
      <w:r>
        <w:fldChar w:fldCharType="separate"/>
      </w:r>
      <w:r>
        <w:rPr>
          <w:rFonts w:hint="eastAsia" w:ascii="仿宋_GB2312" w:hAnsi="Times New Roman" w:eastAsia="仿宋_GB2312"/>
          <w:sz w:val="30"/>
          <w:szCs w:val="30"/>
        </w:rPr>
        <w:t>三、支出决算情况说明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_Toc26952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4</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"_Toc1812" </w:instrText>
      </w:r>
      <w:r>
        <w:fldChar w:fldCharType="separate"/>
      </w:r>
      <w:r>
        <w:rPr>
          <w:rFonts w:hint="eastAsia" w:ascii="仿宋_GB2312" w:hAnsi="Times New Roman" w:eastAsia="仿宋_GB2312"/>
          <w:sz w:val="30"/>
          <w:szCs w:val="30"/>
        </w:rPr>
        <w:t>四、财政拨款收支决算总体情况说明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_Toc1812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5</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"_Toc10091" </w:instrText>
      </w:r>
      <w:r>
        <w:fldChar w:fldCharType="separate"/>
      </w:r>
      <w:r>
        <w:rPr>
          <w:rFonts w:hint="eastAsia" w:ascii="仿宋_GB2312" w:hAnsi="Times New Roman" w:eastAsia="仿宋_GB2312"/>
          <w:sz w:val="30"/>
          <w:szCs w:val="30"/>
        </w:rPr>
        <w:t>五、一般公共预算财政拨款支出决算情况说明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_Toc10091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5</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"_Toc10721" </w:instrText>
      </w:r>
      <w:r>
        <w:fldChar w:fldCharType="separate"/>
      </w:r>
      <w:r>
        <w:rPr>
          <w:rFonts w:hint="eastAsia" w:ascii="仿宋_GB2312" w:hAnsi="Times New Roman" w:eastAsia="仿宋_GB2312"/>
          <w:sz w:val="30"/>
          <w:szCs w:val="30"/>
        </w:rPr>
        <w:t>六、一般公共预算财政拨款基本支出决算情况说明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_Toc10721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"_Toc17918" </w:instrText>
      </w:r>
      <w:r>
        <w:fldChar w:fldCharType="separate"/>
      </w:r>
      <w:r>
        <w:rPr>
          <w:rFonts w:hint="eastAsia" w:ascii="仿宋_GB2312" w:hAnsi="Times New Roman" w:eastAsia="仿宋_GB2312"/>
          <w:sz w:val="30"/>
          <w:szCs w:val="30"/>
        </w:rPr>
        <w:t>七、政府性基金预算财政拨款收支决算情况说明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_Toc17918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13</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"_Toc23897" </w:instrText>
      </w:r>
      <w:r>
        <w:fldChar w:fldCharType="separate"/>
      </w:r>
      <w:r>
        <w:rPr>
          <w:rFonts w:hint="eastAsia" w:ascii="仿宋_GB2312" w:hAnsi="Times New Roman" w:eastAsia="仿宋_GB2312"/>
          <w:sz w:val="30"/>
          <w:szCs w:val="30"/>
        </w:rPr>
        <w:t>八、国有资本经营预算财政拨款收支决算情况说明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_Toc23897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14</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"_Toc4518" </w:instrText>
      </w:r>
      <w:r>
        <w:fldChar w:fldCharType="separate"/>
      </w:r>
      <w:r>
        <w:rPr>
          <w:rFonts w:hint="eastAsia" w:ascii="仿宋_GB2312" w:hAnsi="Times New Roman" w:eastAsia="仿宋_GB2312"/>
          <w:sz w:val="30"/>
          <w:szCs w:val="30"/>
        </w:rPr>
        <w:t>九、一般公共预算财政拨款“三公”经费支出决算情况说明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_Toc4518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14</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"_Toc3411" </w:instrText>
      </w:r>
      <w:r>
        <w:fldChar w:fldCharType="separate"/>
      </w:r>
      <w:r>
        <w:rPr>
          <w:rFonts w:hint="eastAsia" w:ascii="仿宋_GB2312" w:hAnsi="Times New Roman" w:eastAsia="仿宋_GB2312"/>
          <w:sz w:val="30"/>
          <w:szCs w:val="30"/>
        </w:rPr>
        <w:t>十、机关运行经费支出情况说明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_Toc3411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15</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hint="eastAsia" w:ascii="仿宋_GB2312" w:hAnsi="Times New Roman" w:eastAsia="仿宋_GB2312"/>
          <w:sz w:val="30"/>
          <w:szCs w:val="30"/>
          <w:lang w:val="en-US" w:eastAsia="zh-CN"/>
        </w:rPr>
      </w:pPr>
      <w:r>
        <w:fldChar w:fldCharType="begin"/>
      </w:r>
      <w:r>
        <w:instrText xml:space="preserve"> HYPERLINK \l "_Toc31102" </w:instrText>
      </w:r>
      <w:r>
        <w:fldChar w:fldCharType="separate"/>
      </w:r>
      <w:r>
        <w:rPr>
          <w:rFonts w:hint="eastAsia" w:ascii="仿宋_GB2312" w:hAnsi="Times New Roman" w:eastAsia="仿宋_GB2312"/>
          <w:sz w:val="30"/>
          <w:szCs w:val="30"/>
        </w:rPr>
        <w:t>十一、政府采购支出情况说明</w:t>
      </w:r>
      <w:r>
        <w:rPr>
          <w:rFonts w:hint="eastAsia" w:ascii="仿宋_GB2312" w:hAnsi="Times New Roman" w:eastAsia="仿宋_GB2312"/>
          <w:sz w:val="30"/>
          <w:szCs w:val="30"/>
        </w:rPr>
        <w:tab/>
      </w:r>
      <w:r>
        <w:rPr>
          <w:rFonts w:hint="eastAsia" w:ascii="仿宋_GB2312" w:hAnsi="Times New Roman" w:eastAsia="仿宋_GB2312"/>
          <w:sz w:val="30"/>
          <w:szCs w:val="30"/>
          <w:lang w:val="en-US" w:eastAsia="zh-CN"/>
        </w:rPr>
        <w:t>1</w:t>
      </w:r>
      <w:r>
        <w:rPr>
          <w:rFonts w:hint="eastAsia" w:ascii="仿宋_GB2312" w:hAnsi="Times New Roman" w:eastAsia="仿宋_GB2312"/>
          <w:sz w:val="30"/>
          <w:szCs w:val="30"/>
        </w:rPr>
        <w:fldChar w:fldCharType="end"/>
      </w:r>
      <w:r>
        <w:rPr>
          <w:rFonts w:hint="eastAsia" w:ascii="仿宋_GB2312" w:hAnsi="Times New Roman" w:eastAsia="仿宋_GB2312"/>
          <w:sz w:val="30"/>
          <w:szCs w:val="30"/>
          <w:lang w:val="en-US" w:eastAsia="zh-CN"/>
        </w:rPr>
        <w:t>5</w:t>
      </w:r>
    </w:p>
    <w:p>
      <w:pPr>
        <w:pStyle w:val="10"/>
        <w:tabs>
          <w:tab w:val="right" w:leader="dot" w:pos="8306"/>
        </w:tabs>
        <w:rPr>
          <w:rFonts w:ascii="仿宋_GB2312" w:hAnsi="Times New Roman" w:eastAsia="仿宋_GB2312"/>
          <w:sz w:val="30"/>
          <w:szCs w:val="30"/>
        </w:rPr>
      </w:pPr>
      <w:r>
        <w:fldChar w:fldCharType="begin"/>
      </w:r>
      <w:r>
        <w:instrText xml:space="preserve"> HYPERLINK \l "_Toc23709" </w:instrText>
      </w:r>
      <w:r>
        <w:fldChar w:fldCharType="separate"/>
      </w:r>
      <w:r>
        <w:rPr>
          <w:rFonts w:hint="eastAsia" w:ascii="仿宋_GB2312" w:hAnsi="Times New Roman" w:eastAsia="仿宋_GB2312"/>
          <w:sz w:val="30"/>
          <w:szCs w:val="30"/>
        </w:rPr>
        <w:t>十二、国有资产占有使用情况说明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_Toc23709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16</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"_Toc11467" </w:instrText>
      </w:r>
      <w:r>
        <w:fldChar w:fldCharType="separate"/>
      </w:r>
      <w:r>
        <w:rPr>
          <w:rFonts w:hint="eastAsia" w:ascii="仿宋_GB2312" w:hAnsi="Times New Roman" w:eastAsia="仿宋_GB2312"/>
          <w:sz w:val="30"/>
          <w:szCs w:val="30"/>
        </w:rPr>
        <w:t>十三、预算绩效情况说明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_Toc11467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16</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10"/>
        <w:tabs>
          <w:tab w:val="right" w:leader="dot" w:pos="8306"/>
        </w:tabs>
        <w:rPr>
          <w:rFonts w:ascii="仿宋_GB2312" w:hAnsi="Times New Roman" w:eastAsia="仿宋_GB2312"/>
          <w:sz w:val="30"/>
          <w:szCs w:val="30"/>
        </w:rPr>
      </w:pPr>
      <w:r>
        <w:fldChar w:fldCharType="begin"/>
      </w:r>
      <w:r>
        <w:instrText xml:space="preserve"> HYPERLINK \l "_Toc15949" </w:instrText>
      </w:r>
      <w:r>
        <w:fldChar w:fldCharType="separate"/>
      </w:r>
      <w:r>
        <w:rPr>
          <w:rFonts w:hint="eastAsia" w:ascii="仿宋_GB2312" w:hAnsi="Times New Roman" w:eastAsia="仿宋_GB2312"/>
          <w:sz w:val="30"/>
          <w:szCs w:val="30"/>
        </w:rPr>
        <w:t>十四、教育、医疗卫生、社会保障和就业、住房保障、涉农补贴等民生支出情况说明</w:t>
      </w:r>
      <w:r>
        <w:rPr>
          <w:rFonts w:hint="eastAsia" w:ascii="仿宋_GB2312" w:hAnsi="Times New Roman" w:eastAsia="仿宋_GB2312"/>
          <w:sz w:val="30"/>
          <w:szCs w:val="30"/>
        </w:rPr>
        <w:tab/>
      </w:r>
      <w:r>
        <w:rPr>
          <w:rFonts w:hint="eastAsia" w:ascii="仿宋_GB2312" w:hAnsi="Times New Roman" w:eastAsia="仿宋_GB2312"/>
          <w:sz w:val="30"/>
          <w:szCs w:val="30"/>
        </w:rPr>
        <w:fldChar w:fldCharType="begin"/>
      </w:r>
      <w:r>
        <w:rPr>
          <w:rFonts w:hint="eastAsia" w:ascii="仿宋_GB2312" w:hAnsi="Times New Roman" w:eastAsia="仿宋_GB2312"/>
          <w:sz w:val="30"/>
          <w:szCs w:val="30"/>
        </w:rPr>
        <w:instrText xml:space="preserve"> PAGEREF _Toc15949 \h </w:instrText>
      </w:r>
      <w:r>
        <w:rPr>
          <w:rFonts w:hint="eastAsia" w:ascii="仿宋_GB2312" w:hAnsi="Times New Roman" w:eastAsia="仿宋_GB2312"/>
          <w:sz w:val="30"/>
          <w:szCs w:val="30"/>
        </w:rPr>
        <w:fldChar w:fldCharType="separate"/>
      </w:r>
      <w:r>
        <w:rPr>
          <w:rFonts w:hint="eastAsia" w:ascii="仿宋_GB2312" w:hAnsi="Times New Roman" w:eastAsia="仿宋_GB2312"/>
          <w:sz w:val="30"/>
          <w:szCs w:val="30"/>
        </w:rPr>
        <w:t>16</w:t>
      </w:r>
      <w:r>
        <w:rPr>
          <w:rFonts w:hint="eastAsia" w:ascii="仿宋_GB2312" w:hAnsi="Times New Roman" w:eastAsia="仿宋_GB2312"/>
          <w:sz w:val="30"/>
          <w:szCs w:val="30"/>
        </w:rPr>
        <w:fldChar w:fldCharType="end"/>
      </w:r>
      <w:r>
        <w:rPr>
          <w:rFonts w:hint="eastAsia" w:ascii="仿宋_GB2312" w:hAnsi="Times New Roman" w:eastAsia="仿宋_GB2312"/>
          <w:sz w:val="30"/>
          <w:szCs w:val="30"/>
        </w:rPr>
        <w:fldChar w:fldCharType="end"/>
      </w:r>
    </w:p>
    <w:p>
      <w:pPr>
        <w:pStyle w:val="9"/>
        <w:tabs>
          <w:tab w:val="right" w:leader="dot" w:pos="8306"/>
          <w:tab w:val="clear" w:pos="8296"/>
        </w:tabs>
        <w:rPr>
          <w:rFonts w:ascii="仿宋_GB2312" w:hAnsi="Times New Roman" w:eastAsia="仿宋_GB2312" w:cs="Times New Roman"/>
          <w:sz w:val="30"/>
          <w:szCs w:val="30"/>
        </w:rPr>
      </w:pPr>
      <w:r>
        <w:fldChar w:fldCharType="begin"/>
      </w:r>
      <w:r>
        <w:instrText xml:space="preserve"> HYPERLINK \l "_Toc30612" </w:instrText>
      </w:r>
      <w:r>
        <w:fldChar w:fldCharType="separate"/>
      </w:r>
      <w:r>
        <w:rPr>
          <w:rFonts w:hint="eastAsia" w:ascii="仿宋_GB2312" w:hAnsi="Times New Roman" w:eastAsia="仿宋_GB2312" w:cs="Times New Roman"/>
          <w:sz w:val="30"/>
          <w:szCs w:val="30"/>
        </w:rPr>
        <w:t>第四部分  名词解释</w:t>
      </w:r>
      <w:r>
        <w:rPr>
          <w:rFonts w:hint="eastAsia" w:ascii="仿宋_GB2312" w:hAnsi="Times New Roman" w:eastAsia="仿宋_GB2312" w:cs="Times New Roman"/>
          <w:sz w:val="30"/>
          <w:szCs w:val="30"/>
        </w:rPr>
        <w:tab/>
      </w:r>
      <w:r>
        <w:rPr>
          <w:rFonts w:hint="eastAsia" w:ascii="仿宋_GB2312" w:hAnsi="Times New Roman" w:eastAsia="仿宋_GB2312" w:cs="Times New Roman"/>
          <w:sz w:val="30"/>
          <w:szCs w:val="30"/>
        </w:rPr>
        <w:fldChar w:fldCharType="begin"/>
      </w:r>
      <w:r>
        <w:rPr>
          <w:rFonts w:hint="eastAsia" w:ascii="仿宋_GB2312" w:hAnsi="Times New Roman" w:eastAsia="仿宋_GB2312" w:cs="Times New Roman"/>
          <w:sz w:val="30"/>
          <w:szCs w:val="30"/>
        </w:rPr>
        <w:instrText xml:space="preserve"> PAGEREF _Toc30612 \h </w:instrText>
      </w:r>
      <w:r>
        <w:rPr>
          <w:rFonts w:hint="eastAsia" w:ascii="仿宋_GB2312" w:hAnsi="Times New Roman" w:eastAsia="仿宋_GB2312" w:cs="Times New Roman"/>
          <w:sz w:val="30"/>
          <w:szCs w:val="30"/>
        </w:rPr>
        <w:fldChar w:fldCharType="separate"/>
      </w:r>
      <w:r>
        <w:rPr>
          <w:rFonts w:hint="eastAsia" w:ascii="仿宋_GB2312" w:hAnsi="Times New Roman" w:eastAsia="仿宋_GB2312" w:cs="Times New Roman"/>
          <w:sz w:val="30"/>
          <w:szCs w:val="30"/>
        </w:rPr>
        <w:t>17</w:t>
      </w:r>
      <w:r>
        <w:rPr>
          <w:rFonts w:hint="eastAsia" w:ascii="仿宋_GB2312" w:hAnsi="Times New Roman" w:eastAsia="仿宋_GB2312" w:cs="Times New Roman"/>
          <w:sz w:val="30"/>
          <w:szCs w:val="30"/>
        </w:rPr>
        <w:fldChar w:fldCharType="end"/>
      </w:r>
      <w:r>
        <w:rPr>
          <w:rFonts w:hint="eastAsia" w:ascii="仿宋_GB2312" w:hAnsi="Times New Roman" w:eastAsia="仿宋_GB2312" w:cs="Times New Roman"/>
          <w:sz w:val="30"/>
          <w:szCs w:val="30"/>
        </w:rPr>
        <w:fldChar w:fldCharType="end"/>
      </w:r>
    </w:p>
    <w:p>
      <w:pPr>
        <w:pStyle w:val="10"/>
        <w:tabs>
          <w:tab w:val="right" w:leader="dot" w:pos="8296"/>
        </w:tabs>
        <w:spacing w:after="0" w:line="600" w:lineRule="exact"/>
        <w:rPr>
          <w:rFonts w:ascii="Times New Roman" w:hAnsi="Times New Roman" w:eastAsia="仿宋_GB2312"/>
          <w:sz w:val="32"/>
          <w:szCs w:val="32"/>
        </w:rPr>
        <w:sectPr>
          <w:footerReference r:id="rId7" w:type="default"/>
          <w:pgSz w:w="11906" w:h="16838"/>
          <w:pgMar w:top="1440" w:right="1800" w:bottom="1440" w:left="1800" w:header="851" w:footer="992" w:gutter="0"/>
          <w:pgNumType w:start="1"/>
          <w:cols w:space="720" w:num="1"/>
          <w:docGrid w:type="lines" w:linePitch="312" w:charSpace="0"/>
        </w:sectPr>
      </w:pPr>
      <w:r>
        <w:rPr>
          <w:rFonts w:hint="eastAsia" w:ascii="仿宋_GB2312" w:hAnsi="Times New Roman" w:eastAsia="仿宋_GB2312"/>
          <w:sz w:val="30"/>
          <w:szCs w:val="30"/>
        </w:rPr>
        <w:fldChar w:fldCharType="end"/>
      </w:r>
    </w:p>
    <w:p/>
    <w:p>
      <w:pPr>
        <w:pStyle w:val="2"/>
        <w:spacing w:before="0" w:after="0" w:line="600" w:lineRule="exact"/>
        <w:jc w:val="center"/>
        <w:rPr>
          <w:rFonts w:ascii="方正小标宋简体" w:hAnsi="方正小标宋简体" w:eastAsia="方正小标宋简体" w:cs="方正小标宋简体"/>
          <w:b w:val="0"/>
          <w:sz w:val="48"/>
          <w:szCs w:val="48"/>
        </w:rPr>
      </w:pPr>
    </w:p>
    <w:p>
      <w:pPr>
        <w:pStyle w:val="2"/>
        <w:spacing w:before="0" w:after="0" w:line="600" w:lineRule="exact"/>
        <w:jc w:val="center"/>
        <w:rPr>
          <w:rFonts w:ascii="方正小标宋简体" w:hAnsi="方正小标宋简体" w:eastAsia="方正小标宋简体" w:cs="方正小标宋简体"/>
          <w:b w:val="0"/>
        </w:rPr>
      </w:pPr>
      <w:bookmarkStart w:id="0" w:name="_Toc859"/>
      <w:r>
        <w:rPr>
          <w:rFonts w:hint="eastAsia" w:ascii="方正小标宋简体" w:hAnsi="方正小标宋简体" w:eastAsia="方正小标宋简体" w:cs="方正小标宋简体"/>
          <w:b w:val="0"/>
        </w:rPr>
        <w:t>第一部分  概 况</w:t>
      </w:r>
      <w:bookmarkEnd w:id="0"/>
    </w:p>
    <w:p>
      <w:pPr>
        <w:spacing w:line="600" w:lineRule="exact"/>
      </w:pPr>
    </w:p>
    <w:p>
      <w:pPr>
        <w:pStyle w:val="3"/>
        <w:spacing w:before="0" w:after="0" w:line="600" w:lineRule="exact"/>
        <w:ind w:firstLine="600" w:firstLineChars="200"/>
        <w:rPr>
          <w:rFonts w:ascii="黑体" w:hAnsi="黑体" w:eastAsia="黑体"/>
          <w:b w:val="0"/>
          <w:bCs w:val="0"/>
          <w:sz w:val="30"/>
          <w:szCs w:val="30"/>
        </w:rPr>
      </w:pPr>
      <w:bookmarkStart w:id="1" w:name="_Toc21919"/>
      <w:r>
        <w:rPr>
          <w:rFonts w:hint="eastAsia" w:ascii="黑体" w:hAnsi="黑体" w:eastAsia="黑体"/>
          <w:b w:val="0"/>
          <w:bCs w:val="0"/>
          <w:sz w:val="30"/>
          <w:szCs w:val="30"/>
        </w:rPr>
        <w:t>一、主要职责</w:t>
      </w:r>
      <w:bookmarkEnd w:id="1"/>
    </w:p>
    <w:p>
      <w:pPr>
        <w:spacing w:line="600" w:lineRule="exact"/>
        <w:ind w:firstLine="600" w:firstLineChars="200"/>
        <w:rPr>
          <w:rFonts w:ascii="仿宋_GB2312" w:eastAsia="仿宋_GB2312"/>
          <w:sz w:val="30"/>
          <w:szCs w:val="30"/>
          <w:highlight w:val="none"/>
          <w:u w:val="none"/>
        </w:rPr>
      </w:pPr>
      <w:bookmarkStart w:id="2" w:name="_Toc17388"/>
      <w:r>
        <w:rPr>
          <w:rFonts w:hint="eastAsia" w:ascii="仿宋_GB2312" w:hAnsi="宋体" w:eastAsia="仿宋_GB2312" w:cs="宋体"/>
          <w:sz w:val="30"/>
          <w:szCs w:val="30"/>
          <w:highlight w:val="none"/>
          <w:u w:val="none"/>
        </w:rPr>
        <w:t>（一）执行本级人民代表大会的决议和上级国家行政机关的决定和命令，发布决定和命令，贯彻落实党和国家的各项方针政策和法律、法规；</w:t>
      </w:r>
      <w:r>
        <w:rPr>
          <w:rFonts w:hint="eastAsia" w:ascii="仿宋_GB2312" w:hAnsi="宋体" w:eastAsia="仿宋_GB2312" w:cs="宋体"/>
          <w:sz w:val="30"/>
          <w:szCs w:val="30"/>
          <w:highlight w:val="none"/>
          <w:u w:val="none"/>
        </w:rPr>
        <w:br w:type="textWrapping"/>
      </w:r>
      <w:r>
        <w:rPr>
          <w:rFonts w:hint="eastAsia" w:ascii="仿宋_GB2312" w:hAnsi="宋体" w:eastAsia="仿宋_GB2312" w:cs="宋体"/>
          <w:sz w:val="30"/>
          <w:szCs w:val="30"/>
          <w:highlight w:val="none"/>
          <w:u w:val="none"/>
        </w:rPr>
        <w:t xml:space="preserve">    （二）执行本行政区域内的经济和社会发展计划、预算等，管理本行政区域内的经济、教育、科学、文化体育传媒事业、社会保障、卫生、环境保护、农业和财政、民政、司法行政、社会治安综合治理、计划生育等行政工作，搞好征兵、预备役工作和拥军优抚等工作；</w:t>
      </w:r>
      <w:r>
        <w:rPr>
          <w:rFonts w:hint="eastAsia" w:ascii="仿宋_GB2312" w:hAnsi="宋体" w:eastAsia="仿宋_GB2312" w:cs="宋体"/>
          <w:sz w:val="30"/>
          <w:szCs w:val="30"/>
          <w:highlight w:val="none"/>
          <w:u w:val="none"/>
        </w:rPr>
        <w:br w:type="textWrapping"/>
      </w:r>
      <w:r>
        <w:rPr>
          <w:rFonts w:hint="eastAsia" w:ascii="仿宋_GB2312" w:hAnsi="宋体" w:eastAsia="仿宋_GB2312" w:cs="宋体"/>
          <w:sz w:val="30"/>
          <w:szCs w:val="30"/>
          <w:highlight w:val="none"/>
          <w:u w:val="none"/>
        </w:rPr>
        <w:t xml:space="preserve">    （三）负责本辖区统筹城乡经济发展，城乡一体化建设的组织实施、农业产业结构调整、人才资源开发、城乡居民和农民的劳动和社会保障工作；</w:t>
      </w:r>
      <w:r>
        <w:rPr>
          <w:rFonts w:hint="eastAsia" w:ascii="仿宋_GB2312" w:hAnsi="宋体" w:eastAsia="仿宋_GB2312" w:cs="宋体"/>
          <w:sz w:val="30"/>
          <w:szCs w:val="30"/>
          <w:highlight w:val="none"/>
          <w:u w:val="none"/>
        </w:rPr>
        <w:br w:type="textWrapping"/>
      </w:r>
      <w:r>
        <w:rPr>
          <w:rFonts w:hint="eastAsia" w:ascii="仿宋_GB2312" w:hAnsi="宋体" w:eastAsia="仿宋_GB2312" w:cs="宋体"/>
          <w:sz w:val="30"/>
          <w:szCs w:val="30"/>
          <w:highlight w:val="none"/>
          <w:u w:val="none"/>
        </w:rPr>
        <w:t xml:space="preserve">    （四）认真执行村镇建设和管理规划，负责辖区内的环境卫生、环保环卫等工作，依法进行管理和监督，并做好防火、防灾、防汛、防震、救灾、社会救济等工作以及村委会和社区居委会的日常管理工作；</w:t>
      </w:r>
      <w:r>
        <w:rPr>
          <w:rFonts w:hint="eastAsia" w:ascii="仿宋_GB2312" w:hAnsi="宋体" w:eastAsia="仿宋_GB2312" w:cs="宋体"/>
          <w:sz w:val="30"/>
          <w:szCs w:val="30"/>
          <w:highlight w:val="none"/>
          <w:u w:val="none"/>
        </w:rPr>
        <w:br w:type="textWrapping"/>
      </w:r>
      <w:r>
        <w:rPr>
          <w:rFonts w:hint="eastAsia" w:ascii="仿宋_GB2312" w:hAnsi="宋体" w:eastAsia="仿宋_GB2312" w:cs="宋体"/>
          <w:sz w:val="30"/>
          <w:szCs w:val="30"/>
          <w:highlight w:val="none"/>
          <w:u w:val="none"/>
        </w:rPr>
        <w:t xml:space="preserve">    （五）保护全民所有财产和劳动群众集体所有财产，保护公民私人所有的合法财产，维护社会秩序，保障公民的人身权利、民主权利和其他权利；</w:t>
      </w:r>
      <w:r>
        <w:rPr>
          <w:rFonts w:hint="eastAsia" w:ascii="仿宋_GB2312" w:hAnsi="宋体" w:eastAsia="仿宋_GB2312" w:cs="宋体"/>
          <w:sz w:val="30"/>
          <w:szCs w:val="30"/>
          <w:highlight w:val="none"/>
          <w:u w:val="none"/>
        </w:rPr>
        <w:br w:type="textWrapping"/>
      </w:r>
      <w:r>
        <w:rPr>
          <w:rFonts w:hint="eastAsia" w:ascii="仿宋_GB2312" w:hAnsi="宋体" w:eastAsia="仿宋_GB2312" w:cs="宋体"/>
          <w:sz w:val="30"/>
          <w:szCs w:val="30"/>
          <w:highlight w:val="none"/>
          <w:u w:val="none"/>
        </w:rPr>
        <w:t xml:space="preserve">    （六）保护各种经济组织的合法权益；</w:t>
      </w:r>
      <w:r>
        <w:rPr>
          <w:rFonts w:hint="eastAsia" w:ascii="仿宋_GB2312" w:hAnsi="宋体" w:eastAsia="仿宋_GB2312" w:cs="宋体"/>
          <w:sz w:val="30"/>
          <w:szCs w:val="30"/>
          <w:highlight w:val="none"/>
          <w:u w:val="none"/>
        </w:rPr>
        <w:br w:type="textWrapping"/>
      </w:r>
      <w:r>
        <w:rPr>
          <w:rFonts w:hint="eastAsia" w:ascii="仿宋_GB2312" w:hAnsi="宋体" w:eastAsia="仿宋_GB2312" w:cs="宋体"/>
          <w:sz w:val="30"/>
          <w:szCs w:val="30"/>
          <w:highlight w:val="none"/>
          <w:u w:val="none"/>
        </w:rPr>
        <w:t xml:space="preserve">    （七）保障宪法和法律赋予妇女的男女平等、同工同酬和婚姻自由等各项权利；</w:t>
      </w:r>
      <w:r>
        <w:rPr>
          <w:rFonts w:hint="eastAsia" w:ascii="仿宋_GB2312" w:hAnsi="宋体" w:eastAsia="仿宋_GB2312" w:cs="宋体"/>
          <w:sz w:val="30"/>
          <w:szCs w:val="30"/>
          <w:highlight w:val="none"/>
          <w:u w:val="none"/>
        </w:rPr>
        <w:br w:type="textWrapping"/>
      </w:r>
      <w:r>
        <w:rPr>
          <w:rFonts w:hint="eastAsia" w:ascii="仿宋_GB2312" w:hAnsi="宋体" w:eastAsia="仿宋_GB2312" w:cs="宋体"/>
          <w:sz w:val="30"/>
          <w:szCs w:val="30"/>
          <w:highlight w:val="none"/>
          <w:u w:val="none"/>
        </w:rPr>
        <w:t xml:space="preserve">    （八）办理上级人民政府交办的其他事项等。</w:t>
      </w:r>
    </w:p>
    <w:p>
      <w:pPr>
        <w:pStyle w:val="3"/>
        <w:spacing w:before="0" w:after="0" w:line="600" w:lineRule="exact"/>
        <w:ind w:firstLine="600" w:firstLineChars="200"/>
        <w:rPr>
          <w:rFonts w:ascii="黑体" w:hAnsi="黑体" w:eastAsia="黑体"/>
          <w:b w:val="0"/>
          <w:bCs w:val="0"/>
          <w:sz w:val="30"/>
          <w:szCs w:val="30"/>
        </w:rPr>
      </w:pPr>
      <w:r>
        <w:rPr>
          <w:rFonts w:hint="eastAsia" w:ascii="黑体" w:hAnsi="黑体" w:eastAsia="黑体"/>
          <w:b w:val="0"/>
          <w:bCs w:val="0"/>
          <w:sz w:val="30"/>
          <w:szCs w:val="30"/>
        </w:rPr>
        <w:t>二、机构设置</w:t>
      </w:r>
      <w:bookmarkEnd w:id="2"/>
    </w:p>
    <w:p>
      <w:pPr>
        <w:spacing w:line="600" w:lineRule="exact"/>
        <w:ind w:firstLine="600" w:firstLineChars="200"/>
        <w:rPr>
          <w:rFonts w:eastAsia="仿宋_GB2312"/>
          <w:sz w:val="30"/>
          <w:szCs w:val="30"/>
        </w:rPr>
      </w:pPr>
      <w:r>
        <w:rPr>
          <w:rFonts w:hint="eastAsia" w:ascii="仿宋_GB2312" w:eastAsia="仿宋_GB2312" w:cs="仿宋_GB2312"/>
          <w:sz w:val="30"/>
          <w:szCs w:val="30"/>
        </w:rPr>
        <w:t>天津市津南区北闸口镇人民政府(本级)部门</w:t>
      </w:r>
      <w:r>
        <w:rPr>
          <w:rFonts w:eastAsia="仿宋_GB2312"/>
          <w:sz w:val="30"/>
          <w:szCs w:val="30"/>
        </w:rPr>
        <w:t>内设</w:t>
      </w:r>
      <w:r>
        <w:rPr>
          <w:rFonts w:hint="eastAsia" w:eastAsia="仿宋_GB2312"/>
          <w:sz w:val="30"/>
          <w:szCs w:val="30"/>
          <w:u w:val="none"/>
          <w:lang w:val="en-US" w:eastAsia="zh-CN"/>
        </w:rPr>
        <w:t>7</w:t>
      </w:r>
      <w:r>
        <w:rPr>
          <w:rFonts w:eastAsia="仿宋_GB2312"/>
          <w:sz w:val="30"/>
          <w:szCs w:val="30"/>
        </w:rPr>
        <w:t>个职能处室</w:t>
      </w:r>
      <w:r>
        <w:rPr>
          <w:rFonts w:hint="eastAsia" w:ascii="仿宋_GB2312" w:eastAsia="仿宋_GB2312" w:cs="仿宋_GB2312"/>
          <w:sz w:val="30"/>
          <w:szCs w:val="30"/>
        </w:rPr>
        <w:t>。</w:t>
      </w:r>
    </w:p>
    <w:p>
      <w:pPr>
        <w:spacing w:line="600" w:lineRule="exact"/>
        <w:rPr>
          <w:rFonts w:eastAsia="楷体_GB2312"/>
          <w:b/>
          <w:sz w:val="30"/>
          <w:szCs w:val="30"/>
        </w:rPr>
        <w:sectPr>
          <w:footerReference r:id="rId8" w:type="default"/>
          <w:pgSz w:w="11906" w:h="16838"/>
          <w:pgMar w:top="1440" w:right="1800" w:bottom="1440" w:left="1800" w:header="851" w:footer="992" w:gutter="0"/>
          <w:pgNumType w:start="1"/>
          <w:cols w:space="720" w:num="1"/>
          <w:docGrid w:type="lines" w:linePitch="312" w:charSpace="0"/>
        </w:sectPr>
      </w:pPr>
      <w:r>
        <w:rPr>
          <w:rFonts w:eastAsia="楷体_GB2312"/>
          <w:b/>
          <w:sz w:val="30"/>
          <w:szCs w:val="30"/>
        </w:rPr>
        <w:br w:type="textWrapping"/>
      </w:r>
    </w:p>
    <w:p>
      <w:pPr>
        <w:spacing w:line="600" w:lineRule="exact"/>
        <w:rPr>
          <w:rFonts w:eastAsia="楷体_GB2312"/>
          <w:b/>
          <w:sz w:val="30"/>
          <w:szCs w:val="30"/>
        </w:rPr>
      </w:pPr>
    </w:p>
    <w:p>
      <w:pPr>
        <w:pStyle w:val="2"/>
        <w:spacing w:before="0" w:after="0" w:line="600" w:lineRule="exact"/>
        <w:jc w:val="center"/>
        <w:rPr>
          <w:rFonts w:ascii="方正小标宋简体" w:hAnsi="方正小标宋简体" w:eastAsia="方正小标宋简体" w:cs="方正小标宋简体"/>
          <w:b w:val="0"/>
        </w:rPr>
      </w:pPr>
      <w:bookmarkStart w:id="3" w:name="_Toc24747"/>
      <w:r>
        <w:rPr>
          <w:rFonts w:ascii="方正小标宋简体" w:hAnsi="方正小标宋简体" w:eastAsia="方正小标宋简体" w:cs="方正小标宋简体"/>
          <w:b w:val="0"/>
        </w:rPr>
        <w:t>第</w:t>
      </w:r>
      <w:r>
        <w:rPr>
          <w:rFonts w:hint="eastAsia" w:ascii="方正小标宋简体" w:hAnsi="方正小标宋简体" w:eastAsia="方正小标宋简体" w:cs="方正小标宋简体"/>
          <w:b w:val="0"/>
        </w:rPr>
        <w:t>二</w:t>
      </w:r>
      <w:r>
        <w:rPr>
          <w:rFonts w:ascii="方正小标宋简体" w:hAnsi="方正小标宋简体" w:eastAsia="方正小标宋简体" w:cs="方正小标宋简体"/>
          <w:b w:val="0"/>
        </w:rPr>
        <w:t xml:space="preserve">部分  </w:t>
      </w:r>
      <w:r>
        <w:rPr>
          <w:rFonts w:hint="eastAsia" w:ascii="方正小标宋简体" w:hAnsi="方正小标宋简体" w:eastAsia="方正小标宋简体" w:cs="方正小标宋简体"/>
          <w:b w:val="0"/>
        </w:rPr>
        <w:t>2022</w:t>
      </w:r>
      <w:r>
        <w:rPr>
          <w:rFonts w:ascii="方正小标宋简体" w:hAnsi="方正小标宋简体" w:eastAsia="方正小标宋简体" w:cs="方正小标宋简体"/>
          <w:b w:val="0"/>
        </w:rPr>
        <w:t>年度部门决算</w:t>
      </w:r>
      <w:r>
        <w:rPr>
          <w:rFonts w:hint="eastAsia" w:ascii="方正小标宋简体" w:hAnsi="方正小标宋简体" w:eastAsia="方正小标宋简体" w:cs="方正小标宋简体"/>
          <w:b w:val="0"/>
        </w:rPr>
        <w:t>表</w:t>
      </w:r>
      <w:bookmarkEnd w:id="3"/>
    </w:p>
    <w:p>
      <w:pPr>
        <w:spacing w:line="600" w:lineRule="exact"/>
      </w:pPr>
    </w:p>
    <w:p>
      <w:pPr>
        <w:pStyle w:val="3"/>
        <w:spacing w:before="0" w:after="0" w:line="800" w:lineRule="exact"/>
        <w:ind w:firstLine="600" w:firstLineChars="200"/>
        <w:rPr>
          <w:rFonts w:ascii="黑体" w:hAnsi="黑体" w:eastAsia="黑体"/>
          <w:b w:val="0"/>
          <w:sz w:val="30"/>
          <w:szCs w:val="30"/>
        </w:rPr>
      </w:pPr>
      <w:bookmarkStart w:id="4" w:name="_Toc20142"/>
      <w:r>
        <w:rPr>
          <w:rFonts w:ascii="黑体" w:hAnsi="黑体" w:eastAsia="黑体"/>
          <w:b w:val="0"/>
          <w:sz w:val="30"/>
          <w:szCs w:val="30"/>
        </w:rPr>
        <w:t>一</w:t>
      </w:r>
      <w:r>
        <w:rPr>
          <w:rFonts w:hint="eastAsia" w:ascii="黑体" w:hAnsi="黑体" w:eastAsia="黑体"/>
          <w:b w:val="0"/>
          <w:sz w:val="30"/>
          <w:szCs w:val="30"/>
        </w:rPr>
        <w:t>、</w:t>
      </w:r>
      <w:r>
        <w:rPr>
          <w:rFonts w:ascii="黑体" w:hAnsi="黑体" w:eastAsia="黑体"/>
          <w:b w:val="0"/>
          <w:sz w:val="30"/>
          <w:szCs w:val="30"/>
        </w:rPr>
        <w:t>《</w:t>
      </w:r>
      <w:r>
        <w:rPr>
          <w:rFonts w:hint="eastAsia" w:ascii="黑体" w:hAnsi="黑体" w:eastAsia="黑体"/>
          <w:b w:val="0"/>
          <w:sz w:val="30"/>
          <w:szCs w:val="30"/>
        </w:rPr>
        <w:t>收入</w:t>
      </w:r>
      <w:r>
        <w:rPr>
          <w:rFonts w:ascii="黑体" w:hAnsi="黑体" w:eastAsia="黑体"/>
          <w:b w:val="0"/>
          <w:sz w:val="30"/>
          <w:szCs w:val="30"/>
        </w:rPr>
        <w:t>支出</w:t>
      </w:r>
      <w:r>
        <w:rPr>
          <w:rFonts w:hint="eastAsia" w:ascii="黑体" w:hAnsi="黑体" w:eastAsia="黑体"/>
          <w:b w:val="0"/>
          <w:sz w:val="30"/>
          <w:szCs w:val="30"/>
        </w:rPr>
        <w:t>决算总</w:t>
      </w:r>
      <w:r>
        <w:rPr>
          <w:rFonts w:ascii="黑体" w:hAnsi="黑体" w:eastAsia="黑体"/>
          <w:b w:val="0"/>
          <w:sz w:val="30"/>
          <w:szCs w:val="30"/>
        </w:rPr>
        <w:t>表》</w:t>
      </w:r>
      <w:bookmarkEnd w:id="4"/>
    </w:p>
    <w:p>
      <w:pPr>
        <w:pStyle w:val="3"/>
        <w:spacing w:before="0" w:after="0" w:line="800" w:lineRule="exact"/>
        <w:ind w:firstLine="600" w:firstLineChars="200"/>
        <w:rPr>
          <w:rFonts w:ascii="黑体" w:hAnsi="黑体" w:eastAsia="黑体"/>
          <w:b w:val="0"/>
          <w:sz w:val="30"/>
          <w:szCs w:val="30"/>
        </w:rPr>
      </w:pPr>
      <w:bookmarkStart w:id="5" w:name="_Toc1616"/>
      <w:r>
        <w:rPr>
          <w:rFonts w:ascii="黑体" w:hAnsi="黑体" w:eastAsia="黑体"/>
          <w:b w:val="0"/>
          <w:sz w:val="30"/>
          <w:szCs w:val="30"/>
        </w:rPr>
        <w:t>二、《收入</w:t>
      </w:r>
      <w:r>
        <w:rPr>
          <w:rFonts w:hint="eastAsia" w:ascii="黑体" w:hAnsi="黑体" w:eastAsia="黑体"/>
          <w:b w:val="0"/>
          <w:sz w:val="30"/>
          <w:szCs w:val="30"/>
        </w:rPr>
        <w:t>决算</w:t>
      </w:r>
      <w:r>
        <w:rPr>
          <w:rFonts w:ascii="黑体" w:hAnsi="黑体" w:eastAsia="黑体"/>
          <w:b w:val="0"/>
          <w:sz w:val="30"/>
          <w:szCs w:val="30"/>
        </w:rPr>
        <w:t>表</w:t>
      </w:r>
      <w:r>
        <w:rPr>
          <w:rFonts w:hint="eastAsia" w:ascii="黑体" w:hAnsi="黑体" w:eastAsia="黑体"/>
          <w:b w:val="0"/>
          <w:sz w:val="30"/>
          <w:szCs w:val="30"/>
        </w:rPr>
        <w:t>（按功能分类列示）</w:t>
      </w:r>
      <w:r>
        <w:rPr>
          <w:rFonts w:ascii="黑体" w:hAnsi="黑体" w:eastAsia="黑体"/>
          <w:b w:val="0"/>
          <w:sz w:val="30"/>
          <w:szCs w:val="30"/>
        </w:rPr>
        <w:t>》</w:t>
      </w:r>
      <w:bookmarkEnd w:id="5"/>
    </w:p>
    <w:p>
      <w:pPr>
        <w:pStyle w:val="3"/>
        <w:spacing w:before="0" w:after="0" w:line="800" w:lineRule="exact"/>
        <w:ind w:firstLine="600" w:firstLineChars="200"/>
        <w:rPr>
          <w:rFonts w:ascii="黑体" w:hAnsi="黑体" w:eastAsia="黑体"/>
          <w:b w:val="0"/>
          <w:sz w:val="30"/>
          <w:szCs w:val="30"/>
        </w:rPr>
      </w:pPr>
      <w:bookmarkStart w:id="6" w:name="_Toc12050"/>
      <w:r>
        <w:rPr>
          <w:rFonts w:hint="eastAsia" w:ascii="黑体" w:hAnsi="黑体" w:eastAsia="黑体"/>
          <w:b w:val="0"/>
          <w:sz w:val="30"/>
          <w:szCs w:val="30"/>
        </w:rPr>
        <w:t>三</w:t>
      </w:r>
      <w:r>
        <w:rPr>
          <w:rFonts w:ascii="黑体" w:hAnsi="黑体" w:eastAsia="黑体"/>
          <w:b w:val="0"/>
          <w:sz w:val="30"/>
          <w:szCs w:val="30"/>
        </w:rPr>
        <w:t>、《收入</w:t>
      </w:r>
      <w:r>
        <w:rPr>
          <w:rFonts w:hint="eastAsia" w:ascii="黑体" w:hAnsi="黑体" w:eastAsia="黑体"/>
          <w:b w:val="0"/>
          <w:sz w:val="30"/>
          <w:szCs w:val="30"/>
        </w:rPr>
        <w:t>决算</w:t>
      </w:r>
      <w:r>
        <w:rPr>
          <w:rFonts w:ascii="黑体" w:hAnsi="黑体" w:eastAsia="黑体"/>
          <w:b w:val="0"/>
          <w:sz w:val="30"/>
          <w:szCs w:val="30"/>
        </w:rPr>
        <w:t>表</w:t>
      </w:r>
      <w:r>
        <w:rPr>
          <w:rFonts w:hint="eastAsia" w:ascii="黑体" w:hAnsi="黑体" w:eastAsia="黑体"/>
          <w:b w:val="0"/>
          <w:sz w:val="30"/>
          <w:szCs w:val="30"/>
        </w:rPr>
        <w:t>（按单位列示）</w:t>
      </w:r>
      <w:r>
        <w:rPr>
          <w:rFonts w:ascii="黑体" w:hAnsi="黑体" w:eastAsia="黑体"/>
          <w:b w:val="0"/>
          <w:sz w:val="30"/>
          <w:szCs w:val="30"/>
        </w:rPr>
        <w:t>》</w:t>
      </w:r>
      <w:bookmarkEnd w:id="6"/>
    </w:p>
    <w:p>
      <w:pPr>
        <w:pStyle w:val="3"/>
        <w:spacing w:before="0" w:after="0" w:line="800" w:lineRule="exact"/>
        <w:ind w:firstLine="600" w:firstLineChars="200"/>
        <w:rPr>
          <w:rFonts w:ascii="黑体" w:hAnsi="黑体" w:eastAsia="黑体"/>
          <w:b w:val="0"/>
          <w:sz w:val="30"/>
          <w:szCs w:val="30"/>
        </w:rPr>
      </w:pPr>
      <w:bookmarkStart w:id="7" w:name="_Toc1989"/>
      <w:r>
        <w:rPr>
          <w:rFonts w:hint="eastAsia" w:ascii="黑体" w:hAnsi="黑体" w:eastAsia="黑体"/>
          <w:b w:val="0"/>
          <w:sz w:val="30"/>
          <w:szCs w:val="30"/>
        </w:rPr>
        <w:t>四、</w:t>
      </w:r>
      <w:r>
        <w:rPr>
          <w:rFonts w:ascii="黑体" w:hAnsi="黑体" w:eastAsia="黑体"/>
          <w:b w:val="0"/>
          <w:sz w:val="30"/>
          <w:szCs w:val="30"/>
        </w:rPr>
        <w:t>《支出</w:t>
      </w:r>
      <w:r>
        <w:rPr>
          <w:rFonts w:hint="eastAsia" w:ascii="黑体" w:hAnsi="黑体" w:eastAsia="黑体"/>
          <w:b w:val="0"/>
          <w:sz w:val="30"/>
          <w:szCs w:val="30"/>
        </w:rPr>
        <w:t>决算</w:t>
      </w:r>
      <w:r>
        <w:rPr>
          <w:rFonts w:ascii="黑体" w:hAnsi="黑体" w:eastAsia="黑体"/>
          <w:b w:val="0"/>
          <w:sz w:val="30"/>
          <w:szCs w:val="30"/>
        </w:rPr>
        <w:t>表》</w:t>
      </w:r>
      <w:bookmarkEnd w:id="7"/>
    </w:p>
    <w:p>
      <w:pPr>
        <w:pStyle w:val="3"/>
        <w:spacing w:before="0" w:after="0" w:line="800" w:lineRule="exact"/>
        <w:ind w:firstLine="600" w:firstLineChars="200"/>
        <w:rPr>
          <w:rFonts w:ascii="黑体" w:hAnsi="黑体" w:eastAsia="黑体"/>
          <w:b w:val="0"/>
          <w:sz w:val="30"/>
          <w:szCs w:val="30"/>
        </w:rPr>
      </w:pPr>
      <w:bookmarkStart w:id="8" w:name="_Toc32498"/>
      <w:r>
        <w:rPr>
          <w:rFonts w:ascii="黑体" w:hAnsi="黑体" w:eastAsia="黑体"/>
          <w:b w:val="0"/>
          <w:sz w:val="30"/>
          <w:szCs w:val="30"/>
        </w:rPr>
        <w:t>五</w:t>
      </w:r>
      <w:r>
        <w:rPr>
          <w:rFonts w:hint="eastAsia" w:ascii="黑体" w:hAnsi="黑体" w:eastAsia="黑体"/>
          <w:b w:val="0"/>
          <w:sz w:val="30"/>
          <w:szCs w:val="30"/>
        </w:rPr>
        <w:t>、</w:t>
      </w:r>
      <w:r>
        <w:rPr>
          <w:rFonts w:ascii="黑体" w:hAnsi="黑体" w:eastAsia="黑体"/>
          <w:b w:val="0"/>
          <w:sz w:val="30"/>
          <w:szCs w:val="30"/>
        </w:rPr>
        <w:t>《财政拨款</w:t>
      </w:r>
      <w:r>
        <w:rPr>
          <w:rFonts w:hint="eastAsia" w:ascii="黑体" w:hAnsi="黑体" w:eastAsia="黑体"/>
          <w:b w:val="0"/>
          <w:sz w:val="30"/>
          <w:szCs w:val="30"/>
        </w:rPr>
        <w:t>收入</w:t>
      </w:r>
      <w:r>
        <w:rPr>
          <w:rFonts w:ascii="黑体" w:hAnsi="黑体" w:eastAsia="黑体"/>
          <w:b w:val="0"/>
          <w:sz w:val="30"/>
          <w:szCs w:val="30"/>
        </w:rPr>
        <w:t>支出</w:t>
      </w:r>
      <w:r>
        <w:rPr>
          <w:rFonts w:hint="eastAsia" w:ascii="黑体" w:hAnsi="黑体" w:eastAsia="黑体"/>
          <w:b w:val="0"/>
          <w:sz w:val="30"/>
          <w:szCs w:val="30"/>
        </w:rPr>
        <w:t>决算总</w:t>
      </w:r>
      <w:r>
        <w:rPr>
          <w:rFonts w:ascii="黑体" w:hAnsi="黑体" w:eastAsia="黑体"/>
          <w:b w:val="0"/>
          <w:sz w:val="30"/>
          <w:szCs w:val="30"/>
        </w:rPr>
        <w:t>表》</w:t>
      </w:r>
      <w:bookmarkEnd w:id="8"/>
    </w:p>
    <w:p>
      <w:pPr>
        <w:pStyle w:val="3"/>
        <w:spacing w:before="0" w:after="0" w:line="800" w:lineRule="exact"/>
        <w:ind w:firstLine="600" w:firstLineChars="200"/>
        <w:rPr>
          <w:rFonts w:ascii="黑体" w:hAnsi="黑体" w:eastAsia="黑体"/>
          <w:b w:val="0"/>
          <w:sz w:val="30"/>
          <w:szCs w:val="30"/>
        </w:rPr>
      </w:pPr>
      <w:bookmarkStart w:id="9" w:name="_Toc26379"/>
      <w:r>
        <w:rPr>
          <w:rFonts w:ascii="黑体" w:hAnsi="黑体" w:eastAsia="黑体"/>
          <w:b w:val="0"/>
          <w:sz w:val="30"/>
          <w:szCs w:val="30"/>
        </w:rPr>
        <w:t>六</w:t>
      </w:r>
      <w:r>
        <w:rPr>
          <w:rFonts w:hint="eastAsia" w:ascii="黑体" w:hAnsi="黑体" w:eastAsia="黑体"/>
          <w:b w:val="0"/>
          <w:sz w:val="30"/>
          <w:szCs w:val="30"/>
        </w:rPr>
        <w:t>、</w:t>
      </w:r>
      <w:r>
        <w:rPr>
          <w:rFonts w:ascii="黑体" w:hAnsi="黑体" w:eastAsia="黑体"/>
          <w:b w:val="0"/>
          <w:sz w:val="30"/>
          <w:szCs w:val="30"/>
        </w:rPr>
        <w:t>《一般公共预算财政拨款支出</w:t>
      </w:r>
      <w:r>
        <w:rPr>
          <w:rFonts w:hint="eastAsia" w:ascii="黑体" w:hAnsi="黑体" w:eastAsia="黑体"/>
          <w:b w:val="0"/>
          <w:sz w:val="30"/>
          <w:szCs w:val="30"/>
        </w:rPr>
        <w:t>决算</w:t>
      </w:r>
      <w:r>
        <w:rPr>
          <w:rFonts w:ascii="黑体" w:hAnsi="黑体" w:eastAsia="黑体"/>
          <w:b w:val="0"/>
          <w:sz w:val="30"/>
          <w:szCs w:val="30"/>
        </w:rPr>
        <w:t>表》</w:t>
      </w:r>
      <w:bookmarkEnd w:id="9"/>
    </w:p>
    <w:p>
      <w:pPr>
        <w:pStyle w:val="3"/>
        <w:spacing w:before="0" w:after="0" w:line="800" w:lineRule="exact"/>
        <w:ind w:firstLine="600" w:firstLineChars="200"/>
        <w:rPr>
          <w:rFonts w:ascii="黑体" w:hAnsi="黑体" w:eastAsia="黑体"/>
          <w:b w:val="0"/>
          <w:sz w:val="30"/>
          <w:szCs w:val="30"/>
        </w:rPr>
      </w:pPr>
      <w:bookmarkStart w:id="10" w:name="_Toc4498"/>
      <w:r>
        <w:rPr>
          <w:rFonts w:ascii="黑体" w:hAnsi="黑体" w:eastAsia="黑体"/>
          <w:b w:val="0"/>
          <w:sz w:val="30"/>
          <w:szCs w:val="30"/>
        </w:rPr>
        <w:t>七</w:t>
      </w:r>
      <w:r>
        <w:rPr>
          <w:rFonts w:hint="eastAsia" w:ascii="黑体" w:hAnsi="黑体" w:eastAsia="黑体"/>
          <w:b w:val="0"/>
          <w:sz w:val="30"/>
          <w:szCs w:val="30"/>
        </w:rPr>
        <w:t>、</w:t>
      </w:r>
      <w:r>
        <w:rPr>
          <w:rFonts w:ascii="黑体" w:hAnsi="黑体" w:eastAsia="黑体"/>
          <w:b w:val="0"/>
          <w:sz w:val="30"/>
          <w:szCs w:val="30"/>
        </w:rPr>
        <w:t>《一般公共预算财政拨款基本支出</w:t>
      </w:r>
      <w:r>
        <w:rPr>
          <w:rFonts w:hint="eastAsia" w:ascii="黑体" w:hAnsi="黑体" w:eastAsia="黑体"/>
          <w:b w:val="0"/>
          <w:sz w:val="30"/>
          <w:szCs w:val="30"/>
        </w:rPr>
        <w:t>决算</w:t>
      </w:r>
      <w:r>
        <w:rPr>
          <w:rFonts w:ascii="黑体" w:hAnsi="黑体" w:eastAsia="黑体"/>
          <w:b w:val="0"/>
          <w:sz w:val="30"/>
          <w:szCs w:val="30"/>
        </w:rPr>
        <w:t>表》</w:t>
      </w:r>
      <w:bookmarkEnd w:id="10"/>
    </w:p>
    <w:p>
      <w:pPr>
        <w:pStyle w:val="3"/>
        <w:spacing w:before="0" w:after="0" w:line="800" w:lineRule="exact"/>
        <w:ind w:firstLine="600" w:firstLineChars="200"/>
        <w:rPr>
          <w:rFonts w:ascii="黑体" w:hAnsi="黑体" w:eastAsia="黑体"/>
          <w:b w:val="0"/>
          <w:sz w:val="30"/>
          <w:szCs w:val="30"/>
        </w:rPr>
      </w:pPr>
      <w:bookmarkStart w:id="11" w:name="_Toc18038"/>
      <w:r>
        <w:rPr>
          <w:rFonts w:hint="eastAsia" w:ascii="黑体" w:hAnsi="黑体" w:eastAsia="黑体"/>
          <w:b w:val="0"/>
          <w:sz w:val="30"/>
          <w:szCs w:val="30"/>
        </w:rPr>
        <w:t>八、</w:t>
      </w:r>
      <w:r>
        <w:rPr>
          <w:rFonts w:ascii="黑体" w:hAnsi="黑体" w:eastAsia="黑体"/>
          <w:b w:val="0"/>
          <w:sz w:val="30"/>
          <w:szCs w:val="30"/>
        </w:rPr>
        <w:t>《政府性基金预算财政拨款</w:t>
      </w:r>
      <w:r>
        <w:rPr>
          <w:rFonts w:hint="eastAsia" w:ascii="黑体" w:hAnsi="黑体" w:eastAsia="黑体"/>
          <w:b w:val="0"/>
          <w:sz w:val="30"/>
          <w:szCs w:val="30"/>
        </w:rPr>
        <w:t>收入</w:t>
      </w:r>
      <w:r>
        <w:rPr>
          <w:rFonts w:ascii="黑体" w:hAnsi="黑体" w:eastAsia="黑体"/>
          <w:b w:val="0"/>
          <w:sz w:val="30"/>
          <w:szCs w:val="30"/>
        </w:rPr>
        <w:t>支出</w:t>
      </w:r>
      <w:r>
        <w:rPr>
          <w:rFonts w:hint="eastAsia" w:ascii="黑体" w:hAnsi="黑体" w:eastAsia="黑体"/>
          <w:b w:val="0"/>
          <w:sz w:val="30"/>
          <w:szCs w:val="30"/>
        </w:rPr>
        <w:t>决算</w:t>
      </w:r>
      <w:r>
        <w:rPr>
          <w:rFonts w:ascii="黑体" w:hAnsi="黑体" w:eastAsia="黑体"/>
          <w:b w:val="0"/>
          <w:sz w:val="30"/>
          <w:szCs w:val="30"/>
        </w:rPr>
        <w:t>表》</w:t>
      </w:r>
      <w:bookmarkEnd w:id="11"/>
    </w:p>
    <w:p>
      <w:pPr>
        <w:pStyle w:val="3"/>
        <w:spacing w:before="0" w:after="0" w:line="800" w:lineRule="exact"/>
        <w:ind w:firstLine="600" w:firstLineChars="200"/>
        <w:rPr>
          <w:rFonts w:ascii="黑体" w:hAnsi="黑体" w:eastAsia="黑体"/>
          <w:b w:val="0"/>
          <w:sz w:val="30"/>
          <w:szCs w:val="30"/>
        </w:rPr>
      </w:pPr>
      <w:bookmarkStart w:id="12" w:name="_Toc13200"/>
      <w:r>
        <w:rPr>
          <w:rFonts w:hint="eastAsia" w:ascii="黑体" w:hAnsi="黑体" w:eastAsia="黑体"/>
          <w:b w:val="0"/>
          <w:sz w:val="30"/>
          <w:szCs w:val="30"/>
        </w:rPr>
        <w:t>九、</w:t>
      </w:r>
      <w:r>
        <w:rPr>
          <w:rFonts w:ascii="黑体" w:hAnsi="黑体" w:eastAsia="黑体"/>
          <w:b w:val="0"/>
          <w:sz w:val="30"/>
          <w:szCs w:val="30"/>
        </w:rPr>
        <w:t>《国有资本经营预算财政拨款</w:t>
      </w:r>
      <w:r>
        <w:rPr>
          <w:rFonts w:hint="eastAsia" w:ascii="黑体" w:hAnsi="黑体" w:eastAsia="黑体"/>
          <w:b w:val="0"/>
          <w:sz w:val="30"/>
          <w:szCs w:val="30"/>
        </w:rPr>
        <w:t>收入支出决算</w:t>
      </w:r>
      <w:r>
        <w:rPr>
          <w:rFonts w:ascii="黑体" w:hAnsi="黑体" w:eastAsia="黑体"/>
          <w:b w:val="0"/>
          <w:sz w:val="30"/>
          <w:szCs w:val="30"/>
        </w:rPr>
        <w:t>表》</w:t>
      </w:r>
      <w:bookmarkEnd w:id="12"/>
    </w:p>
    <w:p>
      <w:pPr>
        <w:pStyle w:val="3"/>
        <w:spacing w:before="0" w:after="0" w:line="800" w:lineRule="exact"/>
        <w:ind w:firstLine="600" w:firstLineChars="200"/>
        <w:rPr>
          <w:rFonts w:ascii="黑体" w:hAnsi="黑体" w:eastAsia="黑体"/>
          <w:b w:val="0"/>
          <w:sz w:val="30"/>
          <w:szCs w:val="30"/>
        </w:rPr>
      </w:pPr>
      <w:bookmarkStart w:id="13" w:name="_Toc3423"/>
      <w:r>
        <w:rPr>
          <w:rFonts w:hint="eastAsia" w:ascii="黑体" w:hAnsi="黑体" w:eastAsia="黑体"/>
          <w:b w:val="0"/>
          <w:sz w:val="30"/>
          <w:szCs w:val="30"/>
        </w:rPr>
        <w:t>十、</w:t>
      </w:r>
      <w:r>
        <w:rPr>
          <w:rFonts w:ascii="黑体" w:hAnsi="黑体" w:eastAsia="黑体"/>
          <w:b w:val="0"/>
          <w:sz w:val="30"/>
          <w:szCs w:val="30"/>
        </w:rPr>
        <w:t>《一般公共预算财政拨款“三公”经费支出</w:t>
      </w:r>
      <w:r>
        <w:rPr>
          <w:rFonts w:hint="eastAsia" w:ascii="黑体" w:hAnsi="黑体" w:eastAsia="黑体"/>
          <w:b w:val="0"/>
          <w:sz w:val="30"/>
          <w:szCs w:val="30"/>
        </w:rPr>
        <w:t>决算</w:t>
      </w:r>
      <w:r>
        <w:rPr>
          <w:rFonts w:ascii="黑体" w:hAnsi="黑体" w:eastAsia="黑体"/>
          <w:b w:val="0"/>
          <w:sz w:val="30"/>
          <w:szCs w:val="30"/>
        </w:rPr>
        <w:t>表》</w:t>
      </w:r>
      <w:bookmarkEnd w:id="13"/>
    </w:p>
    <w:p>
      <w:pPr>
        <w:pStyle w:val="3"/>
        <w:spacing w:before="0" w:after="0" w:line="800" w:lineRule="exact"/>
        <w:ind w:firstLine="600" w:firstLineChars="200"/>
        <w:rPr>
          <w:rFonts w:ascii="黑体" w:hAnsi="黑体" w:eastAsia="黑体"/>
          <w:b w:val="0"/>
          <w:sz w:val="30"/>
          <w:szCs w:val="30"/>
        </w:rPr>
      </w:pPr>
      <w:bookmarkStart w:id="14" w:name="_Toc3915"/>
      <w:r>
        <w:rPr>
          <w:rFonts w:ascii="黑体" w:hAnsi="黑体" w:eastAsia="黑体"/>
          <w:b w:val="0"/>
          <w:sz w:val="30"/>
          <w:szCs w:val="30"/>
        </w:rPr>
        <w:t>十</w:t>
      </w:r>
      <w:r>
        <w:rPr>
          <w:rFonts w:hint="eastAsia" w:ascii="黑体" w:hAnsi="黑体" w:eastAsia="黑体"/>
          <w:b w:val="0"/>
          <w:sz w:val="30"/>
          <w:szCs w:val="30"/>
        </w:rPr>
        <w:t>一、</w:t>
      </w:r>
      <w:r>
        <w:rPr>
          <w:rFonts w:ascii="黑体" w:hAnsi="黑体" w:eastAsia="黑体"/>
          <w:b w:val="0"/>
          <w:sz w:val="30"/>
          <w:szCs w:val="30"/>
        </w:rPr>
        <w:t>《项目支出决算表》</w:t>
      </w:r>
      <w:bookmarkEnd w:id="14"/>
    </w:p>
    <w:p>
      <w:pPr>
        <w:spacing w:line="800" w:lineRule="exact"/>
      </w:pPr>
      <w:r>
        <w:rPr>
          <w:rFonts w:hint="eastAsia" w:eastAsia="楷体"/>
          <w:sz w:val="30"/>
          <w:szCs w:val="30"/>
        </w:rPr>
        <w:t>注：以上决算公开表均作为附表，附于决算公开说明文档后。</w:t>
      </w:r>
    </w:p>
    <w:p>
      <w:pPr>
        <w:pStyle w:val="3"/>
        <w:numPr>
          <w:ilvl w:val="0"/>
          <w:numId w:val="1"/>
        </w:numPr>
        <w:spacing w:before="0" w:after="0" w:line="800" w:lineRule="exact"/>
        <w:ind w:firstLine="600" w:firstLineChars="200"/>
        <w:rPr>
          <w:rFonts w:ascii="黑体" w:hAnsi="黑体" w:eastAsia="黑体"/>
          <w:b w:val="0"/>
          <w:bCs w:val="0"/>
          <w:sz w:val="30"/>
          <w:szCs w:val="30"/>
        </w:rPr>
      </w:pPr>
      <w:bookmarkStart w:id="15" w:name="_Toc17260"/>
      <w:r>
        <w:rPr>
          <w:rFonts w:hint="eastAsia" w:ascii="黑体" w:hAnsi="黑体" w:eastAsia="黑体"/>
          <w:b w:val="0"/>
          <w:bCs w:val="0"/>
          <w:sz w:val="30"/>
          <w:szCs w:val="30"/>
        </w:rPr>
        <w:t>关于空表的说明</w:t>
      </w:r>
      <w:bookmarkEnd w:id="15"/>
    </w:p>
    <w:p>
      <w:pPr>
        <w:spacing w:line="600" w:lineRule="exact"/>
        <w:rPr>
          <w:rFonts w:ascii="仿宋_GB2312" w:eastAsia="仿宋_GB2312" w:cs="仿宋_GB2312"/>
          <w:sz w:val="30"/>
          <w:szCs w:val="30"/>
        </w:rPr>
        <w:sectPr>
          <w:pgSz w:w="11906" w:h="16838"/>
          <w:pgMar w:top="1440" w:right="1800" w:bottom="1440" w:left="1800" w:header="851" w:footer="992" w:gutter="0"/>
          <w:cols w:space="720" w:num="1"/>
          <w:docGrid w:type="lines" w:linePitch="312" w:charSpace="0"/>
        </w:sectPr>
      </w:pPr>
      <w:r>
        <w:rPr>
          <w:rFonts w:hint="eastAsia" w:ascii="仿宋_GB2312" w:eastAsia="仿宋_GB2312" w:cs="仿宋_GB2312"/>
          <w:sz w:val="30"/>
          <w:szCs w:val="30"/>
        </w:rPr>
        <w:t xml:space="preserve">    天津市津南区北闸口镇人民政府(本级)2022年度国有资本经营预算财政拨款收入支出决算表为空表。</w:t>
      </w:r>
    </w:p>
    <w:p>
      <w:pPr>
        <w:spacing w:line="600" w:lineRule="exact"/>
        <w:rPr>
          <w:rFonts w:ascii="仿宋_GB2312" w:eastAsia="仿宋_GB2312" w:cs="仿宋_GB2312"/>
          <w:sz w:val="30"/>
          <w:szCs w:val="30"/>
        </w:rPr>
      </w:pPr>
    </w:p>
    <w:p>
      <w:pPr>
        <w:pStyle w:val="2"/>
        <w:spacing w:before="0" w:after="0" w:line="600" w:lineRule="exact"/>
        <w:jc w:val="center"/>
        <w:rPr>
          <w:rFonts w:ascii="方正小标宋简体" w:hAnsi="方正小标宋简体" w:eastAsia="方正小标宋简体" w:cs="方正小标宋简体"/>
          <w:b w:val="0"/>
        </w:rPr>
      </w:pPr>
      <w:bookmarkStart w:id="16" w:name="_Toc396"/>
      <w:r>
        <w:rPr>
          <w:rFonts w:ascii="方正小标宋简体" w:hAnsi="方正小标宋简体" w:eastAsia="方正小标宋简体" w:cs="方正小标宋简体"/>
          <w:b w:val="0"/>
        </w:rPr>
        <w:t>第</w:t>
      </w:r>
      <w:r>
        <w:rPr>
          <w:rFonts w:hint="eastAsia" w:ascii="方正小标宋简体" w:hAnsi="方正小标宋简体" w:eastAsia="方正小标宋简体" w:cs="方正小标宋简体"/>
          <w:b w:val="0"/>
        </w:rPr>
        <w:t>三</w:t>
      </w:r>
      <w:r>
        <w:rPr>
          <w:rFonts w:ascii="方正小标宋简体" w:hAnsi="方正小标宋简体" w:eastAsia="方正小标宋简体" w:cs="方正小标宋简体"/>
          <w:b w:val="0"/>
        </w:rPr>
        <w:t xml:space="preserve">部分  </w:t>
      </w:r>
      <w:r>
        <w:rPr>
          <w:rFonts w:hint="eastAsia" w:ascii="方正小标宋简体" w:hAnsi="方正小标宋简体" w:eastAsia="方正小标宋简体" w:cs="方正小标宋简体"/>
          <w:b w:val="0"/>
        </w:rPr>
        <w:t>2022</w:t>
      </w:r>
      <w:r>
        <w:rPr>
          <w:rFonts w:ascii="方正小标宋简体" w:hAnsi="方正小标宋简体" w:eastAsia="方正小标宋简体" w:cs="方正小标宋简体"/>
          <w:b w:val="0"/>
        </w:rPr>
        <w:t>年度部门决算</w:t>
      </w:r>
      <w:r>
        <w:rPr>
          <w:rFonts w:hint="eastAsia" w:ascii="方正小标宋简体" w:hAnsi="方正小标宋简体" w:eastAsia="方正小标宋简体" w:cs="方正小标宋简体"/>
          <w:b w:val="0"/>
        </w:rPr>
        <w:t>情况</w:t>
      </w:r>
      <w:r>
        <w:rPr>
          <w:rFonts w:ascii="方正小标宋简体" w:hAnsi="方正小标宋简体" w:eastAsia="方正小标宋简体" w:cs="方正小标宋简体"/>
          <w:b w:val="0"/>
        </w:rPr>
        <w:t>说明</w:t>
      </w:r>
      <w:bookmarkEnd w:id="16"/>
    </w:p>
    <w:p>
      <w:pPr>
        <w:spacing w:line="600" w:lineRule="exact"/>
        <w:ind w:firstLine="600" w:firstLineChars="200"/>
        <w:rPr>
          <w:rFonts w:ascii="黑体" w:eastAsia="黑体"/>
          <w:sz w:val="30"/>
          <w:szCs w:val="30"/>
        </w:rPr>
      </w:pPr>
    </w:p>
    <w:p>
      <w:pPr>
        <w:pStyle w:val="3"/>
        <w:spacing w:before="0" w:after="0" w:line="600" w:lineRule="exact"/>
        <w:ind w:firstLine="600" w:firstLineChars="200"/>
        <w:rPr>
          <w:rFonts w:ascii="黑体" w:hAnsi="黑体" w:eastAsia="黑体"/>
          <w:b w:val="0"/>
          <w:sz w:val="30"/>
          <w:szCs w:val="30"/>
        </w:rPr>
      </w:pPr>
      <w:bookmarkStart w:id="17" w:name="_Toc24340"/>
      <w:r>
        <w:rPr>
          <w:rFonts w:hint="eastAsia" w:ascii="黑体" w:hAnsi="黑体" w:eastAsia="黑体"/>
          <w:b w:val="0"/>
          <w:sz w:val="30"/>
          <w:szCs w:val="30"/>
        </w:rPr>
        <w:t>一、收入支出决算总体情况说明</w:t>
      </w:r>
      <w:bookmarkEnd w:id="17"/>
    </w:p>
    <w:p>
      <w:pPr>
        <w:spacing w:line="600" w:lineRule="exact"/>
        <w:rPr>
          <w:rFonts w:eastAsia="楷体_GB2312"/>
          <w:b/>
          <w:sz w:val="30"/>
          <w:szCs w:val="30"/>
        </w:rPr>
      </w:pPr>
      <w:r>
        <w:rPr>
          <w:rFonts w:hint="eastAsia" w:eastAsia="仿宋_GB2312"/>
          <w:sz w:val="30"/>
          <w:szCs w:val="30"/>
        </w:rPr>
        <w:t xml:space="preserve">    </w:t>
      </w:r>
      <w:r>
        <w:rPr>
          <w:rFonts w:hint="eastAsia" w:ascii="仿宋_GB2312" w:eastAsia="仿宋_GB2312" w:cs="仿宋_GB2312"/>
          <w:sz w:val="30"/>
          <w:szCs w:val="30"/>
        </w:rPr>
        <w:t>天津市津南区北闸口镇人民政府(本级)2022年度收入、支出决算总计751274106.37元。与2021年度相比，收、支总计各增加466777345.23元，增长164.07%，主要原因是</w:t>
      </w:r>
      <w:r>
        <w:rPr>
          <w:rFonts w:hint="eastAsia" w:ascii="仿宋_GB2312" w:eastAsia="仿宋_GB2312" w:cs="仿宋_GB2312"/>
          <w:sz w:val="30"/>
          <w:szCs w:val="30"/>
          <w:lang w:eastAsia="zh-CN"/>
        </w:rPr>
        <w:t>按照上级要求增加海河工业区北闸口拓展区基础设施建设工程等政府性基金预算财政拨款收入支出</w:t>
      </w:r>
      <w:r>
        <w:rPr>
          <w:rFonts w:hint="eastAsia" w:eastAsia="仿宋_GB2312"/>
          <w:sz w:val="30"/>
          <w:szCs w:val="30"/>
        </w:rPr>
        <w:t>。</w:t>
      </w:r>
    </w:p>
    <w:p>
      <w:pPr>
        <w:pStyle w:val="3"/>
        <w:spacing w:before="0" w:after="0" w:line="600" w:lineRule="exact"/>
        <w:ind w:firstLine="600" w:firstLineChars="200"/>
        <w:rPr>
          <w:rFonts w:ascii="黑体" w:hAnsi="黑体" w:eastAsia="黑体" w:cs="仿宋_GB2312"/>
          <w:b w:val="0"/>
          <w:sz w:val="30"/>
          <w:szCs w:val="30"/>
        </w:rPr>
      </w:pPr>
      <w:bookmarkStart w:id="18" w:name="_Toc18552"/>
      <w:r>
        <w:rPr>
          <w:rFonts w:hint="eastAsia" w:ascii="黑体" w:hAnsi="黑体" w:eastAsia="黑体" w:cs="仿宋_GB2312"/>
          <w:b w:val="0"/>
          <w:sz w:val="30"/>
          <w:szCs w:val="30"/>
        </w:rPr>
        <w:t>二、收入决算情况说明</w:t>
      </w:r>
      <w:bookmarkEnd w:id="18"/>
    </w:p>
    <w:p>
      <w:pPr>
        <w:spacing w:line="600" w:lineRule="exact"/>
        <w:ind w:firstLine="600" w:firstLineChars="200"/>
        <w:rPr>
          <w:rFonts w:eastAsia="仿宋_GB2312"/>
          <w:sz w:val="30"/>
          <w:szCs w:val="30"/>
        </w:rPr>
      </w:pPr>
      <w:r>
        <w:rPr>
          <w:rFonts w:hint="eastAsia" w:ascii="仿宋_GB2312" w:eastAsia="仿宋_GB2312" w:cs="仿宋_GB2312"/>
          <w:sz w:val="30"/>
          <w:szCs w:val="30"/>
          <w:lang w:eastAsia="zh-CN"/>
        </w:rPr>
        <w:t>天津市津南区北闸口镇人民政府(本级)2022年度本年收入合计633285203.03元，与2021年度相比增加480678817.53元，主要原因是按照上级要求增加海河工业区北闸口拓展区基础设施建设工程等政府性基金预算财政拨款收入</w:t>
      </w:r>
      <w:r>
        <w:rPr>
          <w:rFonts w:hint="eastAsia" w:eastAsia="仿宋_GB2312"/>
          <w:sz w:val="30"/>
          <w:szCs w:val="30"/>
        </w:rPr>
        <w:t>。</w:t>
      </w:r>
      <w:r>
        <w:rPr>
          <w:rFonts w:hint="eastAsia" w:ascii="仿宋_GB2312" w:eastAsia="仿宋_GB2312" w:cs="仿宋_GB2312"/>
          <w:sz w:val="30"/>
          <w:szCs w:val="30"/>
        </w:rPr>
        <w:t>其中：一般公共预算财政拨款收入67748502.91元，占10.70%；政府性基金预算财政拨款收入537066619.00元，占84.81%；其他收入28470081.12元，占4.50%。</w:t>
      </w:r>
    </w:p>
    <w:p>
      <w:pPr>
        <w:pStyle w:val="3"/>
        <w:spacing w:before="0" w:after="0" w:line="600" w:lineRule="exact"/>
        <w:ind w:firstLine="600" w:firstLineChars="200"/>
        <w:rPr>
          <w:rFonts w:ascii="黑体" w:hAnsi="黑体" w:eastAsia="黑体" w:cs="仿宋_GB2312"/>
          <w:b w:val="0"/>
          <w:sz w:val="30"/>
          <w:szCs w:val="30"/>
        </w:rPr>
      </w:pPr>
      <w:bookmarkStart w:id="19" w:name="_Toc26952"/>
      <w:r>
        <w:rPr>
          <w:rFonts w:hint="eastAsia" w:ascii="黑体" w:hAnsi="黑体" w:eastAsia="黑体" w:cs="仿宋_GB2312"/>
          <w:b w:val="0"/>
          <w:sz w:val="30"/>
          <w:szCs w:val="30"/>
        </w:rPr>
        <w:t>三、</w:t>
      </w:r>
      <w:r>
        <w:rPr>
          <w:rFonts w:ascii="黑体" w:hAnsi="黑体" w:eastAsia="黑体" w:cs="仿宋_GB2312"/>
          <w:b w:val="0"/>
          <w:sz w:val="30"/>
          <w:szCs w:val="30"/>
        </w:rPr>
        <w:t>支出</w:t>
      </w:r>
      <w:r>
        <w:rPr>
          <w:rFonts w:hint="eastAsia" w:ascii="黑体" w:hAnsi="黑体" w:eastAsia="黑体" w:cs="仿宋_GB2312"/>
          <w:b w:val="0"/>
          <w:sz w:val="30"/>
          <w:szCs w:val="30"/>
        </w:rPr>
        <w:t>决算</w:t>
      </w:r>
      <w:r>
        <w:rPr>
          <w:rFonts w:ascii="黑体" w:hAnsi="黑体" w:eastAsia="黑体" w:cs="仿宋_GB2312"/>
          <w:b w:val="0"/>
          <w:sz w:val="30"/>
          <w:szCs w:val="30"/>
        </w:rPr>
        <w:t>情况</w:t>
      </w:r>
      <w:r>
        <w:rPr>
          <w:rFonts w:hint="eastAsia" w:ascii="黑体" w:hAnsi="黑体" w:eastAsia="黑体" w:cs="仿宋_GB2312"/>
          <w:b w:val="0"/>
          <w:sz w:val="30"/>
          <w:szCs w:val="30"/>
        </w:rPr>
        <w:t>说明</w:t>
      </w:r>
      <w:bookmarkEnd w:id="19"/>
    </w:p>
    <w:p>
      <w:pPr>
        <w:spacing w:line="600" w:lineRule="exact"/>
        <w:ind w:firstLine="600" w:firstLineChars="200"/>
        <w:rPr>
          <w:rFonts w:eastAsia="仿宋_GB2312"/>
          <w:sz w:val="30"/>
          <w:szCs w:val="30"/>
        </w:rPr>
      </w:pPr>
      <w:r>
        <w:rPr>
          <w:rFonts w:hint="eastAsia" w:ascii="仿宋_GB2312" w:eastAsia="仿宋_GB2312" w:cs="仿宋_GB2312"/>
          <w:sz w:val="30"/>
          <w:szCs w:val="30"/>
        </w:rPr>
        <w:t>天津市津南区北闸口镇人民政府(本级)2022年度本年支出合计721246634.88元，与2021年度相比增加554738777.08元，主要原因是</w:t>
      </w:r>
      <w:r>
        <w:rPr>
          <w:rFonts w:hint="eastAsia" w:ascii="仿宋_GB2312" w:eastAsia="仿宋_GB2312" w:cs="仿宋_GB2312"/>
          <w:sz w:val="30"/>
          <w:szCs w:val="30"/>
          <w:lang w:eastAsia="zh-CN"/>
        </w:rPr>
        <w:t>按照上级要求增加海河工业区北闸口拓展区基础设施建设工程等政府性基金预算财政拨款支出</w:t>
      </w:r>
      <w:r>
        <w:rPr>
          <w:rFonts w:hint="eastAsia" w:eastAsia="仿宋_GB2312"/>
          <w:sz w:val="30"/>
          <w:szCs w:val="30"/>
        </w:rPr>
        <w:t>。</w:t>
      </w:r>
      <w:r>
        <w:rPr>
          <w:rFonts w:hint="eastAsia" w:ascii="仿宋_GB2312" w:eastAsia="仿宋_GB2312" w:cs="仿宋_GB2312"/>
          <w:sz w:val="30"/>
          <w:szCs w:val="30"/>
        </w:rPr>
        <w:t>其中：基本支出40866917.56元，占5.67%；项目支出680379717.32元，占94.33%。</w:t>
      </w:r>
    </w:p>
    <w:p>
      <w:pPr>
        <w:pStyle w:val="3"/>
        <w:spacing w:before="0" w:after="0" w:line="600" w:lineRule="exact"/>
        <w:ind w:firstLine="600" w:firstLineChars="200"/>
        <w:rPr>
          <w:rFonts w:ascii="黑体" w:hAnsi="黑体" w:eastAsia="黑体"/>
          <w:b w:val="0"/>
          <w:sz w:val="30"/>
          <w:szCs w:val="30"/>
        </w:rPr>
      </w:pPr>
      <w:bookmarkStart w:id="20" w:name="_Toc1812"/>
      <w:r>
        <w:rPr>
          <w:rFonts w:hint="eastAsia" w:ascii="黑体" w:hAnsi="黑体" w:eastAsia="黑体"/>
          <w:b w:val="0"/>
          <w:sz w:val="30"/>
          <w:szCs w:val="30"/>
        </w:rPr>
        <w:t>四、财政拨款收支决算总体情况说明</w:t>
      </w:r>
      <w:bookmarkEnd w:id="20"/>
    </w:p>
    <w:p>
      <w:pPr>
        <w:spacing w:line="600" w:lineRule="exact"/>
        <w:rPr>
          <w:rFonts w:eastAsia="楷体_GB2312"/>
          <w:b/>
          <w:sz w:val="30"/>
          <w:szCs w:val="30"/>
        </w:rPr>
      </w:pPr>
      <w:r>
        <w:rPr>
          <w:rFonts w:hint="eastAsia" w:eastAsia="仿宋_GB2312"/>
          <w:sz w:val="30"/>
          <w:szCs w:val="30"/>
        </w:rPr>
        <w:t xml:space="preserve">    </w:t>
      </w:r>
      <w:r>
        <w:rPr>
          <w:rFonts w:hint="eastAsia" w:ascii="仿宋_GB2312" w:eastAsia="仿宋_GB2312" w:cs="仿宋_GB2312"/>
          <w:sz w:val="30"/>
          <w:szCs w:val="30"/>
        </w:rPr>
        <w:t>天津市津南区北闸口镇人民政府(本级)2022年度财政拨款收入、支出决算总计606163679.10元。与2021年度相比，财政拨款收、支总计各增加439939708.03元，增长264.67%，主要原因是</w:t>
      </w:r>
      <w:r>
        <w:rPr>
          <w:rFonts w:hint="eastAsia" w:ascii="仿宋_GB2312" w:eastAsia="仿宋_GB2312" w:cs="仿宋_GB2312"/>
          <w:sz w:val="30"/>
          <w:szCs w:val="30"/>
          <w:lang w:eastAsia="zh-CN"/>
        </w:rPr>
        <w:t>按照上级要求增加海河工业区北闸口拓展区基础设施建设工程等政府性基金预算财政拨款收入支出</w:t>
      </w:r>
      <w:r>
        <w:rPr>
          <w:rFonts w:hint="eastAsia" w:eastAsia="仿宋_GB2312"/>
          <w:sz w:val="30"/>
          <w:szCs w:val="30"/>
        </w:rPr>
        <w:t>。</w:t>
      </w:r>
    </w:p>
    <w:p>
      <w:pPr>
        <w:pStyle w:val="3"/>
        <w:spacing w:before="0" w:after="0" w:line="600" w:lineRule="exact"/>
        <w:ind w:firstLine="600" w:firstLineChars="200"/>
        <w:rPr>
          <w:rFonts w:ascii="黑体" w:hAnsi="黑体" w:eastAsia="黑体"/>
          <w:b w:val="0"/>
          <w:sz w:val="30"/>
          <w:szCs w:val="30"/>
        </w:rPr>
      </w:pPr>
      <w:bookmarkStart w:id="21" w:name="_Toc10091"/>
      <w:r>
        <w:rPr>
          <w:rFonts w:ascii="黑体" w:hAnsi="黑体" w:eastAsia="黑体"/>
          <w:b w:val="0"/>
          <w:sz w:val="30"/>
          <w:szCs w:val="30"/>
        </w:rPr>
        <w:t>五</w:t>
      </w:r>
      <w:r>
        <w:rPr>
          <w:rFonts w:hint="eastAsia" w:ascii="黑体" w:hAnsi="黑体" w:eastAsia="黑体"/>
          <w:b w:val="0"/>
          <w:sz w:val="30"/>
          <w:szCs w:val="30"/>
        </w:rPr>
        <w:t>、</w:t>
      </w:r>
      <w:r>
        <w:rPr>
          <w:rFonts w:ascii="黑体" w:hAnsi="黑体" w:eastAsia="黑体"/>
          <w:b w:val="0"/>
          <w:sz w:val="30"/>
          <w:szCs w:val="30"/>
        </w:rPr>
        <w:t>一般公共预算财政拨款支出决算情况</w:t>
      </w:r>
      <w:r>
        <w:rPr>
          <w:rFonts w:hint="eastAsia" w:ascii="黑体" w:hAnsi="黑体" w:eastAsia="黑体"/>
          <w:b w:val="0"/>
          <w:sz w:val="30"/>
          <w:szCs w:val="30"/>
        </w:rPr>
        <w:t>说明</w:t>
      </w:r>
      <w:bookmarkEnd w:id="21"/>
    </w:p>
    <w:p>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pPr>
        <w:spacing w:line="600" w:lineRule="exact"/>
        <w:ind w:firstLine="600" w:firstLineChars="200"/>
        <w:rPr>
          <w:rFonts w:eastAsia="仿宋_GB2312"/>
          <w:sz w:val="30"/>
          <w:szCs w:val="30"/>
        </w:rPr>
      </w:pPr>
      <w:r>
        <w:rPr>
          <w:rFonts w:hint="eastAsia" w:ascii="仿宋_GB2312" w:eastAsia="仿宋_GB2312" w:cs="仿宋_GB2312"/>
          <w:sz w:val="30"/>
          <w:szCs w:val="30"/>
        </w:rPr>
        <w:t>天津市津南区北闸口镇人民政府(本级)2022年度一般公共预算财政拨款支出合计67748502.91元，占本年支出合计的</w:t>
      </w:r>
      <w:r>
        <w:rPr>
          <w:rFonts w:hint="eastAsia" w:ascii="仿宋_GB2312" w:eastAsia="仿宋_GB2312" w:cs="仿宋_GB2312"/>
          <w:sz w:val="30"/>
          <w:szCs w:val="30"/>
          <w:lang w:val="en-US" w:eastAsia="zh-CN"/>
        </w:rPr>
        <w:t>9.39</w:t>
      </w:r>
      <w:r>
        <w:rPr>
          <w:rFonts w:hint="eastAsia" w:ascii="仿宋_GB2312" w:eastAsia="仿宋_GB2312" w:cs="仿宋_GB2312"/>
          <w:sz w:val="30"/>
          <w:szCs w:val="30"/>
        </w:rPr>
        <w:t>%。与2021年度相比，一般公共预算财政拨款支出减少97035722.97元，下降58.89%，主要原因是</w:t>
      </w:r>
      <w:r>
        <w:rPr>
          <w:rFonts w:hint="eastAsia" w:ascii="仿宋_GB2312" w:eastAsia="仿宋_GB2312" w:cs="仿宋_GB2312"/>
          <w:sz w:val="30"/>
          <w:szCs w:val="30"/>
          <w:lang w:val="en-US" w:eastAsia="zh-CN"/>
        </w:rPr>
        <w:t>2021年绿债项目已完成</w:t>
      </w:r>
      <w:r>
        <w:rPr>
          <w:rFonts w:hint="eastAsia" w:ascii="仿宋_GB2312" w:eastAsia="仿宋_GB2312" w:cs="仿宋_GB2312"/>
          <w:sz w:val="30"/>
          <w:szCs w:val="30"/>
        </w:rPr>
        <w:t>。</w:t>
      </w:r>
    </w:p>
    <w:p>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pPr>
        <w:spacing w:line="600" w:lineRule="exact"/>
        <w:ind w:firstLine="645"/>
        <w:jc w:val="both"/>
        <w:rPr>
          <w:rFonts w:ascii="仿宋_GB2312" w:eastAsia="仿宋_GB2312" w:cs="仿宋_GB2312"/>
          <w:sz w:val="30"/>
          <w:szCs w:val="30"/>
        </w:rPr>
      </w:pPr>
      <w:r>
        <w:rPr>
          <w:rFonts w:hint="eastAsia" w:eastAsia="楷体"/>
          <w:sz w:val="30"/>
          <w:szCs w:val="30"/>
        </w:rPr>
        <w:t>2022</w:t>
      </w:r>
      <w:r>
        <w:rPr>
          <w:rFonts w:hint="eastAsia" w:ascii="仿宋_GB2312" w:eastAsia="仿宋_GB2312" w:cs="仿宋_GB2312"/>
          <w:sz w:val="30"/>
          <w:szCs w:val="30"/>
        </w:rPr>
        <w:t>年度一般公共预算财政拨款支出67748502.91元，主要用于以下方面：</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一般公共服务支出（类）支出35617764.43元，占52.57%；</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公共安全支出（类）支出1112108.96元，占1.64%；</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教育支出（类）支出529672.50元，占0.78%；</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文化旅游体育与传媒支出（类）支出437440.00元，占0.65%；</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社会保障和就业支出（类）支出9269325.48元，占13.68%；</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卫生健康支出（类）支出4121063.74元，占6.08%；</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节能环保支出（类）支出3450366.20元，占5.09%；</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城乡社区支出（类）支出5540752.40元，占8.18%；</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农林水支出（类）支出5925406.20元，占8.75%；</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住房保障支出（类）支出1744603.00元，占2.58%。</w:t>
      </w:r>
    </w:p>
    <w:p>
      <w:pPr>
        <w:numPr>
          <w:ilvl w:val="0"/>
          <w:numId w:val="2"/>
        </w:numPr>
        <w:spacing w:line="600" w:lineRule="exact"/>
        <w:ind w:firstLine="602" w:firstLineChars="200"/>
        <w:rPr>
          <w:rFonts w:ascii="楷体" w:hAnsi="楷体" w:eastAsia="楷体" w:cs="仿宋_GB2312"/>
          <w:b/>
          <w:sz w:val="30"/>
          <w:szCs w:val="30"/>
        </w:rPr>
      </w:pPr>
      <w:r>
        <w:rPr>
          <w:rFonts w:ascii="楷体" w:hAnsi="楷体" w:eastAsia="楷体" w:cs="仿宋_GB2312"/>
          <w:b/>
          <w:sz w:val="30"/>
          <w:szCs w:val="30"/>
        </w:rPr>
        <w:t>具体情况</w:t>
      </w:r>
    </w:p>
    <w:p>
      <w:pPr>
        <w:spacing w:line="600" w:lineRule="exact"/>
        <w:ind w:firstLine="645"/>
        <w:jc w:val="both"/>
        <w:rPr>
          <w:rFonts w:hint="eastAsia" w:ascii="仿宋_GB2312" w:eastAsia="仿宋_GB2312" w:cs="仿宋_GB2312"/>
          <w:sz w:val="30"/>
          <w:szCs w:val="30"/>
        </w:rPr>
      </w:pPr>
      <w:r>
        <w:rPr>
          <w:rFonts w:hint="eastAsia" w:eastAsia="楷体"/>
          <w:sz w:val="30"/>
          <w:szCs w:val="30"/>
        </w:rPr>
        <w:t>2022</w:t>
      </w:r>
      <w:r>
        <w:rPr>
          <w:rFonts w:hint="eastAsia" w:ascii="仿宋_GB2312" w:eastAsia="仿宋_GB2312" w:cs="仿宋_GB2312"/>
          <w:sz w:val="30"/>
          <w:szCs w:val="30"/>
        </w:rPr>
        <w:t>年度一般公共预算财政拨款支出年初预算为86697946.16元，支出决算为67748502.91元，完成年初预算的78.14%。其中：</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一般公共服务支出（类）人大事务（款）其他人大事务支出（项）年初预算为</w:t>
      </w:r>
      <w:r>
        <w:rPr>
          <w:rFonts w:hint="eastAsia" w:ascii="仿宋_GB2312" w:eastAsia="仿宋_GB2312" w:cs="仿宋_GB2312"/>
          <w:sz w:val="30"/>
          <w:szCs w:val="30"/>
          <w:lang w:val="en-US" w:eastAsia="zh-CN"/>
        </w:rPr>
        <w:t>140000.00</w:t>
      </w:r>
      <w:r>
        <w:rPr>
          <w:rFonts w:hint="eastAsia" w:ascii="仿宋_GB2312" w:eastAsia="仿宋_GB2312" w:cs="仿宋_GB2312"/>
          <w:sz w:val="30"/>
          <w:szCs w:val="30"/>
        </w:rPr>
        <w:t>元，支出决算为51481.50元，完成年初预算数的</w:t>
      </w:r>
      <w:r>
        <w:rPr>
          <w:rFonts w:hint="eastAsia" w:ascii="仿宋_GB2312" w:eastAsia="仿宋_GB2312" w:cs="仿宋_GB2312"/>
          <w:sz w:val="30"/>
          <w:szCs w:val="30"/>
          <w:lang w:val="en-US" w:eastAsia="zh-CN"/>
        </w:rPr>
        <w:t>36.77</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一般公共服务支出（类）政府办公厅（室）及相关机构事务（款）行政运行（项）年初预算为</w:t>
      </w:r>
      <w:r>
        <w:rPr>
          <w:rFonts w:hint="eastAsia" w:ascii="仿宋_GB2312" w:eastAsia="仿宋_GB2312" w:cs="仿宋_GB2312"/>
          <w:sz w:val="30"/>
          <w:szCs w:val="30"/>
          <w:lang w:val="en-US" w:eastAsia="zh-CN"/>
        </w:rPr>
        <w:t>24804600.62</w:t>
      </w:r>
      <w:r>
        <w:rPr>
          <w:rFonts w:hint="eastAsia" w:ascii="仿宋_GB2312" w:eastAsia="仿宋_GB2312" w:cs="仿宋_GB2312"/>
          <w:sz w:val="30"/>
          <w:szCs w:val="30"/>
        </w:rPr>
        <w:t>元，支出决算为21865484.41元，完成年初预算数的</w:t>
      </w:r>
      <w:r>
        <w:rPr>
          <w:rFonts w:hint="eastAsia" w:ascii="仿宋_GB2312" w:eastAsia="仿宋_GB2312" w:cs="仿宋_GB2312"/>
          <w:sz w:val="30"/>
          <w:szCs w:val="30"/>
          <w:lang w:val="en-US" w:eastAsia="zh-CN"/>
        </w:rPr>
        <w:t>88.15</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一般公共服务支出（类）政府办公厅（室）及相关机构事务（款）信访事务（项）年初预算为</w:t>
      </w:r>
      <w:r>
        <w:rPr>
          <w:rFonts w:hint="eastAsia" w:ascii="仿宋_GB2312" w:eastAsia="仿宋_GB2312" w:cs="仿宋_GB2312"/>
          <w:sz w:val="30"/>
          <w:szCs w:val="30"/>
          <w:lang w:val="en-US" w:eastAsia="zh-CN"/>
        </w:rPr>
        <w:t>500000.00</w:t>
      </w:r>
      <w:r>
        <w:rPr>
          <w:rFonts w:hint="eastAsia" w:ascii="仿宋_GB2312" w:eastAsia="仿宋_GB2312" w:cs="仿宋_GB2312"/>
          <w:sz w:val="30"/>
          <w:szCs w:val="30"/>
        </w:rPr>
        <w:t>元，支出决算为497977.75元，完成年初预算数的</w:t>
      </w:r>
      <w:r>
        <w:rPr>
          <w:rFonts w:hint="eastAsia" w:ascii="仿宋_GB2312" w:eastAsia="仿宋_GB2312" w:cs="仿宋_GB2312"/>
          <w:sz w:val="30"/>
          <w:szCs w:val="30"/>
          <w:lang w:val="en-US" w:eastAsia="zh-CN"/>
        </w:rPr>
        <w:t>99.59</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按照实际发生列支，基本完成预算</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一般公共服务支出（类）政府办公厅（室）及相关机构事务（款）事业运行（项）年初预算为</w:t>
      </w:r>
      <w:r>
        <w:rPr>
          <w:rFonts w:hint="eastAsia" w:ascii="仿宋_GB2312" w:eastAsia="仿宋_GB2312" w:cs="仿宋_GB2312"/>
          <w:sz w:val="30"/>
          <w:szCs w:val="30"/>
          <w:lang w:val="en-US" w:eastAsia="zh-CN"/>
        </w:rPr>
        <w:t>11324009.62</w:t>
      </w:r>
      <w:r>
        <w:rPr>
          <w:rFonts w:hint="eastAsia" w:ascii="仿宋_GB2312" w:eastAsia="仿宋_GB2312" w:cs="仿宋_GB2312"/>
          <w:sz w:val="30"/>
          <w:szCs w:val="30"/>
        </w:rPr>
        <w:t>元，支出决算为10953454.85元，完成年初预算数的</w:t>
      </w:r>
      <w:r>
        <w:rPr>
          <w:rFonts w:hint="eastAsia" w:ascii="仿宋_GB2312" w:eastAsia="仿宋_GB2312" w:cs="仿宋_GB2312"/>
          <w:sz w:val="30"/>
          <w:szCs w:val="30"/>
          <w:lang w:val="en-US" w:eastAsia="zh-CN"/>
        </w:rPr>
        <w:t>96.73</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一般公共服务支出（类）财政事务（款）其他财政事务支出（项）年初预算为</w:t>
      </w:r>
      <w:r>
        <w:rPr>
          <w:rFonts w:hint="eastAsia" w:ascii="仿宋_GB2312" w:eastAsia="仿宋_GB2312" w:cs="仿宋_GB2312"/>
          <w:sz w:val="30"/>
          <w:szCs w:val="30"/>
          <w:lang w:val="en-US" w:eastAsia="zh-CN"/>
        </w:rPr>
        <w:t>1063000.00</w:t>
      </w:r>
      <w:r>
        <w:rPr>
          <w:rFonts w:hint="eastAsia" w:ascii="仿宋_GB2312" w:eastAsia="仿宋_GB2312" w:cs="仿宋_GB2312"/>
          <w:sz w:val="30"/>
          <w:szCs w:val="30"/>
        </w:rPr>
        <w:t>元，支出决算为210400.00元，完成年初预算数的</w:t>
      </w:r>
      <w:r>
        <w:rPr>
          <w:rFonts w:hint="eastAsia" w:ascii="仿宋_GB2312" w:eastAsia="仿宋_GB2312" w:cs="仿宋_GB2312"/>
          <w:sz w:val="30"/>
          <w:szCs w:val="30"/>
          <w:lang w:val="en-US" w:eastAsia="zh-CN"/>
        </w:rPr>
        <w:t>19.79</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一般公共服务支出（类）纪检监察事务（款）其他纪检监察事务支出（项）年初预算为</w:t>
      </w:r>
      <w:r>
        <w:rPr>
          <w:rFonts w:hint="eastAsia" w:ascii="仿宋_GB2312" w:eastAsia="仿宋_GB2312" w:cs="仿宋_GB2312"/>
          <w:sz w:val="30"/>
          <w:szCs w:val="30"/>
          <w:lang w:val="en-US" w:eastAsia="zh-CN"/>
        </w:rPr>
        <w:t>26500.00</w:t>
      </w:r>
      <w:r>
        <w:rPr>
          <w:rFonts w:hint="eastAsia" w:ascii="仿宋_GB2312" w:eastAsia="仿宋_GB2312" w:cs="仿宋_GB2312"/>
          <w:sz w:val="30"/>
          <w:szCs w:val="30"/>
        </w:rPr>
        <w:t>元，支出决算为22110.00元，完成年初预算数的</w:t>
      </w:r>
      <w:r>
        <w:rPr>
          <w:rFonts w:hint="eastAsia" w:ascii="仿宋_GB2312" w:eastAsia="仿宋_GB2312" w:cs="仿宋_GB2312"/>
          <w:sz w:val="30"/>
          <w:szCs w:val="30"/>
          <w:lang w:val="en-US" w:eastAsia="zh-CN"/>
        </w:rPr>
        <w:t>83.43</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一般公共服务支出（类）党委办公厅（室）及相关机构事务（款）行政运行（项）年初预算为</w:t>
      </w:r>
      <w:r>
        <w:rPr>
          <w:rFonts w:hint="eastAsia" w:ascii="仿宋_GB2312" w:eastAsia="仿宋_GB2312" w:cs="仿宋_GB2312"/>
          <w:sz w:val="30"/>
          <w:szCs w:val="30"/>
          <w:lang w:val="en-US" w:eastAsia="zh-CN"/>
        </w:rPr>
        <w:t>51000.00</w:t>
      </w:r>
      <w:r>
        <w:rPr>
          <w:rFonts w:hint="eastAsia" w:ascii="仿宋_GB2312" w:eastAsia="仿宋_GB2312" w:cs="仿宋_GB2312"/>
          <w:sz w:val="30"/>
          <w:szCs w:val="30"/>
        </w:rPr>
        <w:t>元，支出决算为980.00元，完成年初预算数的</w:t>
      </w:r>
      <w:r>
        <w:rPr>
          <w:rFonts w:hint="eastAsia" w:ascii="仿宋_GB2312" w:eastAsia="仿宋_GB2312" w:cs="仿宋_GB2312"/>
          <w:sz w:val="30"/>
          <w:szCs w:val="30"/>
          <w:lang w:val="en-US" w:eastAsia="zh-CN"/>
        </w:rPr>
        <w:t>1.92</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一般公共服务支出（类）组织事务（款）其他组织事务支出（项）年初预算为</w:t>
      </w:r>
      <w:r>
        <w:rPr>
          <w:rFonts w:hint="eastAsia" w:ascii="仿宋_GB2312" w:eastAsia="仿宋_GB2312" w:cs="仿宋_GB2312"/>
          <w:sz w:val="30"/>
          <w:szCs w:val="30"/>
          <w:lang w:val="en-US" w:eastAsia="zh-CN"/>
        </w:rPr>
        <w:t>2136100.00</w:t>
      </w:r>
      <w:r>
        <w:rPr>
          <w:rFonts w:hint="eastAsia" w:ascii="仿宋_GB2312" w:eastAsia="仿宋_GB2312" w:cs="仿宋_GB2312"/>
          <w:sz w:val="30"/>
          <w:szCs w:val="30"/>
        </w:rPr>
        <w:t>元，支出决算为1982275.92元，完成年初预算数的</w:t>
      </w:r>
      <w:r>
        <w:rPr>
          <w:rFonts w:hint="eastAsia" w:ascii="仿宋_GB2312" w:eastAsia="仿宋_GB2312" w:cs="仿宋_GB2312"/>
          <w:sz w:val="30"/>
          <w:szCs w:val="30"/>
          <w:lang w:val="en-US" w:eastAsia="zh-CN"/>
        </w:rPr>
        <w:t>92.80</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一般公共服务支出（类）其他一般公共服务支出（款）其他一般公共服务支出（项）年初预算为</w:t>
      </w:r>
      <w:r>
        <w:rPr>
          <w:rFonts w:hint="eastAsia" w:ascii="仿宋_GB2312" w:eastAsia="仿宋_GB2312" w:cs="仿宋_GB2312"/>
          <w:sz w:val="30"/>
          <w:szCs w:val="30"/>
          <w:lang w:val="en-US" w:eastAsia="zh-CN"/>
        </w:rPr>
        <w:t>84900.00</w:t>
      </w:r>
      <w:r>
        <w:rPr>
          <w:rFonts w:hint="eastAsia" w:ascii="仿宋_GB2312" w:eastAsia="仿宋_GB2312" w:cs="仿宋_GB2312"/>
          <w:sz w:val="30"/>
          <w:szCs w:val="30"/>
        </w:rPr>
        <w:t>元，支出决算为33600.00元，完成年初预算数的</w:t>
      </w:r>
      <w:r>
        <w:rPr>
          <w:rFonts w:hint="eastAsia" w:ascii="仿宋_GB2312" w:eastAsia="仿宋_GB2312" w:cs="仿宋_GB2312"/>
          <w:sz w:val="30"/>
          <w:szCs w:val="30"/>
          <w:lang w:val="en-US" w:eastAsia="zh-CN"/>
        </w:rPr>
        <w:t>39.58</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公共安全支出（类）其他公共安全支出（款）其他公共安全支出（项）年初预算为</w:t>
      </w:r>
      <w:r>
        <w:rPr>
          <w:rFonts w:hint="eastAsia" w:ascii="仿宋_GB2312" w:eastAsia="仿宋_GB2312" w:cs="仿宋_GB2312"/>
          <w:sz w:val="30"/>
          <w:szCs w:val="30"/>
          <w:lang w:val="en-US" w:eastAsia="zh-CN"/>
        </w:rPr>
        <w:t>1400000.00</w:t>
      </w:r>
      <w:r>
        <w:rPr>
          <w:rFonts w:hint="eastAsia" w:ascii="仿宋_GB2312" w:eastAsia="仿宋_GB2312" w:cs="仿宋_GB2312"/>
          <w:sz w:val="30"/>
          <w:szCs w:val="30"/>
        </w:rPr>
        <w:t>元，支出决算为1112108.96元，完成年初预算数的</w:t>
      </w:r>
      <w:r>
        <w:rPr>
          <w:rFonts w:hint="eastAsia" w:ascii="仿宋_GB2312" w:eastAsia="仿宋_GB2312" w:cs="仿宋_GB2312"/>
          <w:sz w:val="30"/>
          <w:szCs w:val="30"/>
          <w:lang w:val="en-US" w:eastAsia="zh-CN"/>
        </w:rPr>
        <w:t>79.44</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教育支出（类）普通教育（款）高等教育（项）年初预算为</w:t>
      </w:r>
      <w:r>
        <w:rPr>
          <w:rFonts w:hint="eastAsia" w:ascii="仿宋_GB2312" w:eastAsia="仿宋_GB2312" w:cs="仿宋_GB2312"/>
          <w:sz w:val="30"/>
          <w:szCs w:val="30"/>
          <w:lang w:val="en-US" w:eastAsia="zh-CN"/>
        </w:rPr>
        <w:t>0</w:t>
      </w:r>
      <w:r>
        <w:rPr>
          <w:rFonts w:hint="eastAsia" w:ascii="仿宋_GB2312" w:eastAsia="仿宋_GB2312" w:cs="仿宋_GB2312"/>
          <w:sz w:val="30"/>
          <w:szCs w:val="30"/>
        </w:rPr>
        <w:t>元，支出决算为33000.00元，完成年初预算数的</w:t>
      </w:r>
      <w:r>
        <w:rPr>
          <w:rFonts w:hint="eastAsia" w:ascii="仿宋_GB2312" w:eastAsia="仿宋_GB2312" w:cs="仿宋_GB2312"/>
          <w:sz w:val="30"/>
          <w:szCs w:val="30"/>
          <w:lang w:val="en-US" w:eastAsia="zh-CN"/>
        </w:rPr>
        <w:t>--</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教育支出（类）普通教育（款）其他普通教育支出（项）年初预算为</w:t>
      </w:r>
      <w:r>
        <w:rPr>
          <w:rFonts w:hint="eastAsia" w:ascii="仿宋_GB2312" w:eastAsia="仿宋_GB2312" w:cs="仿宋_GB2312"/>
          <w:sz w:val="30"/>
          <w:szCs w:val="30"/>
          <w:lang w:val="en-US" w:eastAsia="zh-CN"/>
        </w:rPr>
        <w:t>0</w:t>
      </w:r>
      <w:r>
        <w:rPr>
          <w:rFonts w:hint="eastAsia" w:ascii="仿宋_GB2312" w:eastAsia="仿宋_GB2312" w:cs="仿宋_GB2312"/>
          <w:sz w:val="30"/>
          <w:szCs w:val="30"/>
        </w:rPr>
        <w:t>元，支出决算为277242.50元，完成年初预算数的</w:t>
      </w:r>
      <w:r>
        <w:rPr>
          <w:rFonts w:hint="eastAsia" w:ascii="仿宋_GB2312" w:eastAsia="仿宋_GB2312" w:cs="仿宋_GB2312"/>
          <w:sz w:val="30"/>
          <w:szCs w:val="30"/>
          <w:lang w:val="en-US" w:eastAsia="zh-CN"/>
        </w:rPr>
        <w:t>--</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教育支出（类）其他教育支出（款）其他教育支出（项）年初预算为</w:t>
      </w:r>
      <w:r>
        <w:rPr>
          <w:rFonts w:hint="eastAsia" w:ascii="仿宋_GB2312" w:eastAsia="仿宋_GB2312" w:cs="仿宋_GB2312"/>
          <w:sz w:val="30"/>
          <w:szCs w:val="30"/>
          <w:lang w:val="en-US" w:eastAsia="zh-CN"/>
        </w:rPr>
        <w:t>80000.00</w:t>
      </w:r>
      <w:r>
        <w:rPr>
          <w:rFonts w:hint="eastAsia" w:ascii="仿宋_GB2312" w:eastAsia="仿宋_GB2312" w:cs="仿宋_GB2312"/>
          <w:sz w:val="30"/>
          <w:szCs w:val="30"/>
        </w:rPr>
        <w:t>元，支出决算为219430.00元，完成年初预算数的</w:t>
      </w:r>
      <w:r>
        <w:rPr>
          <w:rFonts w:hint="eastAsia" w:ascii="仿宋_GB2312" w:eastAsia="仿宋_GB2312" w:cs="仿宋_GB2312"/>
          <w:sz w:val="30"/>
          <w:szCs w:val="30"/>
          <w:lang w:val="en-US" w:eastAsia="zh-CN"/>
        </w:rPr>
        <w:t>274.29</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按照上级要求，成校预算调剂到政府本级，增加支出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文化旅游体育与传媒支出（类）文化和旅游（款）群众文化（项）年初预算为</w:t>
      </w:r>
      <w:r>
        <w:rPr>
          <w:rFonts w:hint="eastAsia" w:ascii="仿宋_GB2312" w:eastAsia="仿宋_GB2312" w:cs="仿宋_GB2312"/>
          <w:sz w:val="30"/>
          <w:szCs w:val="30"/>
          <w:lang w:val="en-US" w:eastAsia="zh-CN"/>
        </w:rPr>
        <w:t>402240.00</w:t>
      </w:r>
      <w:r>
        <w:rPr>
          <w:rFonts w:hint="eastAsia" w:ascii="仿宋_GB2312" w:eastAsia="仿宋_GB2312" w:cs="仿宋_GB2312"/>
          <w:sz w:val="30"/>
          <w:szCs w:val="30"/>
        </w:rPr>
        <w:t>元，支出决算为37440.00元，完成年初预算数的</w:t>
      </w:r>
      <w:r>
        <w:rPr>
          <w:rFonts w:hint="eastAsia" w:ascii="仿宋_GB2312" w:eastAsia="仿宋_GB2312" w:cs="仿宋_GB2312"/>
          <w:sz w:val="30"/>
          <w:szCs w:val="30"/>
          <w:lang w:val="en-US" w:eastAsia="zh-CN"/>
        </w:rPr>
        <w:t>9.30</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文化旅游体育与传媒支出（类）体育（款）群众体育（项）年初预算为</w:t>
      </w:r>
      <w:r>
        <w:rPr>
          <w:rFonts w:hint="eastAsia" w:ascii="仿宋_GB2312" w:eastAsia="仿宋_GB2312" w:cs="仿宋_GB2312"/>
          <w:sz w:val="30"/>
          <w:szCs w:val="30"/>
          <w:lang w:val="en-US" w:eastAsia="zh-CN"/>
        </w:rPr>
        <w:t>0</w:t>
      </w:r>
      <w:r>
        <w:rPr>
          <w:rFonts w:hint="eastAsia" w:ascii="仿宋_GB2312" w:eastAsia="仿宋_GB2312" w:cs="仿宋_GB2312"/>
          <w:sz w:val="30"/>
          <w:szCs w:val="30"/>
        </w:rPr>
        <w:t>元，支出决算为400000.00元，完成年初预算数的</w:t>
      </w:r>
      <w:r>
        <w:rPr>
          <w:rFonts w:hint="eastAsia" w:ascii="仿宋_GB2312" w:eastAsia="仿宋_GB2312" w:cs="仿宋_GB2312"/>
          <w:sz w:val="30"/>
          <w:szCs w:val="30"/>
          <w:lang w:val="en-US" w:eastAsia="zh-CN"/>
        </w:rPr>
        <w:t>--</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社会保障和就业支出（类）民政管理事务（款）基层政权建设和社区治理（项）年初预算为</w:t>
      </w:r>
      <w:r>
        <w:rPr>
          <w:rFonts w:hint="eastAsia" w:ascii="仿宋_GB2312" w:eastAsia="仿宋_GB2312" w:cs="仿宋_GB2312"/>
          <w:sz w:val="30"/>
          <w:szCs w:val="30"/>
          <w:lang w:val="en-US" w:eastAsia="zh-CN"/>
        </w:rPr>
        <w:t>1991200.00</w:t>
      </w:r>
      <w:r>
        <w:rPr>
          <w:rFonts w:hint="eastAsia" w:ascii="仿宋_GB2312" w:eastAsia="仿宋_GB2312" w:cs="仿宋_GB2312"/>
          <w:sz w:val="30"/>
          <w:szCs w:val="30"/>
        </w:rPr>
        <w:t>元，支出决算为1720887.50元，完成年初预算数的</w:t>
      </w:r>
      <w:r>
        <w:rPr>
          <w:rFonts w:hint="eastAsia" w:ascii="仿宋_GB2312" w:eastAsia="仿宋_GB2312" w:cs="仿宋_GB2312"/>
          <w:sz w:val="30"/>
          <w:szCs w:val="30"/>
          <w:lang w:val="en-US" w:eastAsia="zh-CN"/>
        </w:rPr>
        <w:t>86.42</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社会保障和就业支出（类）民政管理事务（款）其他民政管理事务支出（项）年初预算为</w:t>
      </w:r>
      <w:r>
        <w:rPr>
          <w:rFonts w:hint="eastAsia" w:ascii="仿宋_GB2312" w:eastAsia="仿宋_GB2312" w:cs="仿宋_GB2312"/>
          <w:sz w:val="30"/>
          <w:szCs w:val="30"/>
          <w:lang w:val="en-US" w:eastAsia="zh-CN"/>
        </w:rPr>
        <w:t>4050000.00</w:t>
      </w:r>
      <w:r>
        <w:rPr>
          <w:rFonts w:hint="eastAsia" w:ascii="仿宋_GB2312" w:eastAsia="仿宋_GB2312" w:cs="仿宋_GB2312"/>
          <w:sz w:val="30"/>
          <w:szCs w:val="30"/>
        </w:rPr>
        <w:t>元，支出决算为4374138.46元，完成年初预算数的</w:t>
      </w:r>
      <w:r>
        <w:rPr>
          <w:rFonts w:hint="eastAsia" w:ascii="仿宋_GB2312" w:eastAsia="仿宋_GB2312" w:cs="仿宋_GB2312"/>
          <w:sz w:val="30"/>
          <w:szCs w:val="30"/>
          <w:lang w:val="en-US" w:eastAsia="zh-CN"/>
        </w:rPr>
        <w:t>108.00</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p>
    <w:p>
      <w:pPr>
        <w:spacing w:line="600" w:lineRule="exact"/>
        <w:ind w:firstLine="645"/>
        <w:jc w:val="both"/>
        <w:rPr>
          <w:rFonts w:hint="eastAsia" w:ascii="仿宋_GB2312" w:eastAsia="仿宋_GB2312" w:cs="仿宋_GB2312"/>
          <w:sz w:val="30"/>
          <w:szCs w:val="30"/>
        </w:rPr>
      </w:pPr>
      <w:r>
        <w:rPr>
          <w:rFonts w:hint="eastAsia" w:ascii="仿宋_GB2312" w:eastAsia="仿宋_GB2312" w:cs="仿宋_GB2312"/>
          <w:sz w:val="30"/>
          <w:szCs w:val="30"/>
        </w:rPr>
        <w:t>社会保障和就业支出（类）行政事业单位养老支出（款）机关事业单位基本养老保险缴费支出（项）年初预算为</w:t>
      </w:r>
      <w:r>
        <w:rPr>
          <w:rFonts w:hint="eastAsia" w:ascii="仿宋_GB2312" w:eastAsia="仿宋_GB2312" w:cs="仿宋_GB2312"/>
          <w:sz w:val="30"/>
          <w:szCs w:val="30"/>
          <w:lang w:val="en-US" w:eastAsia="zh-CN"/>
        </w:rPr>
        <w:t>1649820.96</w:t>
      </w:r>
      <w:r>
        <w:rPr>
          <w:rFonts w:hint="eastAsia" w:ascii="仿宋_GB2312" w:eastAsia="仿宋_GB2312" w:cs="仿宋_GB2312"/>
          <w:sz w:val="30"/>
          <w:szCs w:val="30"/>
        </w:rPr>
        <w:t>元，支出决算为1692267.68元，完成年初预算数的</w:t>
      </w:r>
      <w:r>
        <w:rPr>
          <w:rFonts w:hint="eastAsia" w:ascii="仿宋_GB2312" w:eastAsia="仿宋_GB2312" w:cs="仿宋_GB2312"/>
          <w:sz w:val="30"/>
          <w:szCs w:val="30"/>
          <w:lang w:val="en-US" w:eastAsia="zh-CN"/>
        </w:rPr>
        <w:t>102.57</w:t>
      </w:r>
      <w:r>
        <w:rPr>
          <w:rFonts w:hint="eastAsia" w:ascii="仿宋_GB2312" w:eastAsia="仿宋_GB2312" w:cs="仿宋_GB2312"/>
          <w:sz w:val="30"/>
          <w:szCs w:val="30"/>
        </w:rPr>
        <w:t>%，决算数</w:t>
      </w:r>
      <w:r>
        <w:rPr>
          <w:rFonts w:hint="eastAsia" w:ascii="仿宋_GB2312" w:eastAsia="仿宋_GB2312" w:cs="仿宋_GB2312"/>
          <w:sz w:val="30"/>
          <w:szCs w:val="30"/>
          <w:lang w:eastAsia="zh-CN"/>
        </w:rPr>
        <w:t>大</w:t>
      </w:r>
      <w:r>
        <w:rPr>
          <w:rFonts w:hint="eastAsia" w:ascii="仿宋_GB2312" w:eastAsia="仿宋_GB2312" w:cs="仿宋_GB2312"/>
          <w:sz w:val="30"/>
          <w:szCs w:val="30"/>
        </w:rPr>
        <w:t>于年初预算数的主要原因是</w:t>
      </w:r>
      <w:r>
        <w:rPr>
          <w:rFonts w:hint="eastAsia" w:ascii="仿宋_GB2312" w:eastAsia="仿宋_GB2312" w:cs="仿宋_GB2312"/>
          <w:sz w:val="30"/>
          <w:szCs w:val="30"/>
          <w:lang w:eastAsia="zh-CN"/>
        </w:rPr>
        <w:t>按照实际发生调整</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社会保障和就业支出（类）行政事业单位养老支出（款）机关事业单位职业年金缴费支出（项）年初预算为</w:t>
      </w:r>
      <w:r>
        <w:rPr>
          <w:rFonts w:hint="eastAsia" w:ascii="仿宋_GB2312" w:eastAsia="仿宋_GB2312" w:cs="仿宋_GB2312"/>
          <w:sz w:val="30"/>
          <w:szCs w:val="30"/>
          <w:lang w:val="en-US" w:eastAsia="zh-CN"/>
        </w:rPr>
        <w:t>824910.6</w:t>
      </w:r>
      <w:r>
        <w:rPr>
          <w:rFonts w:hint="eastAsia" w:ascii="仿宋_GB2312" w:eastAsia="仿宋_GB2312" w:cs="仿宋_GB2312"/>
          <w:sz w:val="30"/>
          <w:szCs w:val="30"/>
        </w:rPr>
        <w:t>元，支出决算为846133.84元，完成年初预算数的</w:t>
      </w:r>
      <w:r>
        <w:rPr>
          <w:rFonts w:hint="eastAsia" w:ascii="仿宋_GB2312" w:eastAsia="仿宋_GB2312" w:cs="仿宋_GB2312"/>
          <w:sz w:val="30"/>
          <w:szCs w:val="30"/>
          <w:lang w:val="en-US" w:eastAsia="zh-CN"/>
        </w:rPr>
        <w:t>102.57</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 xml:space="preserve">。    </w:t>
      </w:r>
    </w:p>
    <w:p>
      <w:pPr>
        <w:spacing w:line="600" w:lineRule="exact"/>
        <w:ind w:firstLine="645"/>
        <w:jc w:val="both"/>
        <w:rPr>
          <w:rFonts w:hint="eastAsia" w:ascii="仿宋_GB2312" w:eastAsia="仿宋_GB2312" w:cs="仿宋_GB2312"/>
          <w:sz w:val="30"/>
          <w:szCs w:val="30"/>
        </w:rPr>
      </w:pPr>
      <w:r>
        <w:rPr>
          <w:rFonts w:hint="eastAsia" w:ascii="仿宋_GB2312" w:eastAsia="仿宋_GB2312" w:cs="仿宋_GB2312"/>
          <w:sz w:val="30"/>
          <w:szCs w:val="30"/>
        </w:rPr>
        <w:t>社会保障和就业支出（类）抚恤（款）其他优抚支出（项）年初预算为</w:t>
      </w:r>
      <w:r>
        <w:rPr>
          <w:rFonts w:hint="eastAsia" w:ascii="仿宋_GB2312" w:eastAsia="仿宋_GB2312" w:cs="仿宋_GB2312"/>
          <w:sz w:val="30"/>
          <w:szCs w:val="30"/>
          <w:lang w:val="en-US" w:eastAsia="zh-CN"/>
        </w:rPr>
        <w:t>0</w:t>
      </w:r>
      <w:r>
        <w:rPr>
          <w:rFonts w:hint="eastAsia" w:ascii="仿宋_GB2312" w:eastAsia="仿宋_GB2312" w:cs="仿宋_GB2312"/>
          <w:sz w:val="30"/>
          <w:szCs w:val="30"/>
        </w:rPr>
        <w:t>元，支出决算为12000.00元，完成年初预算数的</w:t>
      </w:r>
      <w:r>
        <w:rPr>
          <w:rFonts w:hint="eastAsia" w:ascii="仿宋_GB2312" w:eastAsia="仿宋_GB2312" w:cs="仿宋_GB2312"/>
          <w:sz w:val="30"/>
          <w:szCs w:val="30"/>
          <w:lang w:val="en-US" w:eastAsia="zh-CN"/>
        </w:rPr>
        <w:t>--</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社会保障和就业支出（类）社会福利（款）老年福利（项）年初预算为</w:t>
      </w:r>
      <w:r>
        <w:rPr>
          <w:rFonts w:hint="eastAsia" w:ascii="仿宋_GB2312" w:eastAsia="仿宋_GB2312" w:cs="仿宋_GB2312"/>
          <w:sz w:val="30"/>
          <w:szCs w:val="30"/>
          <w:lang w:val="en-US" w:eastAsia="zh-CN"/>
        </w:rPr>
        <w:t>27000.00</w:t>
      </w:r>
      <w:r>
        <w:rPr>
          <w:rFonts w:hint="eastAsia" w:ascii="仿宋_GB2312" w:eastAsia="仿宋_GB2312" w:cs="仿宋_GB2312"/>
          <w:sz w:val="30"/>
          <w:szCs w:val="30"/>
        </w:rPr>
        <w:t>元，支出决算为25098.00元，完成年初预算数的</w:t>
      </w:r>
      <w:r>
        <w:rPr>
          <w:rFonts w:hint="eastAsia" w:ascii="仿宋_GB2312" w:eastAsia="仿宋_GB2312" w:cs="仿宋_GB2312"/>
          <w:sz w:val="30"/>
          <w:szCs w:val="30"/>
          <w:lang w:val="en-US" w:eastAsia="zh-CN"/>
        </w:rPr>
        <w:t>92.96</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社会保障和就业支出（类）残疾人事业（款）残疾人就业（项）年初预算为</w:t>
      </w:r>
      <w:r>
        <w:rPr>
          <w:rFonts w:hint="eastAsia" w:ascii="仿宋_GB2312" w:eastAsia="仿宋_GB2312" w:cs="仿宋_GB2312"/>
          <w:sz w:val="30"/>
          <w:szCs w:val="30"/>
          <w:lang w:val="en-US" w:eastAsia="zh-CN"/>
        </w:rPr>
        <w:t>446160.00</w:t>
      </w:r>
      <w:r>
        <w:rPr>
          <w:rFonts w:hint="eastAsia" w:ascii="仿宋_GB2312" w:eastAsia="仿宋_GB2312" w:cs="仿宋_GB2312"/>
          <w:sz w:val="30"/>
          <w:szCs w:val="30"/>
        </w:rPr>
        <w:t>元，支出决算为598800.00元，完成年初预算数的</w:t>
      </w:r>
      <w:r>
        <w:rPr>
          <w:rFonts w:hint="eastAsia" w:ascii="仿宋_GB2312" w:eastAsia="仿宋_GB2312" w:cs="仿宋_GB2312"/>
          <w:sz w:val="30"/>
          <w:szCs w:val="30"/>
          <w:lang w:val="en-US" w:eastAsia="zh-CN"/>
        </w:rPr>
        <w:t>134.21</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卫生健康支出（类）公共卫生（款）重大公共卫生服务（项）年初预算为</w:t>
      </w:r>
      <w:r>
        <w:rPr>
          <w:rFonts w:hint="eastAsia" w:ascii="仿宋_GB2312" w:eastAsia="仿宋_GB2312" w:cs="仿宋_GB2312"/>
          <w:sz w:val="30"/>
          <w:szCs w:val="30"/>
          <w:highlight w:val="none"/>
          <w:lang w:val="en-US" w:eastAsia="zh-CN"/>
        </w:rPr>
        <w:t>0元，支出决算为22188.97元，完成年初预算数的--%，决算数大于年初预算数的主要原因是按照要求调整预算，增加支出。</w:t>
      </w:r>
      <w:r>
        <w:rPr>
          <w:rFonts w:hint="eastAsia" w:ascii="仿宋_GB2312" w:eastAsia="仿宋_GB2312" w:cs="仿宋_GB2312"/>
          <w:sz w:val="30"/>
          <w:szCs w:val="30"/>
          <w:highlight w:val="none"/>
        </w:rPr>
        <w:br w:type="textWrapping"/>
      </w:r>
      <w:r>
        <w:rPr>
          <w:rFonts w:hint="eastAsia" w:ascii="仿宋_GB2312" w:eastAsia="仿宋_GB2312" w:cs="仿宋_GB2312"/>
          <w:sz w:val="30"/>
          <w:szCs w:val="30"/>
        </w:rPr>
        <w:t xml:space="preserve">    卫生健康支出（类）公共卫生（款）突发公共卫生事件应急处理（项）年初预算为</w:t>
      </w:r>
      <w:r>
        <w:rPr>
          <w:rFonts w:hint="eastAsia" w:ascii="仿宋_GB2312" w:eastAsia="仿宋_GB2312" w:cs="仿宋_GB2312"/>
          <w:sz w:val="30"/>
          <w:szCs w:val="30"/>
          <w:highlight w:val="none"/>
          <w:lang w:val="en-US" w:eastAsia="zh-CN"/>
        </w:rPr>
        <w:t>0</w:t>
      </w:r>
      <w:r>
        <w:rPr>
          <w:rFonts w:hint="eastAsia" w:ascii="仿宋_GB2312" w:eastAsia="仿宋_GB2312" w:cs="仿宋_GB2312"/>
          <w:sz w:val="30"/>
          <w:szCs w:val="30"/>
          <w:highlight w:val="none"/>
        </w:rPr>
        <w:t>元，支出决算为2932830.68元，完成年初预算数的</w:t>
      </w:r>
      <w:r>
        <w:rPr>
          <w:rFonts w:hint="eastAsia" w:ascii="仿宋_GB2312" w:eastAsia="仿宋_GB2312" w:cs="仿宋_GB2312"/>
          <w:sz w:val="30"/>
          <w:szCs w:val="30"/>
          <w:highlight w:val="none"/>
          <w:lang w:val="en-US" w:eastAsia="zh-CN"/>
        </w:rPr>
        <w:t>--</w:t>
      </w:r>
      <w:r>
        <w:rPr>
          <w:rFonts w:hint="eastAsia" w:ascii="仿宋_GB2312" w:eastAsia="仿宋_GB2312" w:cs="仿宋_GB2312"/>
          <w:sz w:val="30"/>
          <w:szCs w:val="30"/>
          <w:highlight w:val="none"/>
        </w:rPr>
        <w:t>%，决算数大于年初预算数的主要原因是</w:t>
      </w:r>
      <w:r>
        <w:rPr>
          <w:rFonts w:hint="eastAsia" w:ascii="仿宋_GB2312" w:eastAsia="仿宋_GB2312" w:cs="仿宋_GB2312"/>
          <w:sz w:val="30"/>
          <w:szCs w:val="30"/>
          <w:highlight w:val="none"/>
          <w:lang w:eastAsia="zh-CN"/>
        </w:rPr>
        <w:t>按照上级要求做预算调剂，增加防疫支出</w:t>
      </w:r>
      <w:r>
        <w:rPr>
          <w:rFonts w:hint="eastAsia" w:ascii="仿宋_GB2312" w:eastAsia="仿宋_GB2312" w:cs="仿宋_GB2312"/>
          <w:sz w:val="30"/>
          <w:szCs w:val="30"/>
          <w:highlight w:val="none"/>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卫生健康支出（类）行政事业单位医疗（款）行政单位医疗（项）年初预算为</w:t>
      </w:r>
      <w:r>
        <w:rPr>
          <w:rFonts w:hint="eastAsia" w:ascii="仿宋_GB2312" w:eastAsia="仿宋_GB2312" w:cs="仿宋_GB2312"/>
          <w:sz w:val="30"/>
          <w:szCs w:val="30"/>
          <w:lang w:val="en-US" w:eastAsia="zh-CN"/>
        </w:rPr>
        <w:t>401139.96</w:t>
      </w:r>
      <w:r>
        <w:rPr>
          <w:rFonts w:hint="eastAsia" w:ascii="仿宋_GB2312" w:eastAsia="仿宋_GB2312" w:cs="仿宋_GB2312"/>
          <w:sz w:val="30"/>
          <w:szCs w:val="30"/>
        </w:rPr>
        <w:t>元，支出决算为410534.60元，完成年初预算数的</w:t>
      </w:r>
      <w:r>
        <w:rPr>
          <w:rFonts w:hint="eastAsia" w:ascii="仿宋_GB2312" w:eastAsia="仿宋_GB2312" w:cs="仿宋_GB2312"/>
          <w:sz w:val="30"/>
          <w:szCs w:val="30"/>
          <w:lang w:val="en-US" w:eastAsia="zh-CN"/>
        </w:rPr>
        <w:t>102.34</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卫生健康支出（类）行政事业单位医疗（款）事业单位医疗（项）年初预算为</w:t>
      </w:r>
      <w:r>
        <w:rPr>
          <w:rFonts w:hint="eastAsia" w:ascii="仿宋_GB2312" w:eastAsia="仿宋_GB2312" w:cs="仿宋_GB2312"/>
          <w:sz w:val="30"/>
          <w:szCs w:val="30"/>
          <w:lang w:val="en-US" w:eastAsia="zh-CN"/>
        </w:rPr>
        <w:t>629998.68</w:t>
      </w:r>
      <w:r>
        <w:rPr>
          <w:rFonts w:hint="eastAsia" w:ascii="仿宋_GB2312" w:eastAsia="仿宋_GB2312" w:cs="仿宋_GB2312"/>
          <w:sz w:val="30"/>
          <w:szCs w:val="30"/>
        </w:rPr>
        <w:t>元，支出决算为579773.40元，完成年初预算数的</w:t>
      </w:r>
      <w:r>
        <w:rPr>
          <w:rFonts w:hint="eastAsia" w:ascii="仿宋_GB2312" w:eastAsia="仿宋_GB2312" w:cs="仿宋_GB2312"/>
          <w:sz w:val="30"/>
          <w:szCs w:val="30"/>
          <w:lang w:val="en-US" w:eastAsia="zh-CN"/>
        </w:rPr>
        <w:t>92.03</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卫生健康支出（类）行政事业单位医疗（款）公务员医疗补助（项）年初预算为</w:t>
      </w:r>
      <w:r>
        <w:rPr>
          <w:rFonts w:hint="eastAsia" w:ascii="仿宋_GB2312" w:eastAsia="仿宋_GB2312" w:cs="仿宋_GB2312"/>
          <w:sz w:val="30"/>
          <w:szCs w:val="30"/>
          <w:lang w:val="en-US" w:eastAsia="zh-CN"/>
        </w:rPr>
        <w:t>160455.72</w:t>
      </w:r>
      <w:r>
        <w:rPr>
          <w:rFonts w:hint="eastAsia" w:ascii="仿宋_GB2312" w:eastAsia="仿宋_GB2312" w:cs="仿宋_GB2312"/>
          <w:sz w:val="30"/>
          <w:szCs w:val="30"/>
        </w:rPr>
        <w:t>元，支出决算为82106.92元，完成年初预算数的</w:t>
      </w:r>
      <w:r>
        <w:rPr>
          <w:rFonts w:hint="eastAsia" w:ascii="仿宋_GB2312" w:eastAsia="仿宋_GB2312" w:cs="仿宋_GB2312"/>
          <w:sz w:val="30"/>
          <w:szCs w:val="30"/>
          <w:lang w:val="en-US" w:eastAsia="zh-CN"/>
        </w:rPr>
        <w:t>51.17</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卫生健康支出（类）行政事业单位医疗（款）其他行政事业单位医疗支出（项）年初预算为</w:t>
      </w:r>
      <w:r>
        <w:rPr>
          <w:rFonts w:hint="eastAsia" w:ascii="仿宋_GB2312" w:eastAsia="仿宋_GB2312" w:cs="仿宋_GB2312"/>
          <w:sz w:val="30"/>
          <w:szCs w:val="30"/>
          <w:lang w:val="en-US" w:eastAsia="zh-CN"/>
        </w:rPr>
        <w:t>99600.00</w:t>
      </w:r>
      <w:r>
        <w:rPr>
          <w:rFonts w:hint="eastAsia" w:ascii="仿宋_GB2312" w:eastAsia="仿宋_GB2312" w:cs="仿宋_GB2312"/>
          <w:sz w:val="30"/>
          <w:szCs w:val="30"/>
        </w:rPr>
        <w:t>元，支出决算为93629.17元，完成年初预算数的</w:t>
      </w:r>
      <w:r>
        <w:rPr>
          <w:rFonts w:hint="eastAsia" w:ascii="仿宋_GB2312" w:eastAsia="仿宋_GB2312" w:cs="仿宋_GB2312"/>
          <w:sz w:val="30"/>
          <w:szCs w:val="30"/>
          <w:lang w:val="en-US" w:eastAsia="zh-CN"/>
        </w:rPr>
        <w:t>94.00</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节能环保支出（类）污染减排（款）其他污染减排支出（项）年初预算为</w:t>
      </w:r>
      <w:r>
        <w:rPr>
          <w:rFonts w:hint="eastAsia" w:ascii="仿宋_GB2312" w:eastAsia="仿宋_GB2312" w:cs="仿宋_GB2312"/>
          <w:sz w:val="30"/>
          <w:szCs w:val="30"/>
          <w:lang w:val="en-US" w:eastAsia="zh-CN"/>
        </w:rPr>
        <w:t>4924594.64</w:t>
      </w:r>
      <w:r>
        <w:rPr>
          <w:rFonts w:hint="eastAsia" w:ascii="仿宋_GB2312" w:eastAsia="仿宋_GB2312" w:cs="仿宋_GB2312"/>
          <w:sz w:val="30"/>
          <w:szCs w:val="30"/>
        </w:rPr>
        <w:t>元，支出决算为3450366.20元，完成年初预算数的</w:t>
      </w:r>
      <w:r>
        <w:rPr>
          <w:rFonts w:hint="eastAsia" w:ascii="仿宋_GB2312" w:eastAsia="仿宋_GB2312" w:cs="仿宋_GB2312"/>
          <w:sz w:val="30"/>
          <w:szCs w:val="30"/>
          <w:lang w:val="en-US" w:eastAsia="zh-CN"/>
        </w:rPr>
        <w:t>70.06</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城乡社区支出（类）城乡社区管理事务（款）城管执法（项）年初预算为</w:t>
      </w:r>
      <w:r>
        <w:rPr>
          <w:rFonts w:hint="eastAsia" w:ascii="仿宋_GB2312" w:eastAsia="仿宋_GB2312" w:cs="仿宋_GB2312"/>
          <w:sz w:val="30"/>
          <w:szCs w:val="30"/>
          <w:lang w:val="en-US" w:eastAsia="zh-CN"/>
        </w:rPr>
        <w:t>2140000.00</w:t>
      </w:r>
      <w:r>
        <w:rPr>
          <w:rFonts w:hint="eastAsia" w:ascii="仿宋_GB2312" w:eastAsia="仿宋_GB2312" w:cs="仿宋_GB2312"/>
          <w:sz w:val="30"/>
          <w:szCs w:val="30"/>
        </w:rPr>
        <w:t>元，支出决算为21604.00元，完成年初预算数的</w:t>
      </w:r>
      <w:r>
        <w:rPr>
          <w:rFonts w:hint="eastAsia" w:ascii="仿宋_GB2312" w:eastAsia="仿宋_GB2312" w:cs="仿宋_GB2312"/>
          <w:sz w:val="30"/>
          <w:szCs w:val="30"/>
          <w:lang w:val="en-US" w:eastAsia="zh-CN"/>
        </w:rPr>
        <w:t>1.01</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年初预算数调整后，按照实际发生列支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城乡社区支出（类）城乡社区管理事务（款）其他城乡社区管理事务支出（项）年初预</w:t>
      </w:r>
      <w:r>
        <w:rPr>
          <w:rFonts w:hint="eastAsia" w:ascii="仿宋_GB2312" w:eastAsia="仿宋_GB2312" w:cs="仿宋_GB2312"/>
          <w:sz w:val="30"/>
          <w:szCs w:val="30"/>
          <w:highlight w:val="none"/>
        </w:rPr>
        <w:t>算为</w:t>
      </w:r>
      <w:r>
        <w:rPr>
          <w:rFonts w:hint="eastAsia" w:ascii="仿宋_GB2312" w:eastAsia="仿宋_GB2312" w:cs="仿宋_GB2312"/>
          <w:sz w:val="30"/>
          <w:szCs w:val="30"/>
          <w:highlight w:val="none"/>
          <w:lang w:val="en-US" w:eastAsia="zh-CN"/>
        </w:rPr>
        <w:t>3625430.00</w:t>
      </w:r>
      <w:r>
        <w:rPr>
          <w:rFonts w:hint="eastAsia" w:ascii="仿宋_GB2312" w:eastAsia="仿宋_GB2312" w:cs="仿宋_GB2312"/>
          <w:sz w:val="30"/>
          <w:szCs w:val="30"/>
          <w:highlight w:val="none"/>
        </w:rPr>
        <w:t>元，支出决算为2962962.00元，完成年初预算数的</w:t>
      </w:r>
      <w:r>
        <w:rPr>
          <w:rFonts w:hint="eastAsia" w:ascii="仿宋_GB2312" w:eastAsia="仿宋_GB2312" w:cs="仿宋_GB2312"/>
          <w:sz w:val="30"/>
          <w:szCs w:val="30"/>
          <w:highlight w:val="none"/>
          <w:lang w:val="en-US" w:eastAsia="zh-CN"/>
        </w:rPr>
        <w:t>81.73</w:t>
      </w:r>
      <w:r>
        <w:rPr>
          <w:rFonts w:hint="eastAsia" w:ascii="仿宋_GB2312" w:eastAsia="仿宋_GB2312" w:cs="仿宋_GB2312"/>
          <w:sz w:val="30"/>
          <w:szCs w:val="30"/>
          <w:highlight w:val="none"/>
        </w:rPr>
        <w:t>%，决算数小于年初预算数的主要原因是</w:t>
      </w:r>
      <w:r>
        <w:rPr>
          <w:rFonts w:hint="eastAsia" w:ascii="仿宋_GB2312" w:eastAsia="仿宋_GB2312" w:cs="仿宋_GB2312"/>
          <w:sz w:val="30"/>
          <w:szCs w:val="30"/>
          <w:highlight w:val="none"/>
          <w:lang w:eastAsia="zh-CN"/>
        </w:rPr>
        <w:t>按照实际发生列支</w:t>
      </w:r>
      <w:r>
        <w:rPr>
          <w:rFonts w:hint="eastAsia" w:ascii="仿宋_GB2312" w:eastAsia="仿宋_GB2312" w:cs="仿宋_GB2312"/>
          <w:sz w:val="30"/>
          <w:szCs w:val="30"/>
        </w:rPr>
        <w:t xml:space="preserve">。    </w:t>
      </w:r>
    </w:p>
    <w:p>
      <w:pPr>
        <w:spacing w:line="600" w:lineRule="exact"/>
        <w:ind w:firstLine="645"/>
        <w:jc w:val="both"/>
        <w:rPr>
          <w:rFonts w:hint="eastAsia" w:ascii="仿宋_GB2312" w:eastAsia="仿宋_GB2312" w:cs="仿宋_GB2312"/>
          <w:sz w:val="30"/>
          <w:szCs w:val="30"/>
        </w:rPr>
      </w:pPr>
      <w:r>
        <w:rPr>
          <w:rFonts w:hint="eastAsia" w:ascii="仿宋_GB2312" w:eastAsia="仿宋_GB2312" w:cs="仿宋_GB2312"/>
          <w:sz w:val="30"/>
          <w:szCs w:val="30"/>
        </w:rPr>
        <w:t>城乡社区支出（类）城乡社区环境卫生（款）城乡社区环境卫生（项）年初预算为</w:t>
      </w:r>
      <w:r>
        <w:rPr>
          <w:rFonts w:hint="eastAsia" w:ascii="仿宋_GB2312" w:eastAsia="仿宋_GB2312" w:cs="仿宋_GB2312"/>
          <w:sz w:val="30"/>
          <w:szCs w:val="30"/>
          <w:lang w:val="en-US" w:eastAsia="zh-CN"/>
        </w:rPr>
        <w:t>7513600.00</w:t>
      </w:r>
      <w:r>
        <w:rPr>
          <w:rFonts w:hint="eastAsia" w:ascii="仿宋_GB2312" w:eastAsia="仿宋_GB2312" w:cs="仿宋_GB2312"/>
          <w:sz w:val="30"/>
          <w:szCs w:val="30"/>
        </w:rPr>
        <w:t>元，支出决算为1855000.00元，完成年初预算数的</w:t>
      </w:r>
      <w:r>
        <w:rPr>
          <w:rFonts w:hint="eastAsia" w:ascii="仿宋_GB2312" w:eastAsia="仿宋_GB2312" w:cs="仿宋_GB2312"/>
          <w:sz w:val="30"/>
          <w:szCs w:val="30"/>
          <w:lang w:val="en-US" w:eastAsia="zh-CN"/>
        </w:rPr>
        <w:t>24.69</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w:t>
      </w:r>
      <w:r>
        <w:rPr>
          <w:rFonts w:hint="eastAsia" w:ascii="仿宋_GB2312" w:eastAsia="仿宋_GB2312" w:cs="仿宋_GB2312"/>
          <w:sz w:val="30"/>
          <w:szCs w:val="30"/>
          <w:highlight w:val="none"/>
        </w:rPr>
        <w:t>城乡社区支出（类）其他城乡社区支出（款）其他城乡社区支出（项）年初预算为</w:t>
      </w:r>
      <w:r>
        <w:rPr>
          <w:rFonts w:hint="eastAsia" w:ascii="仿宋_GB2312" w:eastAsia="仿宋_GB2312" w:cs="仿宋_GB2312"/>
          <w:sz w:val="30"/>
          <w:szCs w:val="30"/>
          <w:highlight w:val="none"/>
          <w:lang w:val="en-US" w:eastAsia="zh-CN"/>
        </w:rPr>
        <w:t>5329520.00</w:t>
      </w:r>
      <w:r>
        <w:rPr>
          <w:rFonts w:hint="eastAsia" w:ascii="仿宋_GB2312" w:eastAsia="仿宋_GB2312" w:cs="仿宋_GB2312"/>
          <w:sz w:val="30"/>
          <w:szCs w:val="30"/>
          <w:highlight w:val="none"/>
        </w:rPr>
        <w:t>元，支出决算为701186.40元，完成年初预算数的</w:t>
      </w:r>
      <w:r>
        <w:rPr>
          <w:rFonts w:hint="eastAsia" w:ascii="仿宋_GB2312" w:eastAsia="仿宋_GB2312" w:cs="仿宋_GB2312"/>
          <w:sz w:val="30"/>
          <w:szCs w:val="30"/>
          <w:highlight w:val="none"/>
          <w:lang w:val="en-US" w:eastAsia="zh-CN"/>
        </w:rPr>
        <w:t>13.16</w:t>
      </w:r>
      <w:r>
        <w:rPr>
          <w:rFonts w:hint="eastAsia" w:ascii="仿宋_GB2312" w:eastAsia="仿宋_GB2312" w:cs="仿宋_GB2312"/>
          <w:sz w:val="30"/>
          <w:szCs w:val="30"/>
          <w:highlight w:val="none"/>
        </w:rPr>
        <w:t>%，</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农林水支出（类）农业农村（款）对高校毕业生到基层任职补助（项）年初预算为</w:t>
      </w:r>
      <w:r>
        <w:rPr>
          <w:rFonts w:hint="eastAsia" w:ascii="仿宋_GB2312" w:eastAsia="仿宋_GB2312" w:cs="仿宋_GB2312"/>
          <w:sz w:val="30"/>
          <w:szCs w:val="30"/>
          <w:lang w:val="en-US" w:eastAsia="zh-CN"/>
        </w:rPr>
        <w:t>149000.00</w:t>
      </w:r>
      <w:r>
        <w:rPr>
          <w:rFonts w:hint="eastAsia" w:ascii="仿宋_GB2312" w:eastAsia="仿宋_GB2312" w:cs="仿宋_GB2312"/>
          <w:sz w:val="30"/>
          <w:szCs w:val="30"/>
        </w:rPr>
        <w:t>元，支出决算为91541.83元，完成年初预算数的</w:t>
      </w:r>
      <w:r>
        <w:rPr>
          <w:rFonts w:hint="eastAsia" w:ascii="仿宋_GB2312" w:eastAsia="仿宋_GB2312" w:cs="仿宋_GB2312"/>
          <w:sz w:val="30"/>
          <w:szCs w:val="30"/>
          <w:lang w:val="en-US" w:eastAsia="zh-CN"/>
        </w:rPr>
        <w:t>61.44</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农林水支出（类）农业农村（款）其他农业农村支出（项）年初预算为</w:t>
      </w:r>
      <w:r>
        <w:rPr>
          <w:rFonts w:hint="eastAsia" w:ascii="仿宋_GB2312" w:eastAsia="仿宋_GB2312" w:cs="仿宋_GB2312"/>
          <w:sz w:val="30"/>
          <w:szCs w:val="30"/>
          <w:lang w:val="en-US" w:eastAsia="zh-CN"/>
        </w:rPr>
        <w:t>1710000.00</w:t>
      </w:r>
      <w:r>
        <w:rPr>
          <w:rFonts w:hint="eastAsia" w:ascii="仿宋_GB2312" w:eastAsia="仿宋_GB2312" w:cs="仿宋_GB2312"/>
          <w:sz w:val="30"/>
          <w:szCs w:val="30"/>
        </w:rPr>
        <w:t>元，支出决算为956797.76元，完成年初预算数的</w:t>
      </w:r>
      <w:r>
        <w:rPr>
          <w:rFonts w:hint="eastAsia" w:ascii="仿宋_GB2312" w:eastAsia="仿宋_GB2312" w:cs="仿宋_GB2312"/>
          <w:sz w:val="30"/>
          <w:szCs w:val="30"/>
          <w:lang w:val="en-US" w:eastAsia="zh-CN"/>
        </w:rPr>
        <w:t>55.95</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农林水支出（类）巩固脱贫衔接乡村振兴（款）其他巩固脱贫衔接乡村振兴支出（项）年初预算为</w:t>
      </w:r>
      <w:r>
        <w:rPr>
          <w:rFonts w:hint="eastAsia" w:ascii="仿宋_GB2312" w:eastAsia="仿宋_GB2312" w:cs="仿宋_GB2312"/>
          <w:sz w:val="30"/>
          <w:szCs w:val="30"/>
          <w:lang w:val="en-US" w:eastAsia="zh-CN"/>
        </w:rPr>
        <w:t>500000.00</w:t>
      </w:r>
      <w:r>
        <w:rPr>
          <w:rFonts w:hint="eastAsia" w:ascii="仿宋_GB2312" w:eastAsia="仿宋_GB2312" w:cs="仿宋_GB2312"/>
          <w:sz w:val="30"/>
          <w:szCs w:val="30"/>
        </w:rPr>
        <w:t>元，支出决算为500000.00元，完成年初预算数的</w:t>
      </w:r>
      <w:r>
        <w:rPr>
          <w:rFonts w:hint="eastAsia" w:ascii="仿宋_GB2312" w:eastAsia="仿宋_GB2312" w:cs="仿宋_GB2312"/>
          <w:sz w:val="30"/>
          <w:szCs w:val="30"/>
          <w:lang w:val="en-US" w:eastAsia="zh-CN"/>
        </w:rPr>
        <w:t>100</w:t>
      </w:r>
      <w:r>
        <w:rPr>
          <w:rFonts w:hint="eastAsia" w:ascii="仿宋_GB2312" w:eastAsia="仿宋_GB2312" w:cs="仿宋_GB2312"/>
          <w:sz w:val="30"/>
          <w:szCs w:val="30"/>
        </w:rPr>
        <w:t>%</w:t>
      </w:r>
      <w:r>
        <w:rPr>
          <w:rFonts w:hint="eastAsia" w:ascii="仿宋_GB2312" w:eastAsia="仿宋_GB2312" w:cs="仿宋_GB2312"/>
          <w:sz w:val="30"/>
          <w:szCs w:val="30"/>
          <w:lang w:eastAsia="zh-CN"/>
        </w:rPr>
        <w:t>。</w:t>
      </w:r>
      <w:r>
        <w:rPr>
          <w:rFonts w:hint="eastAsia" w:ascii="仿宋_GB2312" w:eastAsia="仿宋_GB2312" w:cs="仿宋_GB2312"/>
          <w:sz w:val="30"/>
          <w:szCs w:val="30"/>
        </w:rPr>
        <w:t xml:space="preserve">   </w:t>
      </w:r>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农林水支出（类）农村综合改革（款）对村级公益事业建设的补助（项）年初预算为</w:t>
      </w:r>
      <w:r>
        <w:rPr>
          <w:rFonts w:hint="eastAsia" w:ascii="仿宋_GB2312" w:eastAsia="仿宋_GB2312" w:cs="仿宋_GB2312"/>
          <w:sz w:val="30"/>
          <w:szCs w:val="30"/>
          <w:lang w:val="en-US" w:eastAsia="zh-CN"/>
        </w:rPr>
        <w:t>0</w:t>
      </w:r>
      <w:r>
        <w:rPr>
          <w:rFonts w:hint="eastAsia" w:ascii="仿宋_GB2312" w:eastAsia="仿宋_GB2312" w:cs="仿宋_GB2312"/>
          <w:sz w:val="30"/>
          <w:szCs w:val="30"/>
        </w:rPr>
        <w:t>元，支出决算为100000.00元，完成年初预算数的</w:t>
      </w:r>
      <w:r>
        <w:rPr>
          <w:rFonts w:hint="eastAsia" w:ascii="仿宋_GB2312" w:eastAsia="仿宋_GB2312" w:cs="仿宋_GB2312"/>
          <w:sz w:val="30"/>
          <w:szCs w:val="30"/>
          <w:lang w:val="en-US" w:eastAsia="zh-CN"/>
        </w:rPr>
        <w:t>--</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农林水支出（类）农村综合改革（款）对村民委员会和村党支部的补助（项）年初预算为</w:t>
      </w:r>
      <w:r>
        <w:rPr>
          <w:rFonts w:hint="eastAsia" w:ascii="仿宋_GB2312" w:eastAsia="仿宋_GB2312" w:cs="仿宋_GB2312"/>
          <w:sz w:val="30"/>
          <w:szCs w:val="30"/>
          <w:lang w:val="en-US" w:eastAsia="zh-CN"/>
        </w:rPr>
        <w:t>3966300.00</w:t>
      </w:r>
      <w:r>
        <w:rPr>
          <w:rFonts w:hint="eastAsia" w:ascii="仿宋_GB2312" w:eastAsia="仿宋_GB2312" w:cs="仿宋_GB2312"/>
          <w:sz w:val="30"/>
          <w:szCs w:val="30"/>
        </w:rPr>
        <w:t>元，支出决算为4277066.61元，完成年初预算数的</w:t>
      </w:r>
      <w:r>
        <w:rPr>
          <w:rFonts w:hint="eastAsia" w:ascii="仿宋_GB2312" w:eastAsia="仿宋_GB2312" w:cs="仿宋_GB2312"/>
          <w:sz w:val="30"/>
          <w:szCs w:val="30"/>
          <w:lang w:val="en-US" w:eastAsia="zh-CN"/>
        </w:rPr>
        <w:t>107.84</w:t>
      </w:r>
      <w:r>
        <w:rPr>
          <w:rFonts w:hint="eastAsia" w:ascii="仿宋_GB2312" w:eastAsia="仿宋_GB2312" w:cs="仿宋_GB2312"/>
          <w:sz w:val="30"/>
          <w:szCs w:val="30"/>
        </w:rPr>
        <w:t>%，决算数大于年初预算数的主要原因是</w:t>
      </w:r>
      <w:r>
        <w:rPr>
          <w:rFonts w:hint="eastAsia" w:ascii="仿宋_GB2312" w:eastAsia="仿宋_GB2312" w:cs="仿宋_GB2312"/>
          <w:sz w:val="30"/>
          <w:szCs w:val="30"/>
          <w:lang w:eastAsia="zh-CN"/>
        </w:rPr>
        <w:t>按照上级要求做预算调剂，增加支出</w:t>
      </w:r>
      <w:r>
        <w:rPr>
          <w:rFonts w:hint="eastAsia" w:ascii="仿宋_GB2312" w:eastAsia="仿宋_GB2312" w:cs="仿宋_GB2312"/>
          <w:sz w:val="30"/>
          <w:szCs w:val="30"/>
        </w:rPr>
        <w:t>。</w:t>
      </w:r>
      <w:r>
        <w:rPr>
          <w:rFonts w:hint="eastAsia" w:ascii="仿宋_GB2312" w:eastAsia="仿宋_GB2312" w:cs="仿宋_GB2312"/>
          <w:sz w:val="30"/>
          <w:szCs w:val="30"/>
        </w:rPr>
        <w:br w:type="textWrapping"/>
      </w:r>
      <w:r>
        <w:rPr>
          <w:rFonts w:hint="eastAsia" w:ascii="仿宋_GB2312" w:eastAsia="仿宋_GB2312" w:cs="仿宋_GB2312"/>
          <w:sz w:val="30"/>
          <w:szCs w:val="30"/>
        </w:rPr>
        <w:t xml:space="preserve">    </w:t>
      </w:r>
      <w:r>
        <w:rPr>
          <w:rFonts w:hint="eastAsia" w:ascii="仿宋_GB2312" w:eastAsia="仿宋_GB2312" w:cs="仿宋_GB2312"/>
          <w:sz w:val="30"/>
          <w:szCs w:val="30"/>
          <w:highlight w:val="none"/>
        </w:rPr>
        <w:t>住房保障支出（类）保障性安居工程支出（款）农村危房改造（项）年初预算为</w:t>
      </w:r>
      <w:r>
        <w:rPr>
          <w:rFonts w:hint="eastAsia" w:ascii="仿宋_GB2312" w:eastAsia="仿宋_GB2312" w:cs="仿宋_GB2312"/>
          <w:sz w:val="30"/>
          <w:szCs w:val="30"/>
          <w:highlight w:val="none"/>
          <w:lang w:val="en-US" w:eastAsia="zh-CN"/>
        </w:rPr>
        <w:t>1200000.00</w:t>
      </w:r>
      <w:r>
        <w:rPr>
          <w:rFonts w:hint="eastAsia" w:ascii="仿宋_GB2312" w:eastAsia="仿宋_GB2312" w:cs="仿宋_GB2312"/>
          <w:sz w:val="30"/>
          <w:szCs w:val="30"/>
          <w:highlight w:val="none"/>
        </w:rPr>
        <w:t>元，支出决算为152750.00元，完成年初预算数的</w:t>
      </w:r>
      <w:r>
        <w:rPr>
          <w:rFonts w:hint="eastAsia" w:ascii="仿宋_GB2312" w:eastAsia="仿宋_GB2312" w:cs="仿宋_GB2312"/>
          <w:sz w:val="30"/>
          <w:szCs w:val="30"/>
          <w:highlight w:val="none"/>
          <w:lang w:val="en-US" w:eastAsia="zh-CN"/>
        </w:rPr>
        <w:t>12.73</w:t>
      </w:r>
      <w:r>
        <w:rPr>
          <w:rFonts w:hint="eastAsia" w:ascii="仿宋_GB2312" w:eastAsia="仿宋_GB2312" w:cs="仿宋_GB2312"/>
          <w:sz w:val="30"/>
          <w:szCs w:val="30"/>
          <w:highlight w:val="none"/>
        </w:rPr>
        <w:t>%，决算数小于年初预算数的主要原因是</w:t>
      </w:r>
      <w:r>
        <w:rPr>
          <w:rFonts w:hint="eastAsia" w:ascii="仿宋_GB2312" w:eastAsia="仿宋_GB2312" w:cs="仿宋_GB2312"/>
          <w:sz w:val="30"/>
          <w:szCs w:val="30"/>
          <w:highlight w:val="none"/>
          <w:lang w:eastAsia="zh-CN"/>
        </w:rPr>
        <w:t>按照实际发生列支</w:t>
      </w:r>
      <w:r>
        <w:rPr>
          <w:rFonts w:hint="eastAsia" w:ascii="仿宋_GB2312" w:eastAsia="仿宋_GB2312" w:cs="仿宋_GB2312"/>
          <w:sz w:val="30"/>
          <w:szCs w:val="30"/>
          <w:highlight w:val="none"/>
        </w:rPr>
        <w:t>。</w:t>
      </w:r>
      <w:r>
        <w:rPr>
          <w:rFonts w:hint="eastAsia" w:ascii="仿宋_GB2312" w:eastAsia="仿宋_GB2312" w:cs="仿宋_GB2312"/>
          <w:sz w:val="30"/>
          <w:szCs w:val="30"/>
          <w:highlight w:val="none"/>
        </w:rPr>
        <w:br w:type="textWrapping"/>
      </w:r>
      <w:r>
        <w:rPr>
          <w:rFonts w:hint="eastAsia" w:ascii="仿宋_GB2312" w:eastAsia="仿宋_GB2312" w:cs="仿宋_GB2312"/>
          <w:sz w:val="30"/>
          <w:szCs w:val="30"/>
        </w:rPr>
        <w:t xml:space="preserve">    住房保障支出（类）住房改革支出（款）住房公积金（项）年初预算为</w:t>
      </w:r>
      <w:r>
        <w:rPr>
          <w:rFonts w:hint="eastAsia" w:ascii="仿宋_GB2312" w:eastAsia="仿宋_GB2312" w:cs="仿宋_GB2312"/>
          <w:sz w:val="30"/>
          <w:szCs w:val="30"/>
          <w:lang w:val="en-US" w:eastAsia="zh-CN"/>
        </w:rPr>
        <w:t>1730220.00</w:t>
      </w:r>
      <w:r>
        <w:rPr>
          <w:rFonts w:hint="eastAsia" w:ascii="仿宋_GB2312" w:eastAsia="仿宋_GB2312" w:cs="仿宋_GB2312"/>
          <w:sz w:val="30"/>
          <w:szCs w:val="30"/>
        </w:rPr>
        <w:t>元，支出决算为1591853.00元，完成年初预算数的</w:t>
      </w:r>
      <w:r>
        <w:rPr>
          <w:rFonts w:hint="eastAsia" w:ascii="仿宋_GB2312" w:eastAsia="仿宋_GB2312" w:cs="仿宋_GB2312"/>
          <w:sz w:val="30"/>
          <w:szCs w:val="30"/>
          <w:lang w:val="en-US" w:eastAsia="zh-CN"/>
        </w:rPr>
        <w:t>92.00</w:t>
      </w:r>
      <w:r>
        <w:rPr>
          <w:rFonts w:hint="eastAsia" w:ascii="仿宋_GB2312" w:eastAsia="仿宋_GB2312" w:cs="仿宋_GB2312"/>
          <w:sz w:val="30"/>
          <w:szCs w:val="30"/>
        </w:rPr>
        <w:t>%，决算数小于年初预算数的主要原因是</w:t>
      </w:r>
      <w:r>
        <w:rPr>
          <w:rFonts w:hint="eastAsia" w:ascii="仿宋_GB2312" w:eastAsia="仿宋_GB2312" w:cs="仿宋_GB2312"/>
          <w:sz w:val="30"/>
          <w:szCs w:val="30"/>
          <w:lang w:eastAsia="zh-CN"/>
        </w:rPr>
        <w:t>按照实际发生列支</w:t>
      </w:r>
      <w:r>
        <w:rPr>
          <w:rFonts w:hint="eastAsia" w:ascii="仿宋_GB2312" w:eastAsia="仿宋_GB2312" w:cs="仿宋_GB2312"/>
          <w:sz w:val="30"/>
          <w:szCs w:val="30"/>
        </w:rPr>
        <w:t>。</w:t>
      </w:r>
    </w:p>
    <w:p>
      <w:pPr>
        <w:pStyle w:val="3"/>
        <w:spacing w:before="0" w:after="0" w:line="600" w:lineRule="exact"/>
        <w:ind w:firstLine="600" w:firstLineChars="200"/>
        <w:rPr>
          <w:rFonts w:ascii="黑体" w:hAnsi="黑体" w:eastAsia="黑体"/>
          <w:b w:val="0"/>
          <w:sz w:val="30"/>
          <w:szCs w:val="30"/>
        </w:rPr>
      </w:pPr>
      <w:bookmarkStart w:id="22" w:name="_Toc10721"/>
      <w:r>
        <w:rPr>
          <w:rFonts w:ascii="黑体" w:hAnsi="黑体" w:eastAsia="黑体"/>
          <w:b w:val="0"/>
          <w:sz w:val="30"/>
          <w:szCs w:val="30"/>
        </w:rPr>
        <w:t>六、一般公共预算财政拨款基本支出决算情况</w:t>
      </w:r>
      <w:r>
        <w:rPr>
          <w:rFonts w:hint="eastAsia" w:ascii="黑体" w:hAnsi="黑体" w:eastAsia="黑体"/>
          <w:b w:val="0"/>
          <w:sz w:val="30"/>
          <w:szCs w:val="30"/>
        </w:rPr>
        <w:t>说明</w:t>
      </w:r>
      <w:bookmarkEnd w:id="22"/>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天津市津南区北闸口镇人民政府(本级)2022年度一般公共预算财政拨款基本支出合计40866917.56元，与2021年度相比增加950958.34元，主要原因是</w:t>
      </w:r>
      <w:r>
        <w:rPr>
          <w:rFonts w:hint="eastAsia" w:ascii="仿宋_GB2312" w:eastAsia="仿宋_GB2312" w:cs="仿宋_GB2312"/>
          <w:sz w:val="30"/>
          <w:szCs w:val="30"/>
          <w:lang w:eastAsia="zh-CN"/>
        </w:rPr>
        <w:t>人员增加，人员经费有所调整</w:t>
      </w:r>
      <w:r>
        <w:rPr>
          <w:rFonts w:hint="eastAsia" w:ascii="仿宋_GB2312" w:eastAsia="仿宋_GB2312" w:cs="仿宋_GB2312"/>
          <w:sz w:val="30"/>
          <w:szCs w:val="30"/>
          <w:u w:val="none"/>
          <w:lang w:eastAsia="zh-CN"/>
        </w:rPr>
        <w:t>。</w:t>
      </w:r>
      <w:r>
        <w:rPr>
          <w:rFonts w:hint="eastAsia" w:ascii="仿宋_GB2312" w:eastAsia="仿宋_GB2312" w:cs="仿宋_GB2312"/>
          <w:sz w:val="30"/>
          <w:szCs w:val="30"/>
        </w:rPr>
        <w:t>其中：</w:t>
      </w:r>
      <w:r>
        <w:rPr>
          <w:rFonts w:hint="eastAsia" w:ascii="仿宋_GB2312" w:eastAsia="仿宋_GB2312" w:cs="仿宋_GB2312"/>
          <w:sz w:val="30"/>
          <w:szCs w:val="30"/>
        </w:rPr>
        <w:br w:type="textWrapping"/>
      </w:r>
      <w:r>
        <w:rPr>
          <w:rFonts w:hint="eastAsia" w:ascii="仿宋_GB2312" w:eastAsia="仿宋_GB2312" w:cs="仿宋_GB2312"/>
          <w:sz w:val="30"/>
          <w:szCs w:val="30"/>
        </w:rPr>
        <w:t>　　人员经费36056635.46元，主要包括基本工资、津贴补贴、奖金、绩效工资、机关事业单位养老保险缴费、职业年金缴费、职工基本医疗保险缴费、公务员医疗补助缴费、其他社会保障缴费、住房公积金、其他工资福利支出、退休费、抚恤金、生活补助；</w:t>
      </w:r>
      <w:r>
        <w:rPr>
          <w:rFonts w:hint="eastAsia" w:ascii="仿宋_GB2312" w:eastAsia="仿宋_GB2312" w:cs="仿宋_GB2312"/>
          <w:sz w:val="30"/>
          <w:szCs w:val="30"/>
        </w:rPr>
        <w:br w:type="textWrapping"/>
      </w:r>
      <w:r>
        <w:rPr>
          <w:rFonts w:hint="eastAsia" w:ascii="仿宋_GB2312" w:eastAsia="仿宋_GB2312" w:cs="仿宋_GB2312"/>
          <w:sz w:val="30"/>
          <w:szCs w:val="30"/>
        </w:rPr>
        <w:t>　　公用经费4810282.10元，主要包括办公费、手续费、水费、电费、邮电费、物业管理费、差旅费、维修（护）费、委托物业费、工会经费、福利费、公务用车运行维护费、其他交通费用、办公设备购置。</w:t>
      </w:r>
    </w:p>
    <w:p>
      <w:pPr>
        <w:pStyle w:val="3"/>
        <w:spacing w:before="0" w:after="0" w:line="600" w:lineRule="exact"/>
        <w:ind w:firstLine="600" w:firstLineChars="200"/>
        <w:rPr>
          <w:rFonts w:ascii="楷体" w:hAnsi="楷体" w:eastAsia="楷体" w:cs="仿宋_GB2312"/>
          <w:b w:val="0"/>
          <w:sz w:val="30"/>
          <w:szCs w:val="30"/>
        </w:rPr>
      </w:pPr>
      <w:bookmarkStart w:id="23" w:name="_Toc17918"/>
      <w:r>
        <w:rPr>
          <w:rFonts w:hint="eastAsia" w:ascii="黑体" w:hAnsi="黑体" w:eastAsia="黑体"/>
          <w:b w:val="0"/>
          <w:sz w:val="30"/>
          <w:szCs w:val="30"/>
        </w:rPr>
        <w:t>七</w:t>
      </w:r>
      <w:r>
        <w:rPr>
          <w:rFonts w:ascii="黑体" w:hAnsi="黑体" w:eastAsia="黑体"/>
          <w:b w:val="0"/>
          <w:sz w:val="30"/>
          <w:szCs w:val="30"/>
        </w:rPr>
        <w:t>、政府性基金预算财政拨款</w:t>
      </w:r>
      <w:r>
        <w:rPr>
          <w:rFonts w:hint="eastAsia" w:ascii="黑体" w:hAnsi="黑体" w:eastAsia="黑体"/>
          <w:b w:val="0"/>
          <w:sz w:val="30"/>
          <w:szCs w:val="30"/>
        </w:rPr>
        <w:t>收支决算</w:t>
      </w:r>
      <w:r>
        <w:rPr>
          <w:rFonts w:ascii="黑体" w:hAnsi="黑体" w:eastAsia="黑体"/>
          <w:b w:val="0"/>
          <w:sz w:val="30"/>
          <w:szCs w:val="30"/>
        </w:rPr>
        <w:t>情况</w:t>
      </w:r>
      <w:r>
        <w:rPr>
          <w:rFonts w:hint="eastAsia" w:ascii="黑体" w:hAnsi="黑体" w:eastAsia="黑体"/>
          <w:b w:val="0"/>
          <w:bCs w:val="0"/>
          <w:sz w:val="30"/>
          <w:szCs w:val="30"/>
        </w:rPr>
        <w:t>说明</w:t>
      </w:r>
      <w:bookmarkEnd w:id="23"/>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天津市津南区北闸口镇人民政府(本级)2022年度政府性基金预算财政拨款年初结转和结余0.00元，收入537066619.00元，支出537066619.00元，年末结转和结余0.00元。与2021年度相比，政府性基金预算财政拨款支出增加536975431.00元，增长588866.33%，主要原因是</w:t>
      </w:r>
      <w:r>
        <w:rPr>
          <w:rFonts w:hint="eastAsia" w:ascii="仿宋_GB2312" w:eastAsia="仿宋_GB2312" w:cs="仿宋_GB2312"/>
          <w:sz w:val="30"/>
          <w:szCs w:val="30"/>
          <w:lang w:eastAsia="zh-CN"/>
        </w:rPr>
        <w:t>本年按照区级主管部门要求安排政府性基金项目：海河工业区北闸口拓展区基础设施建设工程项目</w:t>
      </w:r>
      <w:r>
        <w:rPr>
          <w:rFonts w:hint="eastAsia" w:ascii="仿宋_GB2312" w:eastAsia="仿宋_GB2312" w:cs="仿宋_GB2312"/>
          <w:sz w:val="30"/>
          <w:szCs w:val="30"/>
        </w:rPr>
        <w:t>。</w:t>
      </w:r>
    </w:p>
    <w:p>
      <w:pPr>
        <w:pStyle w:val="3"/>
        <w:spacing w:before="0" w:after="0" w:line="600" w:lineRule="exact"/>
        <w:ind w:firstLine="600" w:firstLineChars="200"/>
        <w:rPr>
          <w:rFonts w:eastAsia="黑体"/>
          <w:b w:val="0"/>
          <w:sz w:val="30"/>
          <w:szCs w:val="30"/>
        </w:rPr>
      </w:pPr>
      <w:bookmarkStart w:id="24" w:name="_Toc23897"/>
      <w:r>
        <w:rPr>
          <w:rFonts w:hint="eastAsia" w:eastAsia="黑体"/>
          <w:b w:val="0"/>
          <w:sz w:val="30"/>
          <w:szCs w:val="30"/>
        </w:rPr>
        <w:t>八、国有资本经营预算财政拨款收支决算情况</w:t>
      </w:r>
      <w:r>
        <w:rPr>
          <w:rFonts w:hint="eastAsia" w:ascii="黑体" w:hAnsi="黑体" w:eastAsia="黑体"/>
          <w:b w:val="0"/>
          <w:bCs w:val="0"/>
          <w:sz w:val="30"/>
          <w:szCs w:val="30"/>
        </w:rPr>
        <w:t>说明</w:t>
      </w:r>
      <w:bookmarkEnd w:id="24"/>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天津市津南区北闸口镇人民政府(本级)2022年度无国有资本经营预算财政拨款收入、支出和结转结余。</w:t>
      </w:r>
    </w:p>
    <w:p>
      <w:pPr>
        <w:pStyle w:val="3"/>
        <w:spacing w:before="0" w:after="0" w:line="600" w:lineRule="exact"/>
        <w:ind w:firstLine="600" w:firstLineChars="200"/>
        <w:rPr>
          <w:rFonts w:ascii="黑体" w:hAnsi="黑体" w:eastAsia="黑体"/>
          <w:b w:val="0"/>
          <w:sz w:val="30"/>
          <w:szCs w:val="30"/>
        </w:rPr>
      </w:pPr>
      <w:bookmarkStart w:id="25" w:name="_Toc4518"/>
      <w:r>
        <w:rPr>
          <w:rFonts w:hint="eastAsia" w:ascii="黑体" w:hAnsi="黑体" w:eastAsia="黑体"/>
          <w:b w:val="0"/>
          <w:sz w:val="30"/>
          <w:szCs w:val="30"/>
        </w:rPr>
        <w:t>九、</w:t>
      </w:r>
      <w:r>
        <w:rPr>
          <w:rFonts w:ascii="黑体" w:hAnsi="黑体" w:eastAsia="黑体"/>
          <w:b w:val="0"/>
          <w:sz w:val="30"/>
          <w:szCs w:val="30"/>
        </w:rPr>
        <w:t>一般公共预算财政拨款“三公”经费</w:t>
      </w:r>
      <w:r>
        <w:rPr>
          <w:rFonts w:hint="eastAsia" w:ascii="黑体" w:hAnsi="黑体" w:eastAsia="黑体"/>
          <w:b w:val="0"/>
          <w:sz w:val="30"/>
          <w:szCs w:val="30"/>
        </w:rPr>
        <w:t>支出决算</w:t>
      </w:r>
      <w:r>
        <w:rPr>
          <w:rFonts w:ascii="黑体" w:hAnsi="黑体" w:eastAsia="黑体"/>
          <w:b w:val="0"/>
          <w:sz w:val="30"/>
          <w:szCs w:val="30"/>
        </w:rPr>
        <w:t>情况</w:t>
      </w:r>
      <w:r>
        <w:rPr>
          <w:rFonts w:hint="eastAsia" w:ascii="黑体" w:hAnsi="黑体" w:eastAsia="黑体"/>
          <w:b w:val="0"/>
          <w:bCs w:val="0"/>
          <w:sz w:val="30"/>
          <w:szCs w:val="30"/>
        </w:rPr>
        <w:t>说明</w:t>
      </w:r>
      <w:bookmarkEnd w:id="25"/>
    </w:p>
    <w:p>
      <w:pPr>
        <w:spacing w:line="600" w:lineRule="exact"/>
        <w:ind w:firstLine="602" w:firstLineChars="200"/>
        <w:jc w:val="both"/>
        <w:rPr>
          <w:rFonts w:ascii="楷体" w:hAnsi="楷体" w:eastAsia="楷体" w:cs="楷体"/>
          <w:b/>
          <w:bCs/>
          <w:sz w:val="30"/>
          <w:szCs w:val="30"/>
        </w:rPr>
      </w:pPr>
      <w:r>
        <w:rPr>
          <w:rFonts w:hint="eastAsia" w:ascii="楷体" w:hAnsi="楷体" w:eastAsia="楷体" w:cs="楷体"/>
          <w:b/>
          <w:bCs/>
          <w:sz w:val="30"/>
          <w:szCs w:val="30"/>
        </w:rPr>
        <w:t>（一）总体情况</w:t>
      </w:r>
    </w:p>
    <w:p>
      <w:pPr>
        <w:spacing w:line="600" w:lineRule="exact"/>
        <w:ind w:firstLine="645"/>
        <w:jc w:val="both"/>
        <w:rPr>
          <w:rFonts w:ascii="仿宋_GB2312" w:eastAsia="仿宋_GB2312" w:cs="仿宋_GB2312"/>
          <w:sz w:val="30"/>
          <w:szCs w:val="30"/>
        </w:rPr>
      </w:pPr>
      <w:r>
        <w:rPr>
          <w:rFonts w:hint="eastAsia" w:eastAsia="楷体"/>
          <w:sz w:val="30"/>
          <w:szCs w:val="30"/>
        </w:rPr>
        <w:t>2022</w:t>
      </w:r>
      <w:r>
        <w:rPr>
          <w:rFonts w:hint="eastAsia" w:ascii="仿宋_GB2312" w:eastAsia="仿宋_GB2312" w:cs="仿宋_GB2312"/>
          <w:sz w:val="30"/>
          <w:szCs w:val="30"/>
        </w:rPr>
        <w:t>年一般公共预算财政拨款“三公”经费预算113547.05元，支出决算113547.05元（去年同期98084.18元），支出决算与</w:t>
      </w:r>
      <w:r>
        <w:rPr>
          <w:rFonts w:hint="eastAsia" w:eastAsia="楷体"/>
          <w:sz w:val="30"/>
          <w:szCs w:val="30"/>
        </w:rPr>
        <w:t>2022</w:t>
      </w:r>
      <w:r>
        <w:rPr>
          <w:rFonts w:hint="eastAsia" w:ascii="仿宋_GB2312" w:eastAsia="仿宋_GB2312" w:cs="仿宋_GB2312"/>
          <w:sz w:val="30"/>
          <w:szCs w:val="30"/>
        </w:rPr>
        <w:t>年预算相比</w:t>
      </w:r>
      <w:r>
        <w:rPr>
          <w:rFonts w:hint="eastAsia" w:ascii="仿宋_GB2312" w:eastAsia="仿宋_GB2312" w:cs="仿宋_GB2312"/>
          <w:sz w:val="30"/>
          <w:szCs w:val="30"/>
          <w:lang w:eastAsia="zh-CN"/>
        </w:rPr>
        <w:t>完成预算的</w:t>
      </w:r>
      <w:r>
        <w:rPr>
          <w:rFonts w:hint="eastAsia" w:ascii="仿宋_GB2312" w:eastAsia="仿宋_GB2312" w:cs="仿宋_GB2312"/>
          <w:sz w:val="30"/>
          <w:szCs w:val="30"/>
          <w:lang w:val="en-US" w:eastAsia="zh-CN"/>
        </w:rPr>
        <w:t>100</w:t>
      </w:r>
      <w:r>
        <w:rPr>
          <w:rFonts w:hint="eastAsia" w:ascii="仿宋_GB2312" w:eastAsia="仿宋_GB2312" w:cs="仿宋_GB2312"/>
          <w:sz w:val="30"/>
          <w:szCs w:val="30"/>
        </w:rPr>
        <w:t>%；支出决算较上年增加15462.87元，增长15.76%。决算数较上年增加的主要原因是按照实际缴费列支。</w:t>
      </w:r>
    </w:p>
    <w:p>
      <w:pPr>
        <w:spacing w:line="600" w:lineRule="exact"/>
        <w:ind w:firstLine="602" w:firstLineChars="200"/>
        <w:jc w:val="both"/>
        <w:rPr>
          <w:rFonts w:ascii="楷体" w:hAnsi="楷体" w:eastAsia="楷体" w:cs="楷体"/>
          <w:b/>
          <w:bCs/>
          <w:sz w:val="30"/>
          <w:szCs w:val="30"/>
        </w:rPr>
      </w:pPr>
      <w:r>
        <w:rPr>
          <w:rFonts w:hint="eastAsia" w:ascii="楷体" w:hAnsi="楷体" w:eastAsia="楷体" w:cs="楷体"/>
          <w:b/>
          <w:bCs/>
          <w:sz w:val="30"/>
          <w:szCs w:val="30"/>
        </w:rPr>
        <w:t>（二）具体情况</w:t>
      </w:r>
    </w:p>
    <w:p>
      <w:pPr>
        <w:spacing w:line="600" w:lineRule="exact"/>
        <w:ind w:firstLine="600" w:firstLineChars="200"/>
        <w:jc w:val="both"/>
        <w:rPr>
          <w:rFonts w:eastAsia="仿宋_GB2312"/>
          <w:sz w:val="30"/>
          <w:szCs w:val="30"/>
        </w:rPr>
      </w:pPr>
      <w:r>
        <w:rPr>
          <w:rFonts w:hint="eastAsia" w:eastAsia="仿宋_GB2312"/>
          <w:sz w:val="30"/>
          <w:szCs w:val="30"/>
        </w:rPr>
        <w:t>1.</w:t>
      </w:r>
      <w:r>
        <w:rPr>
          <w:rFonts w:hint="eastAsia" w:ascii="仿宋_GB2312" w:eastAsia="仿宋_GB2312" w:cs="仿宋_GB2312"/>
          <w:sz w:val="30"/>
          <w:szCs w:val="30"/>
        </w:rPr>
        <w:t>因公出国（境）费预算0.00元，支出决算0.00元（去年同期0.00元），支出决算与预算相比持平；支出决算较上年持平。</w:t>
      </w:r>
      <w:r>
        <w:rPr>
          <w:rFonts w:ascii="仿宋_GB2312" w:eastAsia="仿宋_GB2312" w:cs="仿宋_GB2312"/>
          <w:sz w:val="30"/>
          <w:szCs w:val="30"/>
        </w:rPr>
        <w:t>因本年及去年同期均未使用一般公共预算财政拨款列支“因公出国（境）”经费，故本年支出决算与本年预算、上年支出决算均持平为0。2022</w:t>
      </w:r>
      <w:r>
        <w:rPr>
          <w:rFonts w:hint="eastAsia" w:ascii="仿宋_GB2312" w:eastAsia="仿宋_GB2312" w:cs="仿宋_GB2312"/>
          <w:sz w:val="30"/>
          <w:szCs w:val="30"/>
        </w:rPr>
        <w:t>年本单位组织的出国团组0个，出国0人次。</w:t>
      </w:r>
    </w:p>
    <w:p>
      <w:pPr>
        <w:spacing w:line="600" w:lineRule="exact"/>
        <w:ind w:firstLine="600" w:firstLineChars="200"/>
        <w:jc w:val="both"/>
        <w:rPr>
          <w:rFonts w:eastAsia="仿宋_GB2312"/>
          <w:sz w:val="30"/>
          <w:szCs w:val="30"/>
        </w:rPr>
      </w:pPr>
      <w:r>
        <w:rPr>
          <w:rFonts w:hint="eastAsia" w:eastAsia="仿宋_GB2312"/>
          <w:sz w:val="30"/>
          <w:szCs w:val="30"/>
        </w:rPr>
        <w:t>2.</w:t>
      </w:r>
      <w:r>
        <w:rPr>
          <w:rFonts w:hint="eastAsia" w:ascii="仿宋_GB2312" w:eastAsia="仿宋_GB2312" w:cs="仿宋_GB2312"/>
          <w:sz w:val="30"/>
          <w:szCs w:val="30"/>
        </w:rPr>
        <w:t>公务用车购置及运行维护费预算113547.05元，支出决算113547.05元（去年同期98084.18元），支出决算与</w:t>
      </w:r>
      <w:r>
        <w:rPr>
          <w:rFonts w:hint="eastAsia" w:eastAsia="楷体"/>
          <w:sz w:val="30"/>
          <w:szCs w:val="30"/>
        </w:rPr>
        <w:t>2022</w:t>
      </w:r>
      <w:r>
        <w:rPr>
          <w:rFonts w:hint="eastAsia" w:ascii="仿宋_GB2312" w:eastAsia="仿宋_GB2312" w:cs="仿宋_GB2312"/>
          <w:sz w:val="30"/>
          <w:szCs w:val="30"/>
        </w:rPr>
        <w:t>年预算相比</w:t>
      </w:r>
      <w:r>
        <w:rPr>
          <w:rFonts w:hint="eastAsia" w:ascii="仿宋_GB2312" w:eastAsia="仿宋_GB2312" w:cs="仿宋_GB2312"/>
          <w:sz w:val="30"/>
          <w:szCs w:val="30"/>
          <w:lang w:eastAsia="zh-CN"/>
        </w:rPr>
        <w:t>完成预算的</w:t>
      </w:r>
      <w:r>
        <w:rPr>
          <w:rFonts w:hint="eastAsia" w:ascii="仿宋_GB2312" w:eastAsia="仿宋_GB2312" w:cs="仿宋_GB2312"/>
          <w:sz w:val="30"/>
          <w:szCs w:val="30"/>
          <w:lang w:val="en-US" w:eastAsia="zh-CN"/>
        </w:rPr>
        <w:t>100</w:t>
      </w:r>
      <w:r>
        <w:rPr>
          <w:rFonts w:hint="eastAsia" w:ascii="仿宋_GB2312" w:eastAsia="仿宋_GB2312" w:cs="仿宋_GB2312"/>
          <w:sz w:val="30"/>
          <w:szCs w:val="30"/>
        </w:rPr>
        <w:t>%；支出决算较上年增加15462.87元，增长15.76%。其中：</w:t>
      </w:r>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公务用车运行维护费预算113547.05元，支出决算113547.05元（去年同期98084.18元），支出决算与</w:t>
      </w:r>
      <w:r>
        <w:rPr>
          <w:rFonts w:hint="eastAsia" w:eastAsia="楷体"/>
          <w:sz w:val="30"/>
          <w:szCs w:val="30"/>
        </w:rPr>
        <w:t>2022</w:t>
      </w:r>
      <w:r>
        <w:rPr>
          <w:rFonts w:hint="eastAsia" w:ascii="仿宋_GB2312" w:eastAsia="仿宋_GB2312" w:cs="仿宋_GB2312"/>
          <w:sz w:val="30"/>
          <w:szCs w:val="30"/>
        </w:rPr>
        <w:t>年预算相比</w:t>
      </w:r>
      <w:r>
        <w:rPr>
          <w:rFonts w:hint="eastAsia" w:ascii="仿宋_GB2312" w:eastAsia="仿宋_GB2312" w:cs="仿宋_GB2312"/>
          <w:sz w:val="30"/>
          <w:szCs w:val="30"/>
          <w:lang w:eastAsia="zh-CN"/>
        </w:rPr>
        <w:t>完成预算的</w:t>
      </w:r>
      <w:r>
        <w:rPr>
          <w:rFonts w:hint="eastAsia" w:ascii="仿宋_GB2312" w:eastAsia="仿宋_GB2312" w:cs="仿宋_GB2312"/>
          <w:sz w:val="30"/>
          <w:szCs w:val="30"/>
          <w:lang w:val="en-US" w:eastAsia="zh-CN"/>
        </w:rPr>
        <w:t>100</w:t>
      </w:r>
      <w:r>
        <w:rPr>
          <w:rFonts w:hint="eastAsia" w:ascii="仿宋_GB2312" w:eastAsia="仿宋_GB2312" w:cs="仿宋_GB2312"/>
          <w:sz w:val="30"/>
          <w:szCs w:val="30"/>
        </w:rPr>
        <w:t>%；支出决算较上年增加15462.87元，增长15.76%。决算数较上年增加的主要原因是按照实际缴费列支。</w:t>
      </w:r>
    </w:p>
    <w:p>
      <w:pPr>
        <w:spacing w:line="600" w:lineRule="exact"/>
        <w:jc w:val="both"/>
        <w:rPr>
          <w:rFonts w:eastAsia="仿宋_GB2312"/>
          <w:sz w:val="30"/>
          <w:szCs w:val="30"/>
        </w:rPr>
      </w:pPr>
      <w:bookmarkStart w:id="32" w:name="_GoBack"/>
      <w:bookmarkEnd w:id="32"/>
      <w:r>
        <w:rPr>
          <w:rFonts w:hint="eastAsia" w:ascii="仿宋_GB2312" w:eastAsia="仿宋_GB2312" w:cs="仿宋_GB2312"/>
          <w:sz w:val="30"/>
          <w:szCs w:val="30"/>
        </w:rPr>
        <w:t>截至2022年12月31日，使用</w:t>
      </w:r>
      <w:r>
        <w:rPr>
          <w:rFonts w:hint="eastAsia" w:eastAsia="仿宋_GB2312"/>
          <w:sz w:val="30"/>
          <w:szCs w:val="30"/>
        </w:rPr>
        <w:t>一般公共预算</w:t>
      </w:r>
      <w:r>
        <w:rPr>
          <w:rFonts w:hint="eastAsia" w:ascii="仿宋_GB2312" w:eastAsia="仿宋_GB2312" w:cs="仿宋_GB2312"/>
          <w:sz w:val="30"/>
          <w:szCs w:val="30"/>
        </w:rPr>
        <w:t>财政拨款开支运行维护费的公务用车保有量为5辆。</w:t>
      </w:r>
    </w:p>
    <w:p>
      <w:pPr>
        <w:spacing w:line="600" w:lineRule="exact"/>
        <w:ind w:firstLine="600" w:firstLineChars="200"/>
        <w:jc w:val="both"/>
        <w:rPr>
          <w:rFonts w:eastAsia="仿宋_GB2312"/>
          <w:sz w:val="30"/>
          <w:szCs w:val="30"/>
        </w:rPr>
      </w:pPr>
      <w:r>
        <w:rPr>
          <w:rFonts w:hint="eastAsia" w:ascii="仿宋_GB2312" w:eastAsia="仿宋_GB2312" w:cs="仿宋_GB2312"/>
          <w:sz w:val="30"/>
          <w:szCs w:val="30"/>
        </w:rPr>
        <w:t>公务用车购置费预算0.00元，支出决算0.00元（去年同期</w:t>
      </w:r>
      <w:r>
        <w:rPr>
          <w:rFonts w:hint="eastAsia" w:ascii="仿宋_GB2312" w:eastAsia="仿宋_GB2312" w:cs="仿宋_GB2312"/>
          <w:sz w:val="30"/>
          <w:szCs w:val="30"/>
          <w:lang w:val="en-US" w:eastAsia="zh-CN"/>
        </w:rPr>
        <w:t>0</w:t>
      </w:r>
      <w:r>
        <w:rPr>
          <w:rFonts w:hint="eastAsia" w:ascii="仿宋_GB2312" w:eastAsia="仿宋_GB2312" w:cs="仿宋_GB2312"/>
          <w:sz w:val="30"/>
          <w:szCs w:val="30"/>
        </w:rPr>
        <w:t>.00元），支出决算与预算相比持平；支出决算较上年持平。因本年及去年同期均未使用一般公共预算财政拨款列支“公务用车购置”经费，故本年支出决算与本年预算、上年支出决算均持平为0。2022年购置公务用车0辆。</w:t>
      </w:r>
    </w:p>
    <w:p>
      <w:pPr>
        <w:spacing w:line="600" w:lineRule="exact"/>
        <w:ind w:firstLine="645"/>
        <w:jc w:val="both"/>
        <w:rPr>
          <w:rFonts w:eastAsia="仿宋_GB2312" w:cs="仿宋_GB2312"/>
          <w:sz w:val="30"/>
          <w:szCs w:val="30"/>
        </w:rPr>
      </w:pPr>
      <w:r>
        <w:rPr>
          <w:rFonts w:hint="eastAsia" w:eastAsia="仿宋_GB2312"/>
          <w:sz w:val="30"/>
          <w:szCs w:val="30"/>
        </w:rPr>
        <w:t>3.</w:t>
      </w:r>
      <w:r>
        <w:rPr>
          <w:rFonts w:hint="eastAsia" w:ascii="仿宋_GB2312" w:eastAsia="仿宋_GB2312" w:cs="仿宋_GB2312"/>
          <w:sz w:val="30"/>
          <w:szCs w:val="30"/>
        </w:rPr>
        <w:t>公务接待费预算0.00元，支出决算0.00元（去年同期0.00元），支出决算与预算相比持平；支出决算较上年持平。</w:t>
      </w:r>
      <w:r>
        <w:rPr>
          <w:rFonts w:ascii="仿宋_GB2312" w:eastAsia="仿宋_GB2312" w:cs="仿宋_GB2312"/>
          <w:sz w:val="30"/>
          <w:szCs w:val="30"/>
        </w:rPr>
        <w:t>因本年及去年同期均未使用一般公共预算财政拨款列支“公务接待”经费，故本年支出决算与本年预算、上年支出决算均持平为0。2022</w:t>
      </w:r>
      <w:r>
        <w:rPr>
          <w:rFonts w:hint="eastAsia" w:ascii="仿宋_GB2312" w:eastAsia="仿宋_GB2312" w:cs="仿宋_GB2312"/>
          <w:sz w:val="30"/>
          <w:szCs w:val="30"/>
        </w:rPr>
        <w:t>年本单位国内公务接待0批</w:t>
      </w:r>
      <w:r>
        <w:rPr>
          <w:rFonts w:hint="eastAsia" w:eastAsia="仿宋_GB2312" w:cs="仿宋_GB2312"/>
          <w:sz w:val="30"/>
          <w:szCs w:val="30"/>
        </w:rPr>
        <w:t>次，</w:t>
      </w:r>
      <w:r>
        <w:rPr>
          <w:rFonts w:hint="eastAsia" w:ascii="仿宋_GB2312" w:eastAsia="仿宋_GB2312" w:cs="仿宋_GB2312"/>
          <w:sz w:val="30"/>
          <w:szCs w:val="30"/>
        </w:rPr>
        <w:t>0</w:t>
      </w:r>
      <w:r>
        <w:rPr>
          <w:rFonts w:hint="eastAsia" w:eastAsia="仿宋_GB2312" w:cs="仿宋_GB2312"/>
          <w:sz w:val="30"/>
          <w:szCs w:val="30"/>
        </w:rPr>
        <w:t>人次；其中，外事接待</w:t>
      </w:r>
      <w:r>
        <w:rPr>
          <w:rFonts w:hint="eastAsia" w:ascii="仿宋_GB2312" w:eastAsia="仿宋_GB2312" w:cs="仿宋_GB2312"/>
          <w:sz w:val="30"/>
          <w:szCs w:val="30"/>
        </w:rPr>
        <w:t>0</w:t>
      </w:r>
      <w:r>
        <w:rPr>
          <w:rFonts w:hint="eastAsia" w:eastAsia="仿宋_GB2312" w:cs="仿宋_GB2312"/>
          <w:sz w:val="30"/>
          <w:szCs w:val="30"/>
        </w:rPr>
        <w:t>批次，</w:t>
      </w:r>
      <w:r>
        <w:rPr>
          <w:rFonts w:hint="eastAsia" w:ascii="仿宋_GB2312" w:eastAsia="仿宋_GB2312" w:cs="仿宋_GB2312"/>
          <w:sz w:val="30"/>
          <w:szCs w:val="30"/>
        </w:rPr>
        <w:t>0</w:t>
      </w:r>
      <w:r>
        <w:rPr>
          <w:rFonts w:hint="eastAsia" w:eastAsia="仿宋_GB2312" w:cs="仿宋_GB2312"/>
          <w:sz w:val="30"/>
          <w:szCs w:val="30"/>
        </w:rPr>
        <w:t>人次。</w:t>
      </w:r>
    </w:p>
    <w:p>
      <w:pPr>
        <w:pStyle w:val="3"/>
        <w:spacing w:before="0" w:after="0" w:line="600" w:lineRule="exact"/>
        <w:ind w:firstLine="600" w:firstLineChars="200"/>
        <w:rPr>
          <w:rFonts w:ascii="黑体" w:hAnsi="黑体" w:eastAsia="黑体"/>
          <w:b w:val="0"/>
          <w:sz w:val="30"/>
          <w:szCs w:val="30"/>
        </w:rPr>
      </w:pPr>
      <w:bookmarkStart w:id="26" w:name="_Toc3411"/>
      <w:r>
        <w:rPr>
          <w:rFonts w:hint="eastAsia" w:ascii="黑体" w:hAnsi="黑体" w:eastAsia="黑体"/>
          <w:b w:val="0"/>
          <w:sz w:val="30"/>
          <w:szCs w:val="30"/>
        </w:rPr>
        <w:t>十、</w:t>
      </w:r>
      <w:r>
        <w:rPr>
          <w:rFonts w:ascii="黑体" w:hAnsi="黑体" w:eastAsia="黑体"/>
          <w:b w:val="0"/>
          <w:sz w:val="30"/>
          <w:szCs w:val="30"/>
        </w:rPr>
        <w:t>机关运行经费</w:t>
      </w:r>
      <w:r>
        <w:rPr>
          <w:rFonts w:hint="eastAsia" w:ascii="黑体" w:hAnsi="黑体" w:eastAsia="黑体"/>
          <w:b w:val="0"/>
          <w:sz w:val="30"/>
          <w:szCs w:val="30"/>
        </w:rPr>
        <w:t>支出情况</w:t>
      </w:r>
      <w:r>
        <w:rPr>
          <w:rFonts w:hint="eastAsia" w:ascii="黑体" w:hAnsi="黑体" w:eastAsia="黑体"/>
          <w:b w:val="0"/>
          <w:bCs w:val="0"/>
          <w:sz w:val="30"/>
          <w:szCs w:val="30"/>
        </w:rPr>
        <w:t>说明</w:t>
      </w:r>
      <w:bookmarkEnd w:id="26"/>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机关运行经费是指行政单位和参照公务员法管理的事业单位使用一般公共预算财政拨款安排的基本支出中的日常公用经费支出，天津市津南区北闸口镇人民政府(本级)2022年度机关运行经费决算数4810282.10元，比2021年减少943179.53元，下降16.39%，主要原因是</w:t>
      </w:r>
      <w:r>
        <w:rPr>
          <w:rFonts w:hint="eastAsia" w:ascii="仿宋_GB2312" w:eastAsia="仿宋_GB2312" w:cs="仿宋_GB2312"/>
          <w:sz w:val="30"/>
          <w:szCs w:val="30"/>
          <w:lang w:eastAsia="zh-CN"/>
        </w:rPr>
        <w:t>按照政策要求，厉行节约，缩减开支</w:t>
      </w:r>
      <w:r>
        <w:rPr>
          <w:rFonts w:hint="eastAsia" w:ascii="仿宋_GB2312" w:eastAsia="仿宋_GB2312" w:cs="仿宋_GB2312"/>
          <w:sz w:val="30"/>
          <w:szCs w:val="30"/>
        </w:rPr>
        <w:t>。</w:t>
      </w:r>
    </w:p>
    <w:p>
      <w:pPr>
        <w:pStyle w:val="3"/>
        <w:spacing w:before="0" w:after="0" w:line="600" w:lineRule="exact"/>
        <w:ind w:firstLine="600" w:firstLineChars="200"/>
        <w:rPr>
          <w:rFonts w:ascii="黑体" w:hAnsi="黑体" w:eastAsia="黑体"/>
          <w:b w:val="0"/>
          <w:sz w:val="30"/>
          <w:szCs w:val="30"/>
        </w:rPr>
      </w:pPr>
      <w:bookmarkStart w:id="27" w:name="_Toc31102"/>
      <w:r>
        <w:rPr>
          <w:rFonts w:hint="eastAsia" w:ascii="黑体" w:hAnsi="黑体" w:eastAsia="黑体"/>
          <w:b w:val="0"/>
          <w:sz w:val="30"/>
          <w:szCs w:val="30"/>
        </w:rPr>
        <w:t>十一、</w:t>
      </w:r>
      <w:r>
        <w:rPr>
          <w:rFonts w:ascii="黑体" w:hAnsi="黑体" w:eastAsia="黑体"/>
          <w:b w:val="0"/>
          <w:sz w:val="30"/>
          <w:szCs w:val="30"/>
        </w:rPr>
        <w:t>政府采购</w:t>
      </w:r>
      <w:r>
        <w:rPr>
          <w:rFonts w:hint="eastAsia" w:ascii="黑体" w:hAnsi="黑体" w:eastAsia="黑体"/>
          <w:b w:val="0"/>
          <w:sz w:val="30"/>
          <w:szCs w:val="30"/>
        </w:rPr>
        <w:t>支出</w:t>
      </w:r>
      <w:r>
        <w:rPr>
          <w:rFonts w:ascii="黑体" w:hAnsi="黑体" w:eastAsia="黑体"/>
          <w:b w:val="0"/>
          <w:sz w:val="30"/>
          <w:szCs w:val="30"/>
        </w:rPr>
        <w:t>情况</w:t>
      </w:r>
      <w:r>
        <w:rPr>
          <w:rFonts w:hint="eastAsia" w:ascii="黑体" w:hAnsi="黑体" w:eastAsia="黑体"/>
          <w:b w:val="0"/>
          <w:bCs w:val="0"/>
          <w:sz w:val="30"/>
          <w:szCs w:val="30"/>
        </w:rPr>
        <w:t>说明</w:t>
      </w:r>
      <w:bookmarkEnd w:id="27"/>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天津市津南区北闸口镇人民政府(本级)2022年政府采购支出总额31546424.07元，其中：政府采购货物支出780253.00元、政府采购工程支出1011738.00元、政府采购服务支出29754433.07元。授予中小企业合同金额25354287.00元，占政府采购支出总额的80.37%，其中：授予小微企业合同金额25354287.00元，占政府采购支出总额的80.37%；货物采购授予中小企业合同金额占货物支出金额的</w:t>
      </w:r>
      <w:r>
        <w:rPr>
          <w:rFonts w:hint="eastAsia" w:ascii="仿宋_GB2312" w:eastAsia="仿宋_GB2312" w:cs="仿宋_GB2312"/>
          <w:sz w:val="30"/>
          <w:szCs w:val="30"/>
          <w:lang w:val="en-US" w:eastAsia="zh-CN"/>
        </w:rPr>
        <w:t>100%</w:t>
      </w:r>
      <w:r>
        <w:rPr>
          <w:rFonts w:hint="eastAsia" w:ascii="仿宋_GB2312" w:eastAsia="仿宋_GB2312" w:cs="仿宋_GB2312"/>
          <w:sz w:val="30"/>
          <w:szCs w:val="30"/>
        </w:rPr>
        <w:t>，工程采购授予中小企业合同金额占工程支出金额的</w:t>
      </w:r>
      <w:r>
        <w:rPr>
          <w:rFonts w:hint="eastAsia" w:ascii="仿宋_GB2312" w:eastAsia="仿宋_GB2312" w:cs="仿宋_GB2312"/>
          <w:sz w:val="30"/>
          <w:szCs w:val="30"/>
          <w:lang w:val="en-US" w:eastAsia="zh-CN"/>
        </w:rPr>
        <w:t>100.00%</w:t>
      </w:r>
      <w:r>
        <w:rPr>
          <w:rFonts w:hint="eastAsia" w:ascii="仿宋_GB2312" w:eastAsia="仿宋_GB2312" w:cs="仿宋_GB2312"/>
          <w:sz w:val="30"/>
          <w:szCs w:val="30"/>
        </w:rPr>
        <w:t>，服务采购授予中小企业合同金额占服务支出金额的</w:t>
      </w:r>
      <w:r>
        <w:rPr>
          <w:rFonts w:hint="eastAsia" w:ascii="仿宋_GB2312" w:eastAsia="仿宋_GB2312" w:cs="仿宋_GB2312"/>
          <w:sz w:val="30"/>
          <w:szCs w:val="30"/>
          <w:lang w:val="en-US" w:eastAsia="zh-CN"/>
        </w:rPr>
        <w:t>79.19</w:t>
      </w:r>
      <w:r>
        <w:rPr>
          <w:rFonts w:hint="eastAsia" w:ascii="仿宋_GB2312" w:eastAsia="仿宋_GB2312" w:cs="仿宋_GB2312"/>
          <w:sz w:val="30"/>
          <w:szCs w:val="30"/>
        </w:rPr>
        <w:t>%。</w:t>
      </w:r>
    </w:p>
    <w:p>
      <w:pPr>
        <w:pStyle w:val="3"/>
        <w:spacing w:before="0" w:after="0" w:line="600" w:lineRule="exact"/>
        <w:ind w:firstLine="600" w:firstLineChars="200"/>
        <w:rPr>
          <w:rFonts w:ascii="黑体" w:hAnsi="黑体" w:eastAsia="黑体"/>
          <w:b w:val="0"/>
          <w:sz w:val="30"/>
          <w:szCs w:val="30"/>
        </w:rPr>
      </w:pPr>
      <w:bookmarkStart w:id="28" w:name="_Toc23709"/>
      <w:r>
        <w:rPr>
          <w:rFonts w:hint="eastAsia" w:ascii="黑体" w:hAnsi="黑体" w:eastAsia="黑体"/>
          <w:b w:val="0"/>
          <w:sz w:val="30"/>
          <w:szCs w:val="30"/>
        </w:rPr>
        <w:t>十二、国有资产占有使用情况</w:t>
      </w:r>
      <w:r>
        <w:rPr>
          <w:rFonts w:hint="eastAsia" w:ascii="黑体" w:hAnsi="黑体" w:eastAsia="黑体"/>
          <w:b w:val="0"/>
          <w:bCs w:val="0"/>
          <w:sz w:val="30"/>
          <w:szCs w:val="30"/>
        </w:rPr>
        <w:t>说明</w:t>
      </w:r>
      <w:bookmarkEnd w:id="28"/>
    </w:p>
    <w:p>
      <w:pPr>
        <w:spacing w:line="600" w:lineRule="exact"/>
        <w:ind w:firstLine="645"/>
        <w:jc w:val="both"/>
        <w:rPr>
          <w:rFonts w:ascii="仿宋_GB2312" w:eastAsia="仿宋_GB2312" w:cs="仿宋_GB2312"/>
          <w:sz w:val="30"/>
          <w:szCs w:val="30"/>
        </w:rPr>
      </w:pPr>
      <w:r>
        <w:rPr>
          <w:rFonts w:hint="eastAsia" w:ascii="仿宋_GB2312" w:eastAsia="仿宋_GB2312" w:cs="仿宋_GB2312"/>
          <w:sz w:val="30"/>
          <w:szCs w:val="30"/>
        </w:rPr>
        <w:t>截至2022年12月31日，天津市津南区北闸口镇人民政府(本级)共有车辆26辆，其中：副部（省）级及以上领导用车</w:t>
      </w:r>
      <w:r>
        <w:rPr>
          <w:rFonts w:hint="eastAsia" w:ascii="仿宋_GB2312" w:eastAsia="仿宋_GB2312" w:cs="仿宋_GB2312"/>
          <w:sz w:val="30"/>
          <w:szCs w:val="30"/>
          <w:lang w:val="en-US" w:eastAsia="zh-CN"/>
        </w:rPr>
        <w:t>0</w:t>
      </w:r>
      <w:r>
        <w:rPr>
          <w:rFonts w:hint="eastAsia" w:ascii="仿宋_GB2312" w:eastAsia="仿宋_GB2312" w:cs="仿宋_GB2312"/>
          <w:sz w:val="30"/>
          <w:szCs w:val="30"/>
        </w:rPr>
        <w:t>辆、主要领导干部用车0辆、机要通信车0辆、应急保障用车0辆、执法执勤用车0辆、特种专业技术用车0辆、离退休干部用车0辆、其他用车26辆，其他用车主要包括</w:t>
      </w:r>
      <w:r>
        <w:rPr>
          <w:rFonts w:hint="eastAsia" w:ascii="仿宋_GB2312" w:eastAsia="仿宋_GB2312" w:cs="仿宋_GB2312"/>
          <w:sz w:val="30"/>
          <w:szCs w:val="30"/>
          <w:lang w:eastAsia="zh-CN"/>
        </w:rPr>
        <w:t>市容环卫用车</w:t>
      </w:r>
      <w:r>
        <w:rPr>
          <w:rFonts w:hint="eastAsia" w:ascii="仿宋_GB2312" w:eastAsia="仿宋_GB2312" w:cs="仿宋_GB2312"/>
          <w:sz w:val="30"/>
          <w:szCs w:val="30"/>
        </w:rPr>
        <w:t>。单价100万元以上的专用设备0台（套）。</w:t>
      </w:r>
    </w:p>
    <w:p>
      <w:pPr>
        <w:pStyle w:val="3"/>
        <w:spacing w:before="0" w:after="0" w:line="540" w:lineRule="exact"/>
        <w:ind w:firstLine="600" w:firstLineChars="200"/>
        <w:rPr>
          <w:rFonts w:ascii="黑体" w:hAnsi="黑体" w:eastAsia="黑体"/>
          <w:b w:val="0"/>
          <w:bCs w:val="0"/>
          <w:sz w:val="30"/>
          <w:szCs w:val="30"/>
        </w:rPr>
      </w:pPr>
      <w:bookmarkStart w:id="29" w:name="_Toc11467"/>
      <w:r>
        <w:rPr>
          <w:rFonts w:hint="eastAsia" w:ascii="黑体" w:hAnsi="黑体" w:eastAsia="黑体"/>
          <w:b w:val="0"/>
          <w:bCs w:val="0"/>
          <w:sz w:val="30"/>
          <w:szCs w:val="30"/>
        </w:rPr>
        <w:t>十三、预算绩效情况说明</w:t>
      </w:r>
      <w:bookmarkEnd w:id="29"/>
    </w:p>
    <w:p>
      <w:pPr>
        <w:spacing w:line="600" w:lineRule="exact"/>
        <w:ind w:firstLine="600" w:firstLineChars="200"/>
        <w:jc w:val="both"/>
        <w:rPr>
          <w:rFonts w:eastAsia="仿宋_GB2312"/>
          <w:sz w:val="30"/>
          <w:szCs w:val="30"/>
        </w:rPr>
      </w:pPr>
      <w:r>
        <w:rPr>
          <w:rFonts w:eastAsia="仿宋_GB2312"/>
          <w:sz w:val="30"/>
          <w:szCs w:val="30"/>
        </w:rPr>
        <w:t>根据预算绩效管理要求，</w:t>
      </w:r>
      <w:r>
        <w:rPr>
          <w:rFonts w:hint="eastAsia" w:ascii="仿宋_GB2312" w:eastAsia="仿宋_GB2312" w:cs="仿宋_GB2312"/>
          <w:sz w:val="30"/>
          <w:szCs w:val="30"/>
        </w:rPr>
        <w:t>天津市津南区北闸口镇人民政府(本级)</w:t>
      </w:r>
      <w:r>
        <w:rPr>
          <w:rFonts w:hint="eastAsia" w:eastAsia="楷体"/>
          <w:sz w:val="30"/>
          <w:szCs w:val="30"/>
        </w:rPr>
        <w:t>2022</w:t>
      </w:r>
      <w:r>
        <w:rPr>
          <w:rFonts w:hint="eastAsia" w:ascii="仿宋_GB2312" w:eastAsia="仿宋_GB2312" w:cs="仿宋_GB2312"/>
          <w:sz w:val="30"/>
          <w:szCs w:val="30"/>
        </w:rPr>
        <w:t>年度已</w:t>
      </w:r>
      <w:r>
        <w:rPr>
          <w:rFonts w:hint="eastAsia" w:eastAsia="仿宋_GB2312"/>
          <w:sz w:val="30"/>
          <w:szCs w:val="30"/>
        </w:rPr>
        <w:t>对</w:t>
      </w:r>
      <w:r>
        <w:rPr>
          <w:rFonts w:hint="eastAsia" w:eastAsia="仿宋_GB2312"/>
          <w:sz w:val="30"/>
          <w:szCs w:val="30"/>
          <w:u w:val="none"/>
          <w:lang w:val="en-US" w:eastAsia="zh-CN"/>
        </w:rPr>
        <w:t>52</w:t>
      </w:r>
      <w:r>
        <w:rPr>
          <w:rFonts w:eastAsia="仿宋_GB2312"/>
          <w:sz w:val="30"/>
          <w:szCs w:val="30"/>
        </w:rPr>
        <w:t>个</w:t>
      </w:r>
      <w:r>
        <w:rPr>
          <w:rFonts w:hint="eastAsia" w:eastAsia="仿宋_GB2312"/>
          <w:sz w:val="30"/>
          <w:szCs w:val="30"/>
          <w:lang w:eastAsia="zh-CN"/>
        </w:rPr>
        <w:t>镇</w:t>
      </w:r>
      <w:r>
        <w:rPr>
          <w:rFonts w:hint="eastAsia" w:eastAsia="仿宋_GB2312"/>
          <w:sz w:val="30"/>
          <w:szCs w:val="30"/>
        </w:rPr>
        <w:t>级</w:t>
      </w:r>
      <w:r>
        <w:rPr>
          <w:rFonts w:eastAsia="仿宋_GB2312"/>
          <w:sz w:val="30"/>
          <w:szCs w:val="30"/>
        </w:rPr>
        <w:t>项目开展绩效自评，涉及金额</w:t>
      </w:r>
      <w:r>
        <w:rPr>
          <w:rFonts w:hint="eastAsia" w:eastAsia="仿宋_GB2312"/>
          <w:sz w:val="30"/>
          <w:szCs w:val="30"/>
          <w:u w:val="none"/>
          <w:lang w:val="en-US" w:eastAsia="zh-CN"/>
        </w:rPr>
        <w:t>10491829.65</w:t>
      </w:r>
      <w:r>
        <w:rPr>
          <w:rFonts w:eastAsia="仿宋_GB2312"/>
          <w:sz w:val="30"/>
          <w:szCs w:val="30"/>
        </w:rPr>
        <w:t>元</w:t>
      </w:r>
      <w:r>
        <w:rPr>
          <w:rFonts w:hint="eastAsia" w:eastAsia="仿宋_GB2312"/>
          <w:sz w:val="30"/>
          <w:szCs w:val="30"/>
        </w:rPr>
        <w:t>，自评结果已随部门决算一并公开。</w:t>
      </w:r>
    </w:p>
    <w:p>
      <w:pPr>
        <w:pStyle w:val="3"/>
        <w:spacing w:before="0" w:after="0" w:line="600" w:lineRule="exact"/>
        <w:ind w:firstLine="600" w:firstLineChars="200"/>
        <w:rPr>
          <w:rFonts w:ascii="Times New Roman" w:hAnsi="Times New Roman" w:eastAsia="黑体"/>
          <w:b w:val="0"/>
          <w:sz w:val="30"/>
          <w:szCs w:val="30"/>
        </w:rPr>
      </w:pPr>
      <w:bookmarkStart w:id="30" w:name="_Toc15949"/>
      <w:r>
        <w:rPr>
          <w:rFonts w:hint="eastAsia" w:ascii="Times New Roman" w:hAnsi="Times New Roman" w:eastAsia="黑体"/>
          <w:b w:val="0"/>
          <w:sz w:val="30"/>
          <w:szCs w:val="30"/>
        </w:rPr>
        <w:t>十四、</w:t>
      </w:r>
      <w:r>
        <w:rPr>
          <w:rFonts w:ascii="Times New Roman" w:hAnsi="Times New Roman" w:eastAsia="黑体"/>
          <w:b w:val="0"/>
          <w:sz w:val="30"/>
          <w:szCs w:val="30"/>
        </w:rPr>
        <w:t>教育、医疗卫生、社会保障和就业、住房保障、涉农补贴等民生支出情况</w:t>
      </w:r>
      <w:r>
        <w:rPr>
          <w:rFonts w:hint="eastAsia" w:ascii="黑体" w:hAnsi="黑体" w:eastAsia="黑体"/>
          <w:b w:val="0"/>
          <w:bCs w:val="0"/>
          <w:sz w:val="30"/>
          <w:szCs w:val="30"/>
        </w:rPr>
        <w:t>说明</w:t>
      </w:r>
      <w:bookmarkEnd w:id="30"/>
    </w:p>
    <w:p>
      <w:pPr>
        <w:spacing w:line="600" w:lineRule="exact"/>
        <w:ind w:firstLine="645"/>
        <w:jc w:val="both"/>
        <w:rPr>
          <w:rFonts w:ascii="仿宋_GB2312" w:eastAsia="仿宋_GB2312" w:cs="仿宋_GB2312"/>
          <w:sz w:val="30"/>
          <w:szCs w:val="30"/>
        </w:rPr>
        <w:sectPr>
          <w:pgSz w:w="11906" w:h="16838"/>
          <w:pgMar w:top="1440" w:right="1800" w:bottom="1440" w:left="1800" w:header="851" w:footer="992" w:gutter="0"/>
          <w:cols w:space="720" w:num="1"/>
          <w:docGrid w:type="lines" w:linePitch="312" w:charSpace="0"/>
        </w:sectPr>
      </w:pPr>
      <w:r>
        <w:rPr>
          <w:rFonts w:hint="eastAsia" w:ascii="仿宋_GB2312" w:eastAsia="仿宋_GB2312" w:cs="仿宋_GB2312"/>
          <w:sz w:val="30"/>
          <w:szCs w:val="30"/>
        </w:rPr>
        <w:t>2022年度，天津市津南区北闸口镇人民政府(本级)</w:t>
      </w:r>
      <w:r>
        <w:rPr>
          <w:rFonts w:hint="eastAsia" w:ascii="仿宋_GB2312" w:eastAsia="仿宋_GB2312" w:cs="仿宋_GB2312"/>
          <w:sz w:val="30"/>
          <w:szCs w:val="30"/>
          <w:lang w:eastAsia="zh-CN"/>
        </w:rPr>
        <w:t>无</w:t>
      </w:r>
      <w:r>
        <w:rPr>
          <w:rFonts w:hint="eastAsia" w:ascii="仿宋_GB2312" w:eastAsia="仿宋_GB2312" w:cs="仿宋_GB2312"/>
          <w:sz w:val="30"/>
          <w:szCs w:val="30"/>
        </w:rPr>
        <w:t>教育、医疗卫生、社会保障和就业、住房保障、涉农补贴等民生支出情况。</w:t>
      </w:r>
    </w:p>
    <w:p>
      <w:pPr>
        <w:pStyle w:val="2"/>
        <w:spacing w:before="0" w:after="0" w:line="600" w:lineRule="exact"/>
        <w:jc w:val="center"/>
        <w:rPr>
          <w:rFonts w:ascii="方正小标宋简体" w:hAnsi="方正小标宋简体" w:eastAsia="方正小标宋简体" w:cs="方正小标宋简体"/>
          <w:b w:val="0"/>
        </w:rPr>
      </w:pPr>
      <w:bookmarkStart w:id="31" w:name="_Toc30612"/>
      <w:r>
        <w:rPr>
          <w:rFonts w:hint="eastAsia" w:ascii="方正小标宋简体" w:hAnsi="方正小标宋简体" w:eastAsia="方正小标宋简体" w:cs="方正小标宋简体"/>
          <w:b w:val="0"/>
        </w:rPr>
        <w:t>第四部分  名词解释</w:t>
      </w:r>
      <w:bookmarkEnd w:id="31"/>
    </w:p>
    <w:p>
      <w:pPr>
        <w:spacing w:line="600" w:lineRule="exact"/>
        <w:ind w:firstLine="600" w:firstLineChars="200"/>
        <w:rPr>
          <w:rFonts w:ascii="仿宋_GB2312" w:eastAsia="仿宋_GB2312"/>
          <w:sz w:val="30"/>
          <w:szCs w:val="30"/>
        </w:rPr>
      </w:pPr>
    </w:p>
    <w:p>
      <w:pPr>
        <w:numPr>
          <w:ilvl w:val="0"/>
          <w:numId w:val="3"/>
        </w:numPr>
        <w:spacing w:line="600" w:lineRule="exact"/>
        <w:ind w:firstLine="600" w:firstLineChars="200"/>
        <w:rPr>
          <w:rFonts w:eastAsia="仿宋_GB2312"/>
          <w:sz w:val="30"/>
          <w:szCs w:val="30"/>
        </w:rPr>
      </w:pPr>
      <w:r>
        <w:rPr>
          <w:rFonts w:hint="eastAsia" w:eastAsia="仿宋_GB2312"/>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pPr>
        <w:spacing w:line="600" w:lineRule="exact"/>
        <w:ind w:firstLine="600" w:firstLineChars="200"/>
        <w:rPr>
          <w:rFonts w:eastAsia="仿宋_GB2312"/>
          <w:sz w:val="30"/>
          <w:szCs w:val="30"/>
          <w:highlight w:val="yellow"/>
        </w:rPr>
      </w:pPr>
    </w:p>
    <w:sectPr>
      <w:footerReference r:id="rId9"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3A6DC5"/>
    <w:multiLevelType w:val="singleLevel"/>
    <w:tmpl w:val="403A6DC5"/>
    <w:lvl w:ilvl="0" w:tentative="0">
      <w:start w:val="12"/>
      <w:numFmt w:val="chineseCounting"/>
      <w:suff w:val="nothing"/>
      <w:lvlText w:val="%1、"/>
      <w:lvlJc w:val="left"/>
      <w:rPr>
        <w:rFonts w:hint="eastAsia"/>
      </w:rPr>
    </w:lvl>
  </w:abstractNum>
  <w:abstractNum w:abstractNumId="1">
    <w:nsid w:val="62CB79B7"/>
    <w:multiLevelType w:val="singleLevel"/>
    <w:tmpl w:val="62CB79B7"/>
    <w:lvl w:ilvl="0" w:tentative="0">
      <w:start w:val="3"/>
      <w:numFmt w:val="chineseCounting"/>
      <w:suff w:val="nothing"/>
      <w:lvlText w:val="（%1）"/>
      <w:lvlJc w:val="left"/>
    </w:lvl>
  </w:abstractNum>
  <w:abstractNum w:abstractNumId="2">
    <w:nsid w:val="62CB88B4"/>
    <w:multiLevelType w:val="singleLevel"/>
    <w:tmpl w:val="62CB88B4"/>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ZmJjZTk2ZTkyODk0YjRhYzQ1MWY2MDgzOGJjMDUifQ=="/>
  </w:docVars>
  <w:rsids>
    <w:rsidRoot w:val="00172A27"/>
    <w:rsid w:val="00015911"/>
    <w:rsid w:val="000423B8"/>
    <w:rsid w:val="00046E1C"/>
    <w:rsid w:val="00053901"/>
    <w:rsid w:val="000864BF"/>
    <w:rsid w:val="00092AB8"/>
    <w:rsid w:val="000B4E39"/>
    <w:rsid w:val="00112C55"/>
    <w:rsid w:val="001179AF"/>
    <w:rsid w:val="0012059C"/>
    <w:rsid w:val="00124993"/>
    <w:rsid w:val="0012531C"/>
    <w:rsid w:val="00126E2D"/>
    <w:rsid w:val="00172A27"/>
    <w:rsid w:val="001829A0"/>
    <w:rsid w:val="00186ED8"/>
    <w:rsid w:val="001974AC"/>
    <w:rsid w:val="001F61CD"/>
    <w:rsid w:val="00215444"/>
    <w:rsid w:val="00215EBD"/>
    <w:rsid w:val="00241712"/>
    <w:rsid w:val="002532F7"/>
    <w:rsid w:val="002566ED"/>
    <w:rsid w:val="00257643"/>
    <w:rsid w:val="002912A7"/>
    <w:rsid w:val="002D2BBE"/>
    <w:rsid w:val="002E091E"/>
    <w:rsid w:val="002F00A9"/>
    <w:rsid w:val="003365DD"/>
    <w:rsid w:val="00352CF7"/>
    <w:rsid w:val="003714D5"/>
    <w:rsid w:val="00381206"/>
    <w:rsid w:val="0038216E"/>
    <w:rsid w:val="003942CD"/>
    <w:rsid w:val="003A4529"/>
    <w:rsid w:val="004040D1"/>
    <w:rsid w:val="00432D37"/>
    <w:rsid w:val="0044208E"/>
    <w:rsid w:val="00464079"/>
    <w:rsid w:val="00465602"/>
    <w:rsid w:val="004918AD"/>
    <w:rsid w:val="004A1361"/>
    <w:rsid w:val="0050332F"/>
    <w:rsid w:val="00532C4C"/>
    <w:rsid w:val="00570354"/>
    <w:rsid w:val="005B60DB"/>
    <w:rsid w:val="005C22AF"/>
    <w:rsid w:val="005F2510"/>
    <w:rsid w:val="00676A5E"/>
    <w:rsid w:val="006A54BF"/>
    <w:rsid w:val="006D05B2"/>
    <w:rsid w:val="00722412"/>
    <w:rsid w:val="00727434"/>
    <w:rsid w:val="00734D29"/>
    <w:rsid w:val="0077787E"/>
    <w:rsid w:val="0079348B"/>
    <w:rsid w:val="007A3491"/>
    <w:rsid w:val="007B4B58"/>
    <w:rsid w:val="007B78DD"/>
    <w:rsid w:val="007F3679"/>
    <w:rsid w:val="007F448B"/>
    <w:rsid w:val="007F718E"/>
    <w:rsid w:val="00801B2B"/>
    <w:rsid w:val="0080287C"/>
    <w:rsid w:val="00803B43"/>
    <w:rsid w:val="00817AE2"/>
    <w:rsid w:val="008405C5"/>
    <w:rsid w:val="0085671E"/>
    <w:rsid w:val="00876FA4"/>
    <w:rsid w:val="00893EAC"/>
    <w:rsid w:val="008A6092"/>
    <w:rsid w:val="008C19C3"/>
    <w:rsid w:val="008C3474"/>
    <w:rsid w:val="008C677C"/>
    <w:rsid w:val="008D2605"/>
    <w:rsid w:val="008D64CE"/>
    <w:rsid w:val="008E4334"/>
    <w:rsid w:val="009142B8"/>
    <w:rsid w:val="00915276"/>
    <w:rsid w:val="00936468"/>
    <w:rsid w:val="009371C3"/>
    <w:rsid w:val="00977064"/>
    <w:rsid w:val="0098387F"/>
    <w:rsid w:val="009D4654"/>
    <w:rsid w:val="009E0EF5"/>
    <w:rsid w:val="009F18E1"/>
    <w:rsid w:val="009F6AE0"/>
    <w:rsid w:val="009F712F"/>
    <w:rsid w:val="00A12C57"/>
    <w:rsid w:val="00A557F8"/>
    <w:rsid w:val="00AA676A"/>
    <w:rsid w:val="00B13870"/>
    <w:rsid w:val="00B14558"/>
    <w:rsid w:val="00B17258"/>
    <w:rsid w:val="00B210F5"/>
    <w:rsid w:val="00B53416"/>
    <w:rsid w:val="00B807AE"/>
    <w:rsid w:val="00B83AC4"/>
    <w:rsid w:val="00BA3182"/>
    <w:rsid w:val="00BB0047"/>
    <w:rsid w:val="00BB051A"/>
    <w:rsid w:val="00BD343E"/>
    <w:rsid w:val="00BE682B"/>
    <w:rsid w:val="00C0672E"/>
    <w:rsid w:val="00C33362"/>
    <w:rsid w:val="00C47864"/>
    <w:rsid w:val="00C528B3"/>
    <w:rsid w:val="00C52B2B"/>
    <w:rsid w:val="00C53602"/>
    <w:rsid w:val="00C77332"/>
    <w:rsid w:val="00C83F29"/>
    <w:rsid w:val="00CA5CD5"/>
    <w:rsid w:val="00CE4C80"/>
    <w:rsid w:val="00CE7A0E"/>
    <w:rsid w:val="00CF0671"/>
    <w:rsid w:val="00CF4ADE"/>
    <w:rsid w:val="00D20562"/>
    <w:rsid w:val="00D56FBF"/>
    <w:rsid w:val="00D81609"/>
    <w:rsid w:val="00DA3A83"/>
    <w:rsid w:val="00DB0D2B"/>
    <w:rsid w:val="00DC0D31"/>
    <w:rsid w:val="00E124DF"/>
    <w:rsid w:val="00E21DD7"/>
    <w:rsid w:val="00E4337C"/>
    <w:rsid w:val="00E56EBF"/>
    <w:rsid w:val="00E56F06"/>
    <w:rsid w:val="00E576CC"/>
    <w:rsid w:val="00E8795B"/>
    <w:rsid w:val="00EB277E"/>
    <w:rsid w:val="00EB7B3B"/>
    <w:rsid w:val="00F01373"/>
    <w:rsid w:val="00F14DB8"/>
    <w:rsid w:val="00F3454D"/>
    <w:rsid w:val="00F3737B"/>
    <w:rsid w:val="00F6315A"/>
    <w:rsid w:val="00FF6CDB"/>
    <w:rsid w:val="01582EB3"/>
    <w:rsid w:val="01670A75"/>
    <w:rsid w:val="01D92F4B"/>
    <w:rsid w:val="021D09AE"/>
    <w:rsid w:val="02317CA1"/>
    <w:rsid w:val="02C26D17"/>
    <w:rsid w:val="032B2B72"/>
    <w:rsid w:val="03633F1C"/>
    <w:rsid w:val="03877CF5"/>
    <w:rsid w:val="03971CD2"/>
    <w:rsid w:val="03997587"/>
    <w:rsid w:val="03A73B20"/>
    <w:rsid w:val="03BD5E31"/>
    <w:rsid w:val="04D27C6A"/>
    <w:rsid w:val="04DA6E85"/>
    <w:rsid w:val="04DF6E7C"/>
    <w:rsid w:val="04F80E5A"/>
    <w:rsid w:val="054E0E8D"/>
    <w:rsid w:val="056F4A4A"/>
    <w:rsid w:val="05901C8F"/>
    <w:rsid w:val="059D199E"/>
    <w:rsid w:val="060121F5"/>
    <w:rsid w:val="06516202"/>
    <w:rsid w:val="065A73D7"/>
    <w:rsid w:val="068D56CD"/>
    <w:rsid w:val="068F1656"/>
    <w:rsid w:val="06CE3C39"/>
    <w:rsid w:val="070745F4"/>
    <w:rsid w:val="0750320D"/>
    <w:rsid w:val="080C427F"/>
    <w:rsid w:val="08496DC5"/>
    <w:rsid w:val="08601190"/>
    <w:rsid w:val="08610C17"/>
    <w:rsid w:val="08AB76E6"/>
    <w:rsid w:val="08B17C7F"/>
    <w:rsid w:val="09794F69"/>
    <w:rsid w:val="09AF0FAC"/>
    <w:rsid w:val="09BC7107"/>
    <w:rsid w:val="09C86481"/>
    <w:rsid w:val="09CD6F6A"/>
    <w:rsid w:val="0ABD2EA9"/>
    <w:rsid w:val="0AF02B7A"/>
    <w:rsid w:val="0B0C0657"/>
    <w:rsid w:val="0B2F7E6E"/>
    <w:rsid w:val="0B7057C8"/>
    <w:rsid w:val="0BF51CAC"/>
    <w:rsid w:val="0C327E5C"/>
    <w:rsid w:val="0C475EF7"/>
    <w:rsid w:val="0D0C188A"/>
    <w:rsid w:val="0D66464C"/>
    <w:rsid w:val="0D812109"/>
    <w:rsid w:val="0DCA24E7"/>
    <w:rsid w:val="0E1905E8"/>
    <w:rsid w:val="0E6B081A"/>
    <w:rsid w:val="0E812A35"/>
    <w:rsid w:val="0EB14497"/>
    <w:rsid w:val="0EFE61C3"/>
    <w:rsid w:val="0F3A7BBE"/>
    <w:rsid w:val="0F492922"/>
    <w:rsid w:val="0FB146BC"/>
    <w:rsid w:val="10D0376E"/>
    <w:rsid w:val="11D75F2F"/>
    <w:rsid w:val="11D802DB"/>
    <w:rsid w:val="121401BA"/>
    <w:rsid w:val="122B009F"/>
    <w:rsid w:val="12946208"/>
    <w:rsid w:val="12A42B28"/>
    <w:rsid w:val="132358DE"/>
    <w:rsid w:val="135D03D9"/>
    <w:rsid w:val="13A17616"/>
    <w:rsid w:val="144F5DF3"/>
    <w:rsid w:val="149264E6"/>
    <w:rsid w:val="14A04A70"/>
    <w:rsid w:val="14F31DE2"/>
    <w:rsid w:val="15127621"/>
    <w:rsid w:val="156A2C3E"/>
    <w:rsid w:val="157A3189"/>
    <w:rsid w:val="15E37C52"/>
    <w:rsid w:val="16214456"/>
    <w:rsid w:val="166C264D"/>
    <w:rsid w:val="169221B4"/>
    <w:rsid w:val="16D44AE5"/>
    <w:rsid w:val="16DD496B"/>
    <w:rsid w:val="16EA0A1B"/>
    <w:rsid w:val="17A617C9"/>
    <w:rsid w:val="181D0AF6"/>
    <w:rsid w:val="18E12A26"/>
    <w:rsid w:val="1A2F34CF"/>
    <w:rsid w:val="1B0B6786"/>
    <w:rsid w:val="1BA610B0"/>
    <w:rsid w:val="1BCC4E67"/>
    <w:rsid w:val="1BE24A05"/>
    <w:rsid w:val="1C12375B"/>
    <w:rsid w:val="1C2E1750"/>
    <w:rsid w:val="1C8A5079"/>
    <w:rsid w:val="1D520C3E"/>
    <w:rsid w:val="1DA340AC"/>
    <w:rsid w:val="1E2F4E67"/>
    <w:rsid w:val="1E506972"/>
    <w:rsid w:val="1E8146FC"/>
    <w:rsid w:val="1E9B145E"/>
    <w:rsid w:val="1EC8639D"/>
    <w:rsid w:val="1EC97805"/>
    <w:rsid w:val="1EFB07B0"/>
    <w:rsid w:val="1F122D30"/>
    <w:rsid w:val="1F4E3F44"/>
    <w:rsid w:val="1F6101B7"/>
    <w:rsid w:val="1F7F08C2"/>
    <w:rsid w:val="1FABD71D"/>
    <w:rsid w:val="20505929"/>
    <w:rsid w:val="20705CA1"/>
    <w:rsid w:val="2093268B"/>
    <w:rsid w:val="20FA1B12"/>
    <w:rsid w:val="210A1820"/>
    <w:rsid w:val="212342F9"/>
    <w:rsid w:val="219C6A85"/>
    <w:rsid w:val="21C40721"/>
    <w:rsid w:val="228770CD"/>
    <w:rsid w:val="229946A4"/>
    <w:rsid w:val="22A211C8"/>
    <w:rsid w:val="22F75B35"/>
    <w:rsid w:val="236906A5"/>
    <w:rsid w:val="23BA0D09"/>
    <w:rsid w:val="244C41F3"/>
    <w:rsid w:val="24593BF8"/>
    <w:rsid w:val="24BA0C0F"/>
    <w:rsid w:val="250B61A3"/>
    <w:rsid w:val="259F5563"/>
    <w:rsid w:val="25A662F9"/>
    <w:rsid w:val="25AD749C"/>
    <w:rsid w:val="25AE4162"/>
    <w:rsid w:val="261B2634"/>
    <w:rsid w:val="26872640"/>
    <w:rsid w:val="26C653DA"/>
    <w:rsid w:val="26EC5D21"/>
    <w:rsid w:val="27615821"/>
    <w:rsid w:val="27A13E6E"/>
    <w:rsid w:val="27A644E5"/>
    <w:rsid w:val="28863E70"/>
    <w:rsid w:val="288A6337"/>
    <w:rsid w:val="28994B2A"/>
    <w:rsid w:val="28CD1B01"/>
    <w:rsid w:val="28DB23E5"/>
    <w:rsid w:val="290441D9"/>
    <w:rsid w:val="29196635"/>
    <w:rsid w:val="292E4395"/>
    <w:rsid w:val="29867FF5"/>
    <w:rsid w:val="29C015DB"/>
    <w:rsid w:val="29D72E63"/>
    <w:rsid w:val="29F01BC9"/>
    <w:rsid w:val="2A1248CB"/>
    <w:rsid w:val="2A24302B"/>
    <w:rsid w:val="2A7456B8"/>
    <w:rsid w:val="2A7A65BD"/>
    <w:rsid w:val="2B330D0F"/>
    <w:rsid w:val="2BF65788"/>
    <w:rsid w:val="2C3B01C9"/>
    <w:rsid w:val="2CB024EC"/>
    <w:rsid w:val="2D2B1A30"/>
    <w:rsid w:val="2D4E51DC"/>
    <w:rsid w:val="2D5BB7F4"/>
    <w:rsid w:val="2D6869D3"/>
    <w:rsid w:val="2DA87FE3"/>
    <w:rsid w:val="2DAB1C1C"/>
    <w:rsid w:val="2E6455AA"/>
    <w:rsid w:val="2E6E5875"/>
    <w:rsid w:val="2EAA1E45"/>
    <w:rsid w:val="2EBA2F30"/>
    <w:rsid w:val="2F8573F4"/>
    <w:rsid w:val="2FFC60D8"/>
    <w:rsid w:val="2FFD4B55"/>
    <w:rsid w:val="31F32BCC"/>
    <w:rsid w:val="322D5537"/>
    <w:rsid w:val="32500429"/>
    <w:rsid w:val="32B00783"/>
    <w:rsid w:val="33987EA4"/>
    <w:rsid w:val="33E55770"/>
    <w:rsid w:val="342060B3"/>
    <w:rsid w:val="343041E9"/>
    <w:rsid w:val="343E2C5A"/>
    <w:rsid w:val="347F306A"/>
    <w:rsid w:val="34E404B6"/>
    <w:rsid w:val="353874A5"/>
    <w:rsid w:val="356C4B0F"/>
    <w:rsid w:val="357756D0"/>
    <w:rsid w:val="35F83418"/>
    <w:rsid w:val="35FA3DA7"/>
    <w:rsid w:val="36433E0B"/>
    <w:rsid w:val="3685618C"/>
    <w:rsid w:val="369B027F"/>
    <w:rsid w:val="36DF7E92"/>
    <w:rsid w:val="37210A48"/>
    <w:rsid w:val="37C605ED"/>
    <w:rsid w:val="37EC07D4"/>
    <w:rsid w:val="39054161"/>
    <w:rsid w:val="395157DA"/>
    <w:rsid w:val="39D81DB4"/>
    <w:rsid w:val="39DD1F63"/>
    <w:rsid w:val="39E26971"/>
    <w:rsid w:val="3A875795"/>
    <w:rsid w:val="3B3A6848"/>
    <w:rsid w:val="3B5C22DF"/>
    <w:rsid w:val="3C7702D9"/>
    <w:rsid w:val="3C822FFF"/>
    <w:rsid w:val="3C987755"/>
    <w:rsid w:val="3D1712DB"/>
    <w:rsid w:val="3D6E4CFB"/>
    <w:rsid w:val="3DB948D9"/>
    <w:rsid w:val="3DED19CC"/>
    <w:rsid w:val="3E551C1D"/>
    <w:rsid w:val="3E6D1878"/>
    <w:rsid w:val="3EAA16DD"/>
    <w:rsid w:val="3EE7006C"/>
    <w:rsid w:val="3F043070"/>
    <w:rsid w:val="3F397145"/>
    <w:rsid w:val="3FBF6165"/>
    <w:rsid w:val="3FC90D08"/>
    <w:rsid w:val="40093B12"/>
    <w:rsid w:val="41325866"/>
    <w:rsid w:val="419141BF"/>
    <w:rsid w:val="41C515FE"/>
    <w:rsid w:val="41DC205F"/>
    <w:rsid w:val="41F26234"/>
    <w:rsid w:val="42520B3E"/>
    <w:rsid w:val="42955F29"/>
    <w:rsid w:val="42C52D12"/>
    <w:rsid w:val="42EA0B90"/>
    <w:rsid w:val="436E1D48"/>
    <w:rsid w:val="442221E6"/>
    <w:rsid w:val="44FC0AD9"/>
    <w:rsid w:val="45C66F5A"/>
    <w:rsid w:val="464311BD"/>
    <w:rsid w:val="46762869"/>
    <w:rsid w:val="46800ECA"/>
    <w:rsid w:val="46D11EDF"/>
    <w:rsid w:val="46D65DFF"/>
    <w:rsid w:val="46ED43C8"/>
    <w:rsid w:val="47655748"/>
    <w:rsid w:val="481F5D29"/>
    <w:rsid w:val="485B08F6"/>
    <w:rsid w:val="48E65506"/>
    <w:rsid w:val="48FA2E41"/>
    <w:rsid w:val="49A95325"/>
    <w:rsid w:val="49B26D3A"/>
    <w:rsid w:val="49C60D15"/>
    <w:rsid w:val="49EE18E7"/>
    <w:rsid w:val="49F3676E"/>
    <w:rsid w:val="4A832BA7"/>
    <w:rsid w:val="4C72500A"/>
    <w:rsid w:val="4CE11EF1"/>
    <w:rsid w:val="4E470451"/>
    <w:rsid w:val="4E5A4E46"/>
    <w:rsid w:val="4E776E4B"/>
    <w:rsid w:val="4EBE5040"/>
    <w:rsid w:val="4EC635D4"/>
    <w:rsid w:val="4EF42DDE"/>
    <w:rsid w:val="4F021DFD"/>
    <w:rsid w:val="4F2C4AEA"/>
    <w:rsid w:val="4F4E29DD"/>
    <w:rsid w:val="4FA93361"/>
    <w:rsid w:val="4FE63299"/>
    <w:rsid w:val="50491464"/>
    <w:rsid w:val="50EB4351"/>
    <w:rsid w:val="513E3E14"/>
    <w:rsid w:val="516E5D30"/>
    <w:rsid w:val="519A61B8"/>
    <w:rsid w:val="529328AD"/>
    <w:rsid w:val="52A26688"/>
    <w:rsid w:val="52C3106D"/>
    <w:rsid w:val="532D1C0A"/>
    <w:rsid w:val="53583E88"/>
    <w:rsid w:val="543E5B1F"/>
    <w:rsid w:val="54D72BF4"/>
    <w:rsid w:val="54F6709D"/>
    <w:rsid w:val="558917E5"/>
    <w:rsid w:val="55C41A96"/>
    <w:rsid w:val="566138B1"/>
    <w:rsid w:val="56832AE6"/>
    <w:rsid w:val="56AD7719"/>
    <w:rsid w:val="56F540E8"/>
    <w:rsid w:val="576B6402"/>
    <w:rsid w:val="57814C22"/>
    <w:rsid w:val="579303E0"/>
    <w:rsid w:val="57B2142E"/>
    <w:rsid w:val="57BD125F"/>
    <w:rsid w:val="57DB4D69"/>
    <w:rsid w:val="58CB2B06"/>
    <w:rsid w:val="59005937"/>
    <w:rsid w:val="596D5572"/>
    <w:rsid w:val="59DC23BD"/>
    <w:rsid w:val="5A106A61"/>
    <w:rsid w:val="5B012DD6"/>
    <w:rsid w:val="5B4A303E"/>
    <w:rsid w:val="5B867F38"/>
    <w:rsid w:val="5BBF1EDC"/>
    <w:rsid w:val="5BDE5985"/>
    <w:rsid w:val="5BE80399"/>
    <w:rsid w:val="5C0D5EDF"/>
    <w:rsid w:val="5CCB520D"/>
    <w:rsid w:val="5CDE5F6B"/>
    <w:rsid w:val="5CE729B2"/>
    <w:rsid w:val="5D072615"/>
    <w:rsid w:val="5D820B03"/>
    <w:rsid w:val="5DBE5856"/>
    <w:rsid w:val="5DDC291B"/>
    <w:rsid w:val="5DE919D2"/>
    <w:rsid w:val="5DE96BF2"/>
    <w:rsid w:val="5E3B56D9"/>
    <w:rsid w:val="5E7F01AB"/>
    <w:rsid w:val="5E910416"/>
    <w:rsid w:val="5EF85798"/>
    <w:rsid w:val="5FC652D8"/>
    <w:rsid w:val="60317255"/>
    <w:rsid w:val="6043407E"/>
    <w:rsid w:val="605F74B4"/>
    <w:rsid w:val="607B68FE"/>
    <w:rsid w:val="617007B5"/>
    <w:rsid w:val="61E56E86"/>
    <w:rsid w:val="621870FC"/>
    <w:rsid w:val="62DA2A3D"/>
    <w:rsid w:val="63021AF9"/>
    <w:rsid w:val="63323106"/>
    <w:rsid w:val="63343EC4"/>
    <w:rsid w:val="637B3A8F"/>
    <w:rsid w:val="63A65E89"/>
    <w:rsid w:val="641001AE"/>
    <w:rsid w:val="644144CC"/>
    <w:rsid w:val="65001203"/>
    <w:rsid w:val="65737FA2"/>
    <w:rsid w:val="65D920E1"/>
    <w:rsid w:val="65D9655D"/>
    <w:rsid w:val="6637149C"/>
    <w:rsid w:val="6656630C"/>
    <w:rsid w:val="668B288D"/>
    <w:rsid w:val="66A343D3"/>
    <w:rsid w:val="66EC0C69"/>
    <w:rsid w:val="67AD24B8"/>
    <w:rsid w:val="67F5DAB5"/>
    <w:rsid w:val="68261741"/>
    <w:rsid w:val="693E2FAD"/>
    <w:rsid w:val="698062FC"/>
    <w:rsid w:val="69BD5EE8"/>
    <w:rsid w:val="69E2467A"/>
    <w:rsid w:val="6A6D488B"/>
    <w:rsid w:val="6A740B43"/>
    <w:rsid w:val="6ABD46BF"/>
    <w:rsid w:val="6AC975F4"/>
    <w:rsid w:val="6AF730BD"/>
    <w:rsid w:val="6B617BE2"/>
    <w:rsid w:val="6BA66029"/>
    <w:rsid w:val="6CA041B2"/>
    <w:rsid w:val="6DDD5EBF"/>
    <w:rsid w:val="6DFC4CD2"/>
    <w:rsid w:val="6E2E2D6D"/>
    <w:rsid w:val="6E3F51B6"/>
    <w:rsid w:val="6E460B96"/>
    <w:rsid w:val="6EA82131"/>
    <w:rsid w:val="6F046708"/>
    <w:rsid w:val="6F68529E"/>
    <w:rsid w:val="6F8B7571"/>
    <w:rsid w:val="6FB410D2"/>
    <w:rsid w:val="6FC54BEF"/>
    <w:rsid w:val="706921FA"/>
    <w:rsid w:val="70B22C23"/>
    <w:rsid w:val="70BB6DDF"/>
    <w:rsid w:val="70E70C90"/>
    <w:rsid w:val="70F60DA6"/>
    <w:rsid w:val="71411B5D"/>
    <w:rsid w:val="719931E1"/>
    <w:rsid w:val="7240055A"/>
    <w:rsid w:val="728E0BA0"/>
    <w:rsid w:val="73134A0E"/>
    <w:rsid w:val="736064A7"/>
    <w:rsid w:val="736159D6"/>
    <w:rsid w:val="73F71039"/>
    <w:rsid w:val="73F91498"/>
    <w:rsid w:val="74D5337C"/>
    <w:rsid w:val="74D975E2"/>
    <w:rsid w:val="7531716F"/>
    <w:rsid w:val="756B7D6A"/>
    <w:rsid w:val="757C417D"/>
    <w:rsid w:val="759455DB"/>
    <w:rsid w:val="759E0876"/>
    <w:rsid w:val="75CA3E44"/>
    <w:rsid w:val="75D160D9"/>
    <w:rsid w:val="762914BB"/>
    <w:rsid w:val="76685F07"/>
    <w:rsid w:val="77115B46"/>
    <w:rsid w:val="773A73AB"/>
    <w:rsid w:val="775767BB"/>
    <w:rsid w:val="7779068F"/>
    <w:rsid w:val="77A6670F"/>
    <w:rsid w:val="77B92148"/>
    <w:rsid w:val="77FFE39F"/>
    <w:rsid w:val="78154EF5"/>
    <w:rsid w:val="781B1736"/>
    <w:rsid w:val="785A7EA1"/>
    <w:rsid w:val="78F051A8"/>
    <w:rsid w:val="79EF18A6"/>
    <w:rsid w:val="7A903B21"/>
    <w:rsid w:val="7AC3080E"/>
    <w:rsid w:val="7CF2196B"/>
    <w:rsid w:val="7D133387"/>
    <w:rsid w:val="7D2E7430"/>
    <w:rsid w:val="7D993EC8"/>
    <w:rsid w:val="7D9A013D"/>
    <w:rsid w:val="7E9160CF"/>
    <w:rsid w:val="7EC677D3"/>
    <w:rsid w:val="7FDC2489"/>
    <w:rsid w:val="7FFDEEFD"/>
    <w:rsid w:val="BBFEB28B"/>
    <w:rsid w:val="D74FDF30"/>
    <w:rsid w:val="DEAEE68D"/>
    <w:rsid w:val="F7F97754"/>
    <w:rsid w:val="FB7FC3E7"/>
    <w:rsid w:val="FF3F61B6"/>
    <w:rsid w:val="FFC7E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14"/>
    <w:qFormat/>
    <w:uiPriority w:val="9"/>
    <w:pPr>
      <w:keepNext/>
      <w:keepLines/>
      <w:spacing w:before="340" w:after="330" w:line="578" w:lineRule="atLeast"/>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16"/>
    <w:unhideWhenUsed/>
    <w:qFormat/>
    <w:uiPriority w:val="9"/>
    <w:pPr>
      <w:keepNext/>
      <w:keepLines/>
      <w:spacing w:before="260" w:after="260" w:line="416" w:lineRule="atLeast"/>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styleId="6">
    <w:name w:val="Balloon Text"/>
    <w:basedOn w:val="1"/>
    <w:link w:val="17"/>
    <w:unhideWhenUsed/>
    <w:qFormat/>
    <w:uiPriority w:val="99"/>
    <w:pPr>
      <w:spacing w:line="240" w:lineRule="auto"/>
    </w:pPr>
    <w:rPr>
      <w:sz w:val="18"/>
      <w:szCs w:val="18"/>
    </w:rPr>
  </w:style>
  <w:style w:type="paragraph" w:styleId="7">
    <w:name w:val="footer"/>
    <w:basedOn w:val="1"/>
    <w:link w:val="18"/>
    <w:unhideWhenUsed/>
    <w:qFormat/>
    <w:uiPriority w:val="0"/>
    <w:pPr>
      <w:tabs>
        <w:tab w:val="center" w:pos="4153"/>
        <w:tab w:val="right" w:pos="8306"/>
      </w:tabs>
      <w:snapToGrid w:val="0"/>
      <w:spacing w:line="240" w:lineRule="atLeast"/>
    </w:pPr>
    <w:rPr>
      <w:sz w:val="18"/>
      <w:szCs w:val="18"/>
    </w:rPr>
  </w:style>
  <w:style w:type="paragraph" w:styleId="8">
    <w:name w:val="header"/>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styleId="10">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character" w:styleId="13">
    <w:name w:val="Hyperlink"/>
    <w:unhideWhenUsed/>
    <w:qFormat/>
    <w:uiPriority w:val="99"/>
    <w:rPr>
      <w:color w:val="0000FF"/>
      <w:u w:val="single"/>
    </w:rPr>
  </w:style>
  <w:style w:type="character" w:customStyle="1" w:styleId="14">
    <w:name w:val="标题 1 字符"/>
    <w:link w:val="2"/>
    <w:qFormat/>
    <w:uiPriority w:val="9"/>
    <w:rPr>
      <w:b/>
      <w:bCs/>
      <w:kern w:val="44"/>
      <w:sz w:val="44"/>
      <w:szCs w:val="44"/>
    </w:rPr>
  </w:style>
  <w:style w:type="character" w:customStyle="1" w:styleId="15">
    <w:name w:val="标题 2 字符"/>
    <w:link w:val="3"/>
    <w:semiHidden/>
    <w:qFormat/>
    <w:uiPriority w:val="9"/>
    <w:rPr>
      <w:rFonts w:ascii="Cambria" w:hAnsi="Cambria" w:eastAsia="宋体" w:cs="Times New Roman"/>
      <w:b/>
      <w:bCs/>
      <w:sz w:val="32"/>
      <w:szCs w:val="32"/>
    </w:rPr>
  </w:style>
  <w:style w:type="character" w:customStyle="1" w:styleId="16">
    <w:name w:val="标题 3 字符"/>
    <w:link w:val="4"/>
    <w:semiHidden/>
    <w:qFormat/>
    <w:uiPriority w:val="9"/>
    <w:rPr>
      <w:b/>
      <w:bCs/>
      <w:sz w:val="32"/>
      <w:szCs w:val="32"/>
    </w:rPr>
  </w:style>
  <w:style w:type="character" w:customStyle="1" w:styleId="17">
    <w:name w:val="批注框文本 字符"/>
    <w:link w:val="6"/>
    <w:semiHidden/>
    <w:qFormat/>
    <w:uiPriority w:val="99"/>
    <w:rPr>
      <w:sz w:val="18"/>
      <w:szCs w:val="18"/>
    </w:rPr>
  </w:style>
  <w:style w:type="character" w:customStyle="1" w:styleId="18">
    <w:name w:val="页脚 字符"/>
    <w:link w:val="7"/>
    <w:semiHidden/>
    <w:qFormat/>
    <w:uiPriority w:val="0"/>
    <w:rPr>
      <w:sz w:val="18"/>
      <w:szCs w:val="18"/>
    </w:rPr>
  </w:style>
  <w:style w:type="character" w:customStyle="1" w:styleId="19">
    <w:name w:val="页眉 字符"/>
    <w:link w:val="8"/>
    <w:semiHidden/>
    <w:qFormat/>
    <w:uiPriority w:val="0"/>
    <w:rPr>
      <w:sz w:val="18"/>
      <w:szCs w:val="18"/>
    </w:rPr>
  </w:style>
  <w:style w:type="paragraph" w:customStyle="1" w:styleId="20">
    <w:name w:val="TOC 标题1"/>
    <w:basedOn w:val="2"/>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1705</Words>
  <Characters>9723</Characters>
  <Lines>81</Lines>
  <Paragraphs>22</Paragraphs>
  <TotalTime>2</TotalTime>
  <ScaleCrop>false</ScaleCrop>
  <LinksUpToDate>false</LinksUpToDate>
  <CharactersWithSpaces>11406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2019-07-28T02:37:00Z</dcterms:created>
  <dc:creator>Administrator</dc:creator>
  <cp:lastModifiedBy>呆呆木木  </cp:lastModifiedBy>
  <cp:lastPrinted>2023-08-23T03:12:00Z</cp:lastPrinted>
  <dcterms:modified xsi:type="dcterms:W3CDTF">2023-10-12T08:19:38Z</dcterms:modified>
  <dc:title>附件1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90D74AD8847844C8B6B3F08FF3278CF3_13</vt:lpwstr>
  </property>
</Properties>
</file>