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ascii="黑体" w:hAnsi="黑体" w:eastAsia="黑体" w:cs="黑体"/>
          <w:w w:val="95"/>
          <w:sz w:val="32"/>
          <w:szCs w:val="32"/>
          <w:lang w:val="en"/>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天津市津南区北闸口镇党群服务中心</w:t>
      </w:r>
    </w:p>
    <w:p>
      <w:pPr>
        <w:spacing w:line="580" w:lineRule="exact"/>
        <w:jc w:val="center"/>
        <w:rPr>
          <w:rFonts w:ascii="方正小标宋简体" w:hAnsi="方正小标宋简体" w:eastAsia="方正小标宋简体" w:cs="方正小标宋简体"/>
          <w:sz w:val="48"/>
          <w:szCs w:val="48"/>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r>
        <w:rPr>
          <w:rFonts w:hint="eastAsia" w:ascii="方正小标宋简体" w:hAnsi="方正小标宋简体" w:eastAsia="方正小标宋简体" w:cs="方正小标宋简体"/>
          <w:sz w:val="48"/>
          <w:szCs w:val="48"/>
        </w:rPr>
        <w:t>2022年度部门决算</w:t>
      </w:r>
    </w:p>
    <w:p>
      <w:pPr>
        <w:spacing w:line="600" w:lineRule="exact"/>
        <w:jc w:val="center"/>
        <w:rPr>
          <w:rFonts w:ascii="黑体" w:eastAsia="黑体"/>
          <w:sz w:val="44"/>
          <w:szCs w:val="44"/>
        </w:rPr>
      </w:pPr>
    </w:p>
    <w:p>
      <w:pPr>
        <w:spacing w:line="600" w:lineRule="exact"/>
        <w:jc w:val="center"/>
        <w:rPr>
          <w:rFonts w:ascii="黑体" w:eastAsia="黑体"/>
          <w:sz w:val="44"/>
          <w:szCs w:val="44"/>
        </w:rPr>
      </w:pPr>
      <w:r>
        <w:rPr>
          <w:rFonts w:hint="eastAsia" w:ascii="黑体" w:eastAsia="黑体"/>
          <w:sz w:val="44"/>
          <w:szCs w:val="44"/>
        </w:rPr>
        <w:t>目   录</w:t>
      </w:r>
    </w:p>
    <w:p>
      <w:pPr>
        <w:spacing w:line="600" w:lineRule="exact"/>
        <w:rPr>
          <w:rFonts w:ascii="黑体" w:eastAsia="黑体"/>
          <w:sz w:val="30"/>
          <w:szCs w:val="30"/>
        </w:rPr>
      </w:pPr>
    </w:p>
    <w:p>
      <w:pPr>
        <w:pStyle w:val="9"/>
        <w:tabs>
          <w:tab w:val="right" w:leader="dot" w:pos="8306"/>
          <w:tab w:val="clear" w:pos="8296"/>
        </w:tabs>
        <w:rPr>
          <w:rFonts w:ascii="仿宋_GB2312" w:hAnsi="Times New Roman" w:eastAsia="仿宋_GB2312" w:cs="Times New Roman"/>
          <w:sz w:val="30"/>
          <w:szCs w:val="30"/>
        </w:rPr>
      </w:pP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TOC \o "1-3" \h \z \u </w:instrText>
      </w:r>
      <w:r>
        <w:rPr>
          <w:rFonts w:hint="eastAsia" w:ascii="仿宋_GB2312" w:hAnsi="Times New Roman" w:eastAsia="仿宋_GB2312" w:cs="Times New Roman"/>
          <w:sz w:val="30"/>
          <w:szCs w:val="30"/>
        </w:rPr>
        <w:fldChar w:fldCharType="separate"/>
      </w:r>
      <w:r>
        <w:fldChar w:fldCharType="begin"/>
      </w:r>
      <w:r>
        <w:instrText xml:space="preserve"> HYPERLINK \l "_Toc859" </w:instrText>
      </w:r>
      <w:r>
        <w:fldChar w:fldCharType="separate"/>
      </w:r>
      <w:r>
        <w:rPr>
          <w:rFonts w:hint="eastAsia" w:ascii="仿宋_GB2312" w:hAnsi="Times New Roman" w:eastAsia="仿宋_GB2312" w:cs="Times New Roman"/>
          <w:sz w:val="30"/>
          <w:szCs w:val="30"/>
        </w:rPr>
        <w:t>第一部分  概 况</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_Toc859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1</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"_Toc21919" </w:instrText>
      </w:r>
      <w:r>
        <w:fldChar w:fldCharType="separate"/>
      </w:r>
      <w:r>
        <w:rPr>
          <w:rFonts w:hint="eastAsia" w:ascii="仿宋_GB2312" w:hAnsi="Times New Roman" w:eastAsia="仿宋_GB2312"/>
          <w:sz w:val="30"/>
          <w:szCs w:val="30"/>
        </w:rPr>
        <w:t>一、主要职责</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_Toc21919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"_Toc17388" </w:instrText>
      </w:r>
      <w:r>
        <w:fldChar w:fldCharType="separate"/>
      </w:r>
      <w:r>
        <w:rPr>
          <w:rFonts w:hint="eastAsia" w:ascii="仿宋_GB2312" w:hAnsi="Times New Roman" w:eastAsia="仿宋_GB2312"/>
          <w:sz w:val="30"/>
          <w:szCs w:val="30"/>
        </w:rPr>
        <w:t>二、机构设置</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_Toc17388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"_Toc24747" </w:instrText>
      </w:r>
      <w:r>
        <w:fldChar w:fldCharType="separate"/>
      </w:r>
      <w:r>
        <w:rPr>
          <w:rFonts w:hint="eastAsia" w:ascii="仿宋_GB2312" w:hAnsi="Times New Roman" w:eastAsia="仿宋_GB2312" w:cs="Times New Roman"/>
          <w:sz w:val="30"/>
          <w:szCs w:val="30"/>
        </w:rPr>
        <w:t>第二部分  2022年度部门决算表</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_Toc24747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2</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"_Toc20142" </w:instrText>
      </w:r>
      <w:r>
        <w:fldChar w:fldCharType="separate"/>
      </w:r>
      <w:r>
        <w:rPr>
          <w:rFonts w:hint="eastAsia" w:ascii="仿宋_GB2312" w:hAnsi="Times New Roman" w:eastAsia="仿宋_GB2312"/>
          <w:sz w:val="30"/>
          <w:szCs w:val="30"/>
        </w:rPr>
        <w:t>一、《收入支出决算总表》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_Toc20142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"_Toc1616" </w:instrText>
      </w:r>
      <w:r>
        <w:fldChar w:fldCharType="separate"/>
      </w:r>
      <w:r>
        <w:rPr>
          <w:rFonts w:hint="eastAsia" w:ascii="仿宋_GB2312" w:hAnsi="Times New Roman" w:eastAsia="仿宋_GB2312"/>
          <w:sz w:val="30"/>
          <w:szCs w:val="30"/>
        </w:rPr>
        <w:t>二、《收入决算表（按功能分类列示）》</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_Toc1616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"_Toc12050" </w:instrText>
      </w:r>
      <w:r>
        <w:fldChar w:fldCharType="separate"/>
      </w:r>
      <w:r>
        <w:rPr>
          <w:rFonts w:hint="eastAsia" w:ascii="仿宋_GB2312" w:hAnsi="Times New Roman" w:eastAsia="仿宋_GB2312"/>
          <w:sz w:val="30"/>
          <w:szCs w:val="30"/>
        </w:rPr>
        <w:t>三、《收入决算表（按单位列示）》</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_Toc12050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"_Toc1989" </w:instrText>
      </w:r>
      <w:r>
        <w:fldChar w:fldCharType="separate"/>
      </w:r>
      <w:r>
        <w:rPr>
          <w:rFonts w:hint="eastAsia" w:ascii="仿宋_GB2312" w:hAnsi="Times New Roman" w:eastAsia="仿宋_GB2312"/>
          <w:sz w:val="30"/>
          <w:szCs w:val="30"/>
        </w:rPr>
        <w:t>四、《支出决算表》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_Toc1989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"_Toc32498" </w:instrText>
      </w:r>
      <w:r>
        <w:fldChar w:fldCharType="separate"/>
      </w:r>
      <w:r>
        <w:rPr>
          <w:rFonts w:hint="eastAsia" w:ascii="仿宋_GB2312" w:hAnsi="Times New Roman" w:eastAsia="仿宋_GB2312"/>
          <w:sz w:val="30"/>
          <w:szCs w:val="30"/>
        </w:rPr>
        <w:t>五、《财政拨款收入支出决算总表》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_Toc32498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"_Toc26379" </w:instrText>
      </w:r>
      <w:r>
        <w:fldChar w:fldCharType="separate"/>
      </w:r>
      <w:r>
        <w:rPr>
          <w:rFonts w:hint="eastAsia" w:ascii="仿宋_GB2312" w:hAnsi="Times New Roman" w:eastAsia="仿宋_GB2312"/>
          <w:sz w:val="30"/>
          <w:szCs w:val="30"/>
        </w:rPr>
        <w:t>六、《一般公共预算财政拨款支出决算表》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_Toc26379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"_Toc4498" </w:instrText>
      </w:r>
      <w:r>
        <w:fldChar w:fldCharType="separate"/>
      </w:r>
      <w:r>
        <w:rPr>
          <w:rFonts w:hint="eastAsia" w:ascii="仿宋_GB2312" w:hAnsi="Times New Roman" w:eastAsia="仿宋_GB2312"/>
          <w:sz w:val="30"/>
          <w:szCs w:val="30"/>
        </w:rPr>
        <w:t>七、《一般公共预算财政拨款基本支出决算表》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_Toc4498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"_Toc18038" </w:instrText>
      </w:r>
      <w:r>
        <w:fldChar w:fldCharType="separate"/>
      </w:r>
      <w:r>
        <w:rPr>
          <w:rFonts w:hint="eastAsia" w:ascii="仿宋_GB2312" w:hAnsi="Times New Roman" w:eastAsia="仿宋_GB2312"/>
          <w:sz w:val="30"/>
          <w:szCs w:val="30"/>
        </w:rPr>
        <w:t>八、《政府性基金预算财政拨款收入支出决算表》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_Toc18038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"_Toc13200" </w:instrText>
      </w:r>
      <w:r>
        <w:fldChar w:fldCharType="separate"/>
      </w:r>
      <w:r>
        <w:rPr>
          <w:rFonts w:hint="eastAsia" w:ascii="仿宋_GB2312" w:hAnsi="Times New Roman" w:eastAsia="仿宋_GB2312"/>
          <w:sz w:val="30"/>
          <w:szCs w:val="30"/>
        </w:rPr>
        <w:t>九、《国有资本经营预算财政拨款收入支出决算表》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_Toc13200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"_Toc3423" </w:instrText>
      </w:r>
      <w:r>
        <w:fldChar w:fldCharType="separate"/>
      </w:r>
      <w:r>
        <w:rPr>
          <w:rFonts w:hint="eastAsia" w:ascii="仿宋_GB2312" w:hAnsi="Times New Roman" w:eastAsia="仿宋_GB2312"/>
          <w:sz w:val="30"/>
          <w:szCs w:val="30"/>
        </w:rPr>
        <w:t>十、《一般公共预算财政拨款“三公”经费支出决算表》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_Toc3423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"_Toc3915" </w:instrText>
      </w:r>
      <w:r>
        <w:fldChar w:fldCharType="separate"/>
      </w:r>
      <w:r>
        <w:rPr>
          <w:rFonts w:hint="eastAsia" w:ascii="仿宋_GB2312" w:hAnsi="Times New Roman" w:eastAsia="仿宋_GB2312"/>
          <w:sz w:val="30"/>
          <w:szCs w:val="30"/>
        </w:rPr>
        <w:t>十一、《项目支出决算表》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_Toc3915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"_Toc17260" </w:instrText>
      </w:r>
      <w:r>
        <w:fldChar w:fldCharType="separate"/>
      </w:r>
      <w:r>
        <w:rPr>
          <w:rFonts w:hint="eastAsia" w:ascii="仿宋_GB2312" w:hAnsi="Times New Roman" w:eastAsia="仿宋_GB2312"/>
          <w:sz w:val="30"/>
          <w:szCs w:val="30"/>
        </w:rPr>
        <w:t>十二、关于空表的说明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_Toc17260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"_Toc396" </w:instrText>
      </w:r>
      <w:r>
        <w:fldChar w:fldCharType="separate"/>
      </w:r>
      <w:r>
        <w:rPr>
          <w:rFonts w:hint="eastAsia" w:ascii="仿宋_GB2312" w:hAnsi="Times New Roman" w:eastAsia="仿宋_GB2312" w:cs="Times New Roman"/>
          <w:sz w:val="30"/>
          <w:szCs w:val="30"/>
        </w:rPr>
        <w:t>第三部分  2022年度部门决算情况说明</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_Toc396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4</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"_Toc24340" </w:instrText>
      </w:r>
      <w:r>
        <w:fldChar w:fldCharType="separate"/>
      </w:r>
      <w:r>
        <w:rPr>
          <w:rFonts w:hint="eastAsia" w:ascii="仿宋_GB2312" w:hAnsi="Times New Roman" w:eastAsia="仿宋_GB2312"/>
          <w:sz w:val="30"/>
          <w:szCs w:val="30"/>
        </w:rPr>
        <w:t>一、收入支出决算总体情况说明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_Toc24340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"_Toc18552" </w:instrText>
      </w:r>
      <w:r>
        <w:fldChar w:fldCharType="separate"/>
      </w:r>
      <w:r>
        <w:rPr>
          <w:rFonts w:hint="eastAsia" w:ascii="仿宋_GB2312" w:hAnsi="Times New Roman" w:eastAsia="仿宋_GB2312"/>
          <w:sz w:val="30"/>
          <w:szCs w:val="30"/>
        </w:rPr>
        <w:t>二、收入决算情况说明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_Toc18552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"_Toc26952" </w:instrText>
      </w:r>
      <w:r>
        <w:fldChar w:fldCharType="separate"/>
      </w:r>
      <w:r>
        <w:rPr>
          <w:rFonts w:hint="eastAsia" w:ascii="仿宋_GB2312" w:hAnsi="Times New Roman" w:eastAsia="仿宋_GB2312"/>
          <w:sz w:val="30"/>
          <w:szCs w:val="30"/>
        </w:rPr>
        <w:t>三、支出决算情况说明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_Toc26952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"_Toc1812" </w:instrText>
      </w:r>
      <w:r>
        <w:fldChar w:fldCharType="separate"/>
      </w:r>
      <w:r>
        <w:rPr>
          <w:rFonts w:hint="eastAsia" w:ascii="仿宋_GB2312" w:hAnsi="Times New Roman" w:eastAsia="仿宋_GB2312"/>
          <w:sz w:val="30"/>
          <w:szCs w:val="30"/>
        </w:rPr>
        <w:t>四、财政拨款收支决算总体情况说明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_Toc1812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"_Toc10091" </w:instrText>
      </w:r>
      <w:r>
        <w:fldChar w:fldCharType="separate"/>
      </w:r>
      <w:r>
        <w:rPr>
          <w:rFonts w:hint="eastAsia" w:ascii="仿宋_GB2312" w:hAnsi="Times New Roman" w:eastAsia="仿宋_GB2312"/>
          <w:sz w:val="30"/>
          <w:szCs w:val="30"/>
        </w:rPr>
        <w:t>五、一般公共预算财政拨款支出决算情况说明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_Toc10091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5</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"_Toc10721" </w:instrText>
      </w:r>
      <w:r>
        <w:fldChar w:fldCharType="separate"/>
      </w:r>
      <w:r>
        <w:rPr>
          <w:rFonts w:hint="eastAsia" w:ascii="仿宋_GB2312" w:hAnsi="Times New Roman" w:eastAsia="仿宋_GB2312"/>
          <w:sz w:val="30"/>
          <w:szCs w:val="30"/>
        </w:rPr>
        <w:t>六、一般公共预算财政拨款基本支出决算情况说明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_Toc10721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9</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"_Toc17918" </w:instrText>
      </w:r>
      <w:r>
        <w:fldChar w:fldCharType="separate"/>
      </w:r>
      <w:r>
        <w:rPr>
          <w:rFonts w:hint="eastAsia" w:ascii="仿宋_GB2312" w:hAnsi="Times New Roman" w:eastAsia="仿宋_GB2312"/>
          <w:sz w:val="30"/>
          <w:szCs w:val="30"/>
        </w:rPr>
        <w:t>七、政府性基金预算财政拨款收支决算情况说明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_Toc17918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9</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"_Toc23897" </w:instrText>
      </w:r>
      <w:r>
        <w:fldChar w:fldCharType="separate"/>
      </w:r>
      <w:r>
        <w:rPr>
          <w:rFonts w:hint="eastAsia" w:ascii="仿宋_GB2312" w:hAnsi="Times New Roman" w:eastAsia="仿宋_GB2312"/>
          <w:sz w:val="30"/>
          <w:szCs w:val="30"/>
        </w:rPr>
        <w:t>八、国有资本经营预算财政拨款收支决算情况说明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_Toc23897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10</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"_Toc4518" </w:instrText>
      </w:r>
      <w:r>
        <w:fldChar w:fldCharType="separate"/>
      </w:r>
      <w:r>
        <w:rPr>
          <w:rFonts w:hint="eastAsia" w:ascii="仿宋_GB2312" w:hAnsi="Times New Roman" w:eastAsia="仿宋_GB2312"/>
          <w:sz w:val="30"/>
          <w:szCs w:val="30"/>
        </w:rPr>
        <w:t>九、一般公共预算财政拨款“三公”经费支出决算情况说明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_Toc4518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10</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"_Toc3411" </w:instrText>
      </w:r>
      <w:r>
        <w:fldChar w:fldCharType="separate"/>
      </w:r>
      <w:r>
        <w:rPr>
          <w:rFonts w:hint="eastAsia" w:ascii="仿宋_GB2312" w:hAnsi="Times New Roman" w:eastAsia="仿宋_GB2312"/>
          <w:sz w:val="30"/>
          <w:szCs w:val="30"/>
        </w:rPr>
        <w:t>十、机关运行经费支出情况说明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_Toc3411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"_Toc31102" </w:instrText>
      </w:r>
      <w:r>
        <w:fldChar w:fldCharType="separate"/>
      </w:r>
      <w:r>
        <w:rPr>
          <w:rFonts w:hint="eastAsia" w:ascii="仿宋_GB2312" w:hAnsi="Times New Roman" w:eastAsia="仿宋_GB2312"/>
          <w:sz w:val="30"/>
          <w:szCs w:val="30"/>
        </w:rPr>
        <w:t>十一、政府采购支出情况说明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_Toc31102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"_Toc23709" </w:instrText>
      </w:r>
      <w:r>
        <w:fldChar w:fldCharType="separate"/>
      </w:r>
      <w:r>
        <w:rPr>
          <w:rFonts w:hint="eastAsia" w:ascii="仿宋_GB2312" w:hAnsi="Times New Roman" w:eastAsia="仿宋_GB2312"/>
          <w:sz w:val="30"/>
          <w:szCs w:val="30"/>
        </w:rPr>
        <w:t>十二、国有资产占有使用情况说明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_Toc23709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"_Toc11467" </w:instrText>
      </w:r>
      <w:r>
        <w:fldChar w:fldCharType="separate"/>
      </w:r>
      <w:r>
        <w:rPr>
          <w:rFonts w:hint="eastAsia" w:ascii="仿宋_GB2312" w:hAnsi="Times New Roman" w:eastAsia="仿宋_GB2312"/>
          <w:sz w:val="30"/>
          <w:szCs w:val="30"/>
        </w:rPr>
        <w:t>十三、预算绩效情况说明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_Toc11467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"_Toc15949" </w:instrText>
      </w:r>
      <w:r>
        <w:fldChar w:fldCharType="separate"/>
      </w:r>
      <w:r>
        <w:rPr>
          <w:rFonts w:hint="eastAsia" w:ascii="仿宋_GB2312" w:hAnsi="Times New Roman" w:eastAsia="仿宋_GB2312"/>
          <w:sz w:val="30"/>
          <w:szCs w:val="30"/>
        </w:rPr>
        <w:t>十四、教育、医疗卫生、社会保障和就业、住房保障、涉农补贴等民生支出情况说明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_Toc15949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"_Toc30612" </w:instrText>
      </w:r>
      <w:r>
        <w:fldChar w:fldCharType="separate"/>
      </w:r>
      <w:r>
        <w:rPr>
          <w:rFonts w:hint="eastAsia" w:ascii="仿宋_GB2312" w:hAnsi="Times New Roman" w:eastAsia="仿宋_GB2312" w:cs="Times New Roman"/>
          <w:sz w:val="30"/>
          <w:szCs w:val="30"/>
        </w:rPr>
        <w:t>第四部分  名词解释</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_Toc30612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19</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296"/>
        </w:tabs>
        <w:spacing w:after="0" w:line="600" w:lineRule="exact"/>
        <w:rPr>
          <w:rFonts w:ascii="Times New Roman" w:hAnsi="Times New Roman" w:eastAsia="仿宋_GB2312"/>
          <w:sz w:val="32"/>
          <w:szCs w:val="32"/>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仿宋_GB2312" w:hAnsi="Times New Roman" w:eastAsia="仿宋_GB2312"/>
          <w:sz w:val="30"/>
          <w:szCs w:val="30"/>
        </w:rPr>
        <w:fldChar w:fldCharType="end"/>
      </w:r>
    </w:p>
    <w:p/>
    <w:p>
      <w:pPr>
        <w:pStyle w:val="2"/>
        <w:spacing w:before="0" w:after="0" w:line="600" w:lineRule="exact"/>
        <w:jc w:val="center"/>
        <w:rPr>
          <w:rFonts w:ascii="方正小标宋简体" w:hAnsi="方正小标宋简体" w:eastAsia="方正小标宋简体" w:cs="方正小标宋简体"/>
          <w:b w:val="0"/>
          <w:sz w:val="48"/>
          <w:szCs w:val="48"/>
        </w:rPr>
      </w:pPr>
    </w:p>
    <w:p>
      <w:pPr>
        <w:pStyle w:val="2"/>
        <w:spacing w:before="0" w:after="0" w:line="600" w:lineRule="exact"/>
        <w:jc w:val="center"/>
        <w:rPr>
          <w:rFonts w:ascii="方正小标宋简体" w:hAnsi="方正小标宋简体" w:eastAsia="方正小标宋简体" w:cs="方正小标宋简体"/>
          <w:b w:val="0"/>
        </w:rPr>
      </w:pPr>
      <w:bookmarkStart w:id="0" w:name="_Toc859"/>
      <w:r>
        <w:rPr>
          <w:rFonts w:hint="eastAsia" w:ascii="方正小标宋简体" w:hAnsi="方正小标宋简体" w:eastAsia="方正小标宋简体" w:cs="方正小标宋简体"/>
          <w:b w:val="0"/>
        </w:rPr>
        <w:t>第一部分  概 况</w:t>
      </w:r>
      <w:bookmarkEnd w:id="0"/>
    </w:p>
    <w:p>
      <w:pPr>
        <w:spacing w:line="600" w:lineRule="exact"/>
      </w:pPr>
    </w:p>
    <w:p>
      <w:pPr>
        <w:pStyle w:val="3"/>
        <w:spacing w:before="0" w:after="0" w:line="600" w:lineRule="exact"/>
        <w:ind w:firstLine="600" w:firstLineChars="200"/>
        <w:rPr>
          <w:rFonts w:ascii="黑体" w:hAnsi="黑体" w:eastAsia="黑体"/>
          <w:b w:val="0"/>
          <w:bCs w:val="0"/>
          <w:sz w:val="30"/>
          <w:szCs w:val="30"/>
        </w:rPr>
      </w:pPr>
      <w:bookmarkStart w:id="1" w:name="_Toc21919"/>
      <w:r>
        <w:rPr>
          <w:rFonts w:hint="eastAsia" w:ascii="黑体" w:hAnsi="黑体" w:eastAsia="黑体"/>
          <w:b w:val="0"/>
          <w:bCs w:val="0"/>
          <w:sz w:val="30"/>
          <w:szCs w:val="30"/>
        </w:rPr>
        <w:t>一、主要职责</w:t>
      </w:r>
      <w:bookmarkEnd w:id="1"/>
    </w:p>
    <w:p>
      <w:pPr>
        <w:spacing w:line="600" w:lineRule="exact"/>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基本职能负责辖区内审批服务、公共服务等各类便民事项的受理等事务性工作，为辖区内党组织开展活动和服务党员、群众提供保障。负责开展常态化文明实践活动；负责残疾人、助残物资发放、保障住房材料审核、老龄、殡葬、未成年人保护、低保户等相关服务工作；负责扶困帮贫、临时救助相关服务工作；为下岗失业人员和农村富余劳动力提供相关服务；负责劳动力资源管理、职业指导和职业培训、社会保险、开发社区就业岗位、社区就业项目的组织实施、协调劳动关系、开展退休人员的社会化服务工作等。</w:t>
      </w:r>
    </w:p>
    <w:p>
      <w:pPr>
        <w:pStyle w:val="3"/>
        <w:spacing w:before="0" w:after="0" w:line="600" w:lineRule="exact"/>
        <w:ind w:firstLine="600" w:firstLineChars="200"/>
        <w:rPr>
          <w:rFonts w:ascii="黑体" w:hAnsi="黑体" w:eastAsia="黑体"/>
          <w:b w:val="0"/>
          <w:bCs w:val="0"/>
          <w:sz w:val="30"/>
          <w:szCs w:val="30"/>
        </w:rPr>
      </w:pPr>
      <w:bookmarkStart w:id="2" w:name="_Toc17388"/>
      <w:r>
        <w:rPr>
          <w:rFonts w:hint="eastAsia" w:ascii="黑体" w:hAnsi="黑体" w:eastAsia="黑体"/>
          <w:b w:val="0"/>
          <w:bCs w:val="0"/>
          <w:sz w:val="30"/>
          <w:szCs w:val="30"/>
        </w:rPr>
        <w:t>二、机构设置</w:t>
      </w:r>
      <w:bookmarkEnd w:id="2"/>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天津市津南区北闸口镇党群服务中心部门</w:t>
      </w:r>
      <w:r>
        <w:rPr>
          <w:rFonts w:eastAsia="仿宋_GB2312"/>
          <w:sz w:val="30"/>
          <w:szCs w:val="30"/>
        </w:rPr>
        <w:t>内</w:t>
      </w:r>
      <w:r>
        <w:rPr>
          <w:rFonts w:hint="eastAsia" w:ascii="仿宋_GB2312" w:eastAsia="仿宋_GB2312" w:cs="仿宋_GB2312"/>
          <w:sz w:val="30"/>
          <w:szCs w:val="30"/>
        </w:rPr>
        <w:t>设</w:t>
      </w:r>
      <w:r>
        <w:rPr>
          <w:rFonts w:hint="eastAsia" w:ascii="仿宋_GB2312" w:eastAsia="仿宋_GB2312" w:cs="仿宋_GB2312"/>
          <w:sz w:val="30"/>
          <w:szCs w:val="30"/>
          <w:lang w:val="en-US" w:eastAsia="zh-CN"/>
        </w:rPr>
        <w:t>1</w:t>
      </w:r>
      <w:r>
        <w:rPr>
          <w:rFonts w:hint="eastAsia" w:ascii="仿宋_GB2312" w:eastAsia="仿宋_GB2312" w:cs="仿宋_GB2312"/>
          <w:sz w:val="30"/>
          <w:szCs w:val="30"/>
        </w:rPr>
        <w:t>个</w:t>
      </w:r>
      <w:r>
        <w:rPr>
          <w:rFonts w:eastAsia="仿宋_GB2312"/>
          <w:sz w:val="30"/>
          <w:szCs w:val="30"/>
        </w:rPr>
        <w:t>职能处室</w:t>
      </w:r>
      <w:r>
        <w:rPr>
          <w:rFonts w:hint="eastAsia" w:ascii="仿宋_GB2312" w:eastAsia="仿宋_GB2312" w:cs="仿宋_GB2312"/>
          <w:sz w:val="30"/>
          <w:szCs w:val="30"/>
        </w:rPr>
        <w:t>。</w:t>
      </w:r>
    </w:p>
    <w:p>
      <w:pPr>
        <w:spacing w:line="600" w:lineRule="exact"/>
        <w:rPr>
          <w:rFonts w:eastAsia="楷体_GB2312"/>
          <w:b/>
          <w:sz w:val="30"/>
          <w:szCs w:val="30"/>
        </w:rPr>
        <w:sectPr>
          <w:footerReference r:id="rId6" w:type="default"/>
          <w:pgSz w:w="11906" w:h="16838"/>
          <w:pgMar w:top="1440" w:right="1800" w:bottom="1440" w:left="1800" w:header="851" w:footer="992" w:gutter="0"/>
          <w:pgNumType w:start="1"/>
          <w:cols w:space="720" w:num="1"/>
          <w:docGrid w:type="lines" w:linePitch="312" w:charSpace="0"/>
        </w:sectPr>
      </w:pPr>
      <w:r>
        <w:rPr>
          <w:rFonts w:eastAsia="楷体_GB2312"/>
          <w:b/>
          <w:sz w:val="30"/>
          <w:szCs w:val="30"/>
        </w:rPr>
        <w:br w:type="textWrapping"/>
      </w:r>
    </w:p>
    <w:p>
      <w:pPr>
        <w:spacing w:line="600" w:lineRule="exact"/>
        <w:rPr>
          <w:rFonts w:eastAsia="楷体_GB2312"/>
          <w:b/>
          <w:sz w:val="30"/>
          <w:szCs w:val="30"/>
        </w:rPr>
      </w:pPr>
    </w:p>
    <w:p>
      <w:pPr>
        <w:pStyle w:val="2"/>
        <w:spacing w:before="0" w:after="0" w:line="600" w:lineRule="exact"/>
        <w:jc w:val="center"/>
        <w:rPr>
          <w:rFonts w:ascii="方正小标宋简体" w:hAnsi="方正小标宋简体" w:eastAsia="方正小标宋简体" w:cs="方正小标宋简体"/>
          <w:b w:val="0"/>
        </w:rPr>
      </w:pPr>
      <w:bookmarkStart w:id="3" w:name="_Toc24747"/>
      <w:r>
        <w:rPr>
          <w:rFonts w:ascii="方正小标宋简体" w:hAnsi="方正小标宋简体" w:eastAsia="方正小标宋简体" w:cs="方正小标宋简体"/>
          <w:b w:val="0"/>
        </w:rPr>
        <w:t>第</w:t>
      </w:r>
      <w:r>
        <w:rPr>
          <w:rFonts w:hint="eastAsia" w:ascii="方正小标宋简体" w:hAnsi="方正小标宋简体" w:eastAsia="方正小标宋简体" w:cs="方正小标宋简体"/>
          <w:b w:val="0"/>
        </w:rPr>
        <w:t>二</w:t>
      </w:r>
      <w:r>
        <w:rPr>
          <w:rFonts w:ascii="方正小标宋简体" w:hAnsi="方正小标宋简体" w:eastAsia="方正小标宋简体" w:cs="方正小标宋简体"/>
          <w:b w:val="0"/>
        </w:rPr>
        <w:t xml:space="preserve">部分  </w:t>
      </w:r>
      <w:r>
        <w:rPr>
          <w:rFonts w:hint="eastAsia" w:ascii="方正小标宋简体" w:hAnsi="方正小标宋简体" w:eastAsia="方正小标宋简体" w:cs="方正小标宋简体"/>
          <w:b w:val="0"/>
        </w:rPr>
        <w:t>2022</w:t>
      </w:r>
      <w:r>
        <w:rPr>
          <w:rFonts w:ascii="方正小标宋简体" w:hAnsi="方正小标宋简体" w:eastAsia="方正小标宋简体" w:cs="方正小标宋简体"/>
          <w:b w:val="0"/>
        </w:rPr>
        <w:t>年度部门决算</w:t>
      </w:r>
      <w:r>
        <w:rPr>
          <w:rFonts w:hint="eastAsia" w:ascii="方正小标宋简体" w:hAnsi="方正小标宋简体" w:eastAsia="方正小标宋简体" w:cs="方正小标宋简体"/>
          <w:b w:val="0"/>
        </w:rPr>
        <w:t>表</w:t>
      </w:r>
      <w:bookmarkEnd w:id="3"/>
    </w:p>
    <w:p>
      <w:pPr>
        <w:spacing w:line="600" w:lineRule="exact"/>
      </w:pPr>
    </w:p>
    <w:p>
      <w:pPr>
        <w:pStyle w:val="3"/>
        <w:spacing w:before="0" w:after="0" w:line="800" w:lineRule="exact"/>
        <w:ind w:firstLine="600" w:firstLineChars="200"/>
        <w:rPr>
          <w:rFonts w:ascii="黑体" w:hAnsi="黑体" w:eastAsia="黑体"/>
          <w:b w:val="0"/>
          <w:sz w:val="30"/>
          <w:szCs w:val="30"/>
        </w:rPr>
      </w:pPr>
      <w:bookmarkStart w:id="4" w:name="_Toc20142"/>
      <w:r>
        <w:rPr>
          <w:rFonts w:ascii="黑体" w:hAnsi="黑体" w:eastAsia="黑体"/>
          <w:b w:val="0"/>
          <w:sz w:val="30"/>
          <w:szCs w:val="30"/>
        </w:rPr>
        <w:t>一</w:t>
      </w:r>
      <w:r>
        <w:rPr>
          <w:rFonts w:hint="eastAsia" w:ascii="黑体" w:hAnsi="黑体" w:eastAsia="黑体"/>
          <w:b w:val="0"/>
          <w:sz w:val="30"/>
          <w:szCs w:val="30"/>
        </w:rPr>
        <w:t>、</w:t>
      </w:r>
      <w:r>
        <w:rPr>
          <w:rFonts w:ascii="黑体" w:hAnsi="黑体" w:eastAsia="黑体"/>
          <w:b w:val="0"/>
          <w:sz w:val="30"/>
          <w:szCs w:val="30"/>
        </w:rPr>
        <w:t>《</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决算总</w:t>
      </w:r>
      <w:r>
        <w:rPr>
          <w:rFonts w:ascii="黑体" w:hAnsi="黑体" w:eastAsia="黑体"/>
          <w:b w:val="0"/>
          <w:sz w:val="30"/>
          <w:szCs w:val="30"/>
        </w:rPr>
        <w:t>表》</w:t>
      </w:r>
      <w:bookmarkEnd w:id="4"/>
    </w:p>
    <w:p>
      <w:pPr>
        <w:pStyle w:val="3"/>
        <w:spacing w:before="0" w:after="0" w:line="800" w:lineRule="exact"/>
        <w:ind w:firstLine="600" w:firstLineChars="200"/>
        <w:rPr>
          <w:rFonts w:ascii="黑体" w:hAnsi="黑体" w:eastAsia="黑体"/>
          <w:b w:val="0"/>
          <w:sz w:val="30"/>
          <w:szCs w:val="30"/>
        </w:rPr>
      </w:pPr>
      <w:bookmarkStart w:id="5" w:name="_Toc1616"/>
      <w:r>
        <w:rPr>
          <w:rFonts w:ascii="黑体" w:hAnsi="黑体" w:eastAsia="黑体"/>
          <w:b w:val="0"/>
          <w:sz w:val="30"/>
          <w:szCs w:val="30"/>
        </w:rPr>
        <w:t>二、《收入</w:t>
      </w:r>
      <w:r>
        <w:rPr>
          <w:rFonts w:hint="eastAsia" w:ascii="黑体" w:hAnsi="黑体" w:eastAsia="黑体"/>
          <w:b w:val="0"/>
          <w:sz w:val="30"/>
          <w:szCs w:val="30"/>
        </w:rPr>
        <w:t>决算</w:t>
      </w:r>
      <w:r>
        <w:rPr>
          <w:rFonts w:ascii="黑体" w:hAnsi="黑体" w:eastAsia="黑体"/>
          <w:b w:val="0"/>
          <w:sz w:val="30"/>
          <w:szCs w:val="30"/>
        </w:rPr>
        <w:t>表</w:t>
      </w:r>
      <w:r>
        <w:rPr>
          <w:rFonts w:hint="eastAsia" w:ascii="黑体" w:hAnsi="黑体" w:eastAsia="黑体"/>
          <w:b w:val="0"/>
          <w:sz w:val="30"/>
          <w:szCs w:val="30"/>
        </w:rPr>
        <w:t>（按功能分类列示）</w:t>
      </w:r>
      <w:r>
        <w:rPr>
          <w:rFonts w:ascii="黑体" w:hAnsi="黑体" w:eastAsia="黑体"/>
          <w:b w:val="0"/>
          <w:sz w:val="30"/>
          <w:szCs w:val="30"/>
        </w:rPr>
        <w:t>》</w:t>
      </w:r>
      <w:bookmarkEnd w:id="5"/>
    </w:p>
    <w:p>
      <w:pPr>
        <w:pStyle w:val="3"/>
        <w:spacing w:before="0" w:after="0" w:line="800" w:lineRule="exact"/>
        <w:ind w:firstLine="600" w:firstLineChars="200"/>
        <w:rPr>
          <w:rFonts w:ascii="黑体" w:hAnsi="黑体" w:eastAsia="黑体"/>
          <w:b w:val="0"/>
          <w:sz w:val="30"/>
          <w:szCs w:val="30"/>
        </w:rPr>
      </w:pPr>
      <w:bookmarkStart w:id="6" w:name="_Toc12050"/>
      <w:r>
        <w:rPr>
          <w:rFonts w:hint="eastAsia" w:ascii="黑体" w:hAnsi="黑体" w:eastAsia="黑体"/>
          <w:b w:val="0"/>
          <w:sz w:val="30"/>
          <w:szCs w:val="30"/>
        </w:rPr>
        <w:t>三</w:t>
      </w:r>
      <w:r>
        <w:rPr>
          <w:rFonts w:ascii="黑体" w:hAnsi="黑体" w:eastAsia="黑体"/>
          <w:b w:val="0"/>
          <w:sz w:val="30"/>
          <w:szCs w:val="30"/>
        </w:rPr>
        <w:t>、《收入</w:t>
      </w:r>
      <w:r>
        <w:rPr>
          <w:rFonts w:hint="eastAsia" w:ascii="黑体" w:hAnsi="黑体" w:eastAsia="黑体"/>
          <w:b w:val="0"/>
          <w:sz w:val="30"/>
          <w:szCs w:val="30"/>
        </w:rPr>
        <w:t>决算</w:t>
      </w:r>
      <w:r>
        <w:rPr>
          <w:rFonts w:ascii="黑体" w:hAnsi="黑体" w:eastAsia="黑体"/>
          <w:b w:val="0"/>
          <w:sz w:val="30"/>
          <w:szCs w:val="30"/>
        </w:rPr>
        <w:t>表</w:t>
      </w:r>
      <w:r>
        <w:rPr>
          <w:rFonts w:hint="eastAsia" w:ascii="黑体" w:hAnsi="黑体" w:eastAsia="黑体"/>
          <w:b w:val="0"/>
          <w:sz w:val="30"/>
          <w:szCs w:val="30"/>
        </w:rPr>
        <w:t>（按单位列示）</w:t>
      </w:r>
      <w:r>
        <w:rPr>
          <w:rFonts w:ascii="黑体" w:hAnsi="黑体" w:eastAsia="黑体"/>
          <w:b w:val="0"/>
          <w:sz w:val="30"/>
          <w:szCs w:val="30"/>
        </w:rPr>
        <w:t>》</w:t>
      </w:r>
      <w:bookmarkEnd w:id="6"/>
    </w:p>
    <w:p>
      <w:pPr>
        <w:pStyle w:val="3"/>
        <w:spacing w:before="0" w:after="0" w:line="800" w:lineRule="exact"/>
        <w:ind w:firstLine="600" w:firstLineChars="200"/>
        <w:rPr>
          <w:rFonts w:ascii="黑体" w:hAnsi="黑体" w:eastAsia="黑体"/>
          <w:b w:val="0"/>
          <w:sz w:val="30"/>
          <w:szCs w:val="30"/>
        </w:rPr>
      </w:pPr>
      <w:bookmarkStart w:id="7" w:name="_Toc1989"/>
      <w:r>
        <w:rPr>
          <w:rFonts w:hint="eastAsia" w:ascii="黑体" w:hAnsi="黑体" w:eastAsia="黑体"/>
          <w:b w:val="0"/>
          <w:sz w:val="30"/>
          <w:szCs w:val="30"/>
        </w:rPr>
        <w:t>四、</w:t>
      </w:r>
      <w:r>
        <w:rPr>
          <w:rFonts w:ascii="黑体" w:hAnsi="黑体" w:eastAsia="黑体"/>
          <w:b w:val="0"/>
          <w:sz w:val="30"/>
          <w:szCs w:val="30"/>
        </w:rPr>
        <w:t>《支出</w:t>
      </w:r>
      <w:r>
        <w:rPr>
          <w:rFonts w:hint="eastAsia" w:ascii="黑体" w:hAnsi="黑体" w:eastAsia="黑体"/>
          <w:b w:val="0"/>
          <w:sz w:val="30"/>
          <w:szCs w:val="30"/>
        </w:rPr>
        <w:t>决算</w:t>
      </w:r>
      <w:r>
        <w:rPr>
          <w:rFonts w:ascii="黑体" w:hAnsi="黑体" w:eastAsia="黑体"/>
          <w:b w:val="0"/>
          <w:sz w:val="30"/>
          <w:szCs w:val="30"/>
        </w:rPr>
        <w:t>表》</w:t>
      </w:r>
      <w:bookmarkEnd w:id="7"/>
    </w:p>
    <w:p>
      <w:pPr>
        <w:pStyle w:val="3"/>
        <w:spacing w:before="0" w:after="0" w:line="800" w:lineRule="exact"/>
        <w:ind w:firstLine="600" w:firstLineChars="200"/>
        <w:rPr>
          <w:rFonts w:ascii="黑体" w:hAnsi="黑体" w:eastAsia="黑体"/>
          <w:b w:val="0"/>
          <w:sz w:val="30"/>
          <w:szCs w:val="30"/>
        </w:rPr>
      </w:pPr>
      <w:bookmarkStart w:id="8" w:name="_Toc32498"/>
      <w:r>
        <w:rPr>
          <w:rFonts w:ascii="黑体" w:hAnsi="黑体" w:eastAsia="黑体"/>
          <w:b w:val="0"/>
          <w:sz w:val="30"/>
          <w:szCs w:val="30"/>
        </w:rPr>
        <w:t>五</w:t>
      </w:r>
      <w:r>
        <w:rPr>
          <w:rFonts w:hint="eastAsia" w:ascii="黑体" w:hAnsi="黑体" w:eastAsia="黑体"/>
          <w:b w:val="0"/>
          <w:sz w:val="30"/>
          <w:szCs w:val="30"/>
        </w:rPr>
        <w:t>、</w:t>
      </w:r>
      <w:r>
        <w:rPr>
          <w:rFonts w:ascii="黑体" w:hAnsi="黑体" w:eastAsia="黑体"/>
          <w:b w:val="0"/>
          <w:sz w:val="30"/>
          <w:szCs w:val="30"/>
        </w:rPr>
        <w:t>《财政拨款</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决算总</w:t>
      </w:r>
      <w:r>
        <w:rPr>
          <w:rFonts w:ascii="黑体" w:hAnsi="黑体" w:eastAsia="黑体"/>
          <w:b w:val="0"/>
          <w:sz w:val="30"/>
          <w:szCs w:val="30"/>
        </w:rPr>
        <w:t>表》</w:t>
      </w:r>
      <w:bookmarkEnd w:id="8"/>
    </w:p>
    <w:p>
      <w:pPr>
        <w:pStyle w:val="3"/>
        <w:spacing w:before="0" w:after="0" w:line="800" w:lineRule="exact"/>
        <w:ind w:firstLine="600" w:firstLineChars="200"/>
        <w:rPr>
          <w:rFonts w:ascii="黑体" w:hAnsi="黑体" w:eastAsia="黑体"/>
          <w:b w:val="0"/>
          <w:sz w:val="30"/>
          <w:szCs w:val="30"/>
        </w:rPr>
      </w:pPr>
      <w:bookmarkStart w:id="9" w:name="_Toc26379"/>
      <w:r>
        <w:rPr>
          <w:rFonts w:ascii="黑体" w:hAnsi="黑体" w:eastAsia="黑体"/>
          <w:b w:val="0"/>
          <w:sz w:val="30"/>
          <w:szCs w:val="30"/>
        </w:rPr>
        <w:t>六</w:t>
      </w:r>
      <w:r>
        <w:rPr>
          <w:rFonts w:hint="eastAsia" w:ascii="黑体" w:hAnsi="黑体" w:eastAsia="黑体"/>
          <w:b w:val="0"/>
          <w:sz w:val="30"/>
          <w:szCs w:val="30"/>
        </w:rPr>
        <w:t>、</w:t>
      </w:r>
      <w:r>
        <w:rPr>
          <w:rFonts w:ascii="黑体" w:hAnsi="黑体" w:eastAsia="黑体"/>
          <w:b w:val="0"/>
          <w:sz w:val="30"/>
          <w:szCs w:val="30"/>
        </w:rPr>
        <w:t>《一般公共预算财政拨款支出</w:t>
      </w:r>
      <w:r>
        <w:rPr>
          <w:rFonts w:hint="eastAsia" w:ascii="黑体" w:hAnsi="黑体" w:eastAsia="黑体"/>
          <w:b w:val="0"/>
          <w:sz w:val="30"/>
          <w:szCs w:val="30"/>
        </w:rPr>
        <w:t>决算</w:t>
      </w:r>
      <w:r>
        <w:rPr>
          <w:rFonts w:ascii="黑体" w:hAnsi="黑体" w:eastAsia="黑体"/>
          <w:b w:val="0"/>
          <w:sz w:val="30"/>
          <w:szCs w:val="30"/>
        </w:rPr>
        <w:t>表》</w:t>
      </w:r>
      <w:bookmarkEnd w:id="9"/>
    </w:p>
    <w:p>
      <w:pPr>
        <w:pStyle w:val="3"/>
        <w:spacing w:before="0" w:after="0" w:line="800" w:lineRule="exact"/>
        <w:ind w:firstLine="600" w:firstLineChars="200"/>
        <w:rPr>
          <w:rFonts w:ascii="黑体" w:hAnsi="黑体" w:eastAsia="黑体"/>
          <w:b w:val="0"/>
          <w:sz w:val="30"/>
          <w:szCs w:val="30"/>
        </w:rPr>
      </w:pPr>
      <w:bookmarkStart w:id="10" w:name="_Toc4498"/>
      <w:r>
        <w:rPr>
          <w:rFonts w:ascii="黑体" w:hAnsi="黑体" w:eastAsia="黑体"/>
          <w:b w:val="0"/>
          <w:sz w:val="30"/>
          <w:szCs w:val="30"/>
        </w:rPr>
        <w:t>七</w:t>
      </w:r>
      <w:r>
        <w:rPr>
          <w:rFonts w:hint="eastAsia" w:ascii="黑体" w:hAnsi="黑体" w:eastAsia="黑体"/>
          <w:b w:val="0"/>
          <w:sz w:val="30"/>
          <w:szCs w:val="30"/>
        </w:rPr>
        <w:t>、</w:t>
      </w:r>
      <w:r>
        <w:rPr>
          <w:rFonts w:ascii="黑体" w:hAnsi="黑体" w:eastAsia="黑体"/>
          <w:b w:val="0"/>
          <w:sz w:val="30"/>
          <w:szCs w:val="30"/>
        </w:rPr>
        <w:t>《一般公共预算财政拨款基本支出</w:t>
      </w:r>
      <w:r>
        <w:rPr>
          <w:rFonts w:hint="eastAsia" w:ascii="黑体" w:hAnsi="黑体" w:eastAsia="黑体"/>
          <w:b w:val="0"/>
          <w:sz w:val="30"/>
          <w:szCs w:val="30"/>
        </w:rPr>
        <w:t>决算</w:t>
      </w:r>
      <w:r>
        <w:rPr>
          <w:rFonts w:ascii="黑体" w:hAnsi="黑体" w:eastAsia="黑体"/>
          <w:b w:val="0"/>
          <w:sz w:val="30"/>
          <w:szCs w:val="30"/>
        </w:rPr>
        <w:t>表》</w:t>
      </w:r>
      <w:bookmarkEnd w:id="10"/>
    </w:p>
    <w:p>
      <w:pPr>
        <w:pStyle w:val="3"/>
        <w:spacing w:before="0" w:after="0" w:line="800" w:lineRule="exact"/>
        <w:ind w:firstLine="600" w:firstLineChars="200"/>
        <w:rPr>
          <w:rFonts w:ascii="黑体" w:hAnsi="黑体" w:eastAsia="黑体"/>
          <w:b w:val="0"/>
          <w:sz w:val="30"/>
          <w:szCs w:val="30"/>
        </w:rPr>
      </w:pPr>
      <w:bookmarkStart w:id="11" w:name="_Toc18038"/>
      <w:r>
        <w:rPr>
          <w:rFonts w:hint="eastAsia" w:ascii="黑体" w:hAnsi="黑体" w:eastAsia="黑体"/>
          <w:b w:val="0"/>
          <w:sz w:val="30"/>
          <w:szCs w:val="30"/>
        </w:rPr>
        <w:t>八、</w:t>
      </w:r>
      <w:r>
        <w:rPr>
          <w:rFonts w:ascii="黑体" w:hAnsi="黑体" w:eastAsia="黑体"/>
          <w:b w:val="0"/>
          <w:sz w:val="30"/>
          <w:szCs w:val="30"/>
        </w:rPr>
        <w:t>《政府性基金预算财政拨款</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w:t>
      </w:r>
      <w:r>
        <w:rPr>
          <w:rFonts w:ascii="黑体" w:hAnsi="黑体" w:eastAsia="黑体"/>
          <w:b w:val="0"/>
          <w:sz w:val="30"/>
          <w:szCs w:val="30"/>
        </w:rPr>
        <w:t>表》</w:t>
      </w:r>
      <w:bookmarkEnd w:id="11"/>
    </w:p>
    <w:p>
      <w:pPr>
        <w:pStyle w:val="3"/>
        <w:spacing w:before="0" w:after="0" w:line="800" w:lineRule="exact"/>
        <w:ind w:firstLine="600" w:firstLineChars="200"/>
        <w:rPr>
          <w:rFonts w:ascii="黑体" w:hAnsi="黑体" w:eastAsia="黑体"/>
          <w:b w:val="0"/>
          <w:sz w:val="30"/>
          <w:szCs w:val="30"/>
        </w:rPr>
      </w:pPr>
      <w:bookmarkStart w:id="12" w:name="_Toc13200"/>
      <w:r>
        <w:rPr>
          <w:rFonts w:hint="eastAsia" w:ascii="黑体" w:hAnsi="黑体" w:eastAsia="黑体"/>
          <w:b w:val="0"/>
          <w:sz w:val="30"/>
          <w:szCs w:val="30"/>
        </w:rPr>
        <w:t>九、</w:t>
      </w:r>
      <w:r>
        <w:rPr>
          <w:rFonts w:ascii="黑体" w:hAnsi="黑体" w:eastAsia="黑体"/>
          <w:b w:val="0"/>
          <w:sz w:val="30"/>
          <w:szCs w:val="30"/>
        </w:rPr>
        <w:t>《国有资本经营预算财政拨款</w:t>
      </w:r>
      <w:r>
        <w:rPr>
          <w:rFonts w:hint="eastAsia" w:ascii="黑体" w:hAnsi="黑体" w:eastAsia="黑体"/>
          <w:b w:val="0"/>
          <w:sz w:val="30"/>
          <w:szCs w:val="30"/>
        </w:rPr>
        <w:t>收入支出决算</w:t>
      </w:r>
      <w:r>
        <w:rPr>
          <w:rFonts w:ascii="黑体" w:hAnsi="黑体" w:eastAsia="黑体"/>
          <w:b w:val="0"/>
          <w:sz w:val="30"/>
          <w:szCs w:val="30"/>
        </w:rPr>
        <w:t>表》</w:t>
      </w:r>
      <w:bookmarkEnd w:id="12"/>
    </w:p>
    <w:p>
      <w:pPr>
        <w:pStyle w:val="3"/>
        <w:spacing w:before="0" w:after="0" w:line="800" w:lineRule="exact"/>
        <w:ind w:firstLine="600" w:firstLineChars="200"/>
        <w:rPr>
          <w:rFonts w:ascii="黑体" w:hAnsi="黑体" w:eastAsia="黑体"/>
          <w:b w:val="0"/>
          <w:sz w:val="30"/>
          <w:szCs w:val="30"/>
        </w:rPr>
      </w:pPr>
      <w:bookmarkStart w:id="13" w:name="_Toc3423"/>
      <w:r>
        <w:rPr>
          <w:rFonts w:hint="eastAsia" w:ascii="黑体" w:hAnsi="黑体" w:eastAsia="黑体"/>
          <w:b w:val="0"/>
          <w:sz w:val="30"/>
          <w:szCs w:val="30"/>
        </w:rPr>
        <w:t>十、</w:t>
      </w:r>
      <w:r>
        <w:rPr>
          <w:rFonts w:ascii="黑体" w:hAnsi="黑体" w:eastAsia="黑体"/>
          <w:b w:val="0"/>
          <w:sz w:val="30"/>
          <w:szCs w:val="30"/>
        </w:rPr>
        <w:t>《一般公共预算财政拨款“三公”经费支出</w:t>
      </w:r>
      <w:r>
        <w:rPr>
          <w:rFonts w:hint="eastAsia" w:ascii="黑体" w:hAnsi="黑体" w:eastAsia="黑体"/>
          <w:b w:val="0"/>
          <w:sz w:val="30"/>
          <w:szCs w:val="30"/>
        </w:rPr>
        <w:t>决算</w:t>
      </w:r>
      <w:r>
        <w:rPr>
          <w:rFonts w:ascii="黑体" w:hAnsi="黑体" w:eastAsia="黑体"/>
          <w:b w:val="0"/>
          <w:sz w:val="30"/>
          <w:szCs w:val="30"/>
        </w:rPr>
        <w:t>表》</w:t>
      </w:r>
      <w:bookmarkEnd w:id="13"/>
    </w:p>
    <w:p>
      <w:pPr>
        <w:pStyle w:val="3"/>
        <w:spacing w:before="0" w:after="0" w:line="800" w:lineRule="exact"/>
        <w:ind w:firstLine="600" w:firstLineChars="200"/>
        <w:rPr>
          <w:rFonts w:ascii="黑体" w:hAnsi="黑体" w:eastAsia="黑体"/>
          <w:b w:val="0"/>
          <w:sz w:val="30"/>
          <w:szCs w:val="30"/>
        </w:rPr>
      </w:pPr>
      <w:bookmarkStart w:id="14" w:name="_Toc3915"/>
      <w:r>
        <w:rPr>
          <w:rFonts w:ascii="黑体" w:hAnsi="黑体" w:eastAsia="黑体"/>
          <w:b w:val="0"/>
          <w:sz w:val="30"/>
          <w:szCs w:val="30"/>
        </w:rPr>
        <w:t>十</w:t>
      </w:r>
      <w:r>
        <w:rPr>
          <w:rFonts w:hint="eastAsia" w:ascii="黑体" w:hAnsi="黑体" w:eastAsia="黑体"/>
          <w:b w:val="0"/>
          <w:sz w:val="30"/>
          <w:szCs w:val="30"/>
        </w:rPr>
        <w:t>一、</w:t>
      </w:r>
      <w:r>
        <w:rPr>
          <w:rFonts w:ascii="黑体" w:hAnsi="黑体" w:eastAsia="黑体"/>
          <w:b w:val="0"/>
          <w:sz w:val="30"/>
          <w:szCs w:val="30"/>
        </w:rPr>
        <w:t>《项目支出决算表》</w:t>
      </w:r>
      <w:bookmarkEnd w:id="14"/>
    </w:p>
    <w:p>
      <w:pPr>
        <w:spacing w:line="800" w:lineRule="exact"/>
      </w:pPr>
      <w:r>
        <w:rPr>
          <w:rFonts w:hint="eastAsia" w:eastAsia="楷体"/>
          <w:sz w:val="30"/>
          <w:szCs w:val="30"/>
        </w:rPr>
        <w:t>注：以上决算公开表均作为附表，附于决算公开说明文档后。</w:t>
      </w:r>
    </w:p>
    <w:p>
      <w:pPr>
        <w:pStyle w:val="3"/>
        <w:numPr>
          <w:ilvl w:val="0"/>
          <w:numId w:val="1"/>
        </w:numPr>
        <w:spacing w:before="0" w:after="0" w:line="800" w:lineRule="exact"/>
        <w:ind w:firstLine="600" w:firstLineChars="200"/>
        <w:rPr>
          <w:rFonts w:ascii="黑体" w:hAnsi="黑体" w:eastAsia="黑体"/>
          <w:b w:val="0"/>
          <w:bCs w:val="0"/>
          <w:sz w:val="30"/>
          <w:szCs w:val="30"/>
        </w:rPr>
      </w:pPr>
      <w:bookmarkStart w:id="15" w:name="_Toc17260"/>
      <w:r>
        <w:rPr>
          <w:rFonts w:hint="eastAsia" w:ascii="黑体" w:hAnsi="黑体" w:eastAsia="黑体"/>
          <w:b w:val="0"/>
          <w:bCs w:val="0"/>
          <w:sz w:val="30"/>
          <w:szCs w:val="30"/>
        </w:rPr>
        <w:t>关于空表的说明</w:t>
      </w:r>
      <w:bookmarkEnd w:id="15"/>
    </w:p>
    <w:p>
      <w:pPr>
        <w:spacing w:line="600" w:lineRule="exact"/>
        <w:rPr>
          <w:rFonts w:ascii="仿宋_GB2312" w:eastAsia="仿宋_GB2312" w:cs="仿宋_GB2312"/>
          <w:sz w:val="30"/>
          <w:szCs w:val="30"/>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rPr>
        <w:t xml:space="preserve">    天津市津南区北闸口镇党群服务中心2022年度国有资本经营预算财政拨款收入支出决算表为空表。</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天津市津南区北闸口镇党群服务中心2022年度一般公共预算财政拨款“三公”经费支出决算表为空表。</w:t>
      </w:r>
    </w:p>
    <w:p>
      <w:pPr>
        <w:spacing w:line="600" w:lineRule="exact"/>
        <w:rPr>
          <w:rFonts w:ascii="仿宋_GB2312" w:eastAsia="仿宋_GB2312" w:cs="仿宋_GB2312"/>
          <w:sz w:val="30"/>
          <w:szCs w:val="30"/>
        </w:rPr>
      </w:pPr>
    </w:p>
    <w:p>
      <w:pPr>
        <w:pStyle w:val="2"/>
        <w:spacing w:before="0" w:after="0" w:line="600" w:lineRule="exact"/>
        <w:jc w:val="center"/>
        <w:rPr>
          <w:rFonts w:ascii="方正小标宋简体" w:hAnsi="方正小标宋简体" w:eastAsia="方正小标宋简体" w:cs="方正小标宋简体"/>
          <w:b w:val="0"/>
        </w:rPr>
      </w:pPr>
      <w:bookmarkStart w:id="16" w:name="_Toc396"/>
      <w:r>
        <w:rPr>
          <w:rFonts w:ascii="方正小标宋简体" w:hAnsi="方正小标宋简体" w:eastAsia="方正小标宋简体" w:cs="方正小标宋简体"/>
          <w:b w:val="0"/>
        </w:rPr>
        <w:t>第</w:t>
      </w:r>
      <w:r>
        <w:rPr>
          <w:rFonts w:hint="eastAsia" w:ascii="方正小标宋简体" w:hAnsi="方正小标宋简体" w:eastAsia="方正小标宋简体" w:cs="方正小标宋简体"/>
          <w:b w:val="0"/>
        </w:rPr>
        <w:t>三</w:t>
      </w:r>
      <w:r>
        <w:rPr>
          <w:rFonts w:ascii="方正小标宋简体" w:hAnsi="方正小标宋简体" w:eastAsia="方正小标宋简体" w:cs="方正小标宋简体"/>
          <w:b w:val="0"/>
        </w:rPr>
        <w:t xml:space="preserve">部分  </w:t>
      </w:r>
      <w:r>
        <w:rPr>
          <w:rFonts w:hint="eastAsia" w:ascii="方正小标宋简体" w:hAnsi="方正小标宋简体" w:eastAsia="方正小标宋简体" w:cs="方正小标宋简体"/>
          <w:b w:val="0"/>
        </w:rPr>
        <w:t>2022</w:t>
      </w:r>
      <w:r>
        <w:rPr>
          <w:rFonts w:ascii="方正小标宋简体" w:hAnsi="方正小标宋简体" w:eastAsia="方正小标宋简体" w:cs="方正小标宋简体"/>
          <w:b w:val="0"/>
        </w:rPr>
        <w:t>年度部门决算</w:t>
      </w:r>
      <w:r>
        <w:rPr>
          <w:rFonts w:hint="eastAsia" w:ascii="方正小标宋简体" w:hAnsi="方正小标宋简体" w:eastAsia="方正小标宋简体" w:cs="方正小标宋简体"/>
          <w:b w:val="0"/>
        </w:rPr>
        <w:t>情况</w:t>
      </w:r>
      <w:r>
        <w:rPr>
          <w:rFonts w:ascii="方正小标宋简体" w:hAnsi="方正小标宋简体" w:eastAsia="方正小标宋简体" w:cs="方正小标宋简体"/>
          <w:b w:val="0"/>
        </w:rPr>
        <w:t>说明</w:t>
      </w:r>
      <w:bookmarkEnd w:id="16"/>
    </w:p>
    <w:p>
      <w:pPr>
        <w:spacing w:line="600" w:lineRule="exact"/>
        <w:ind w:firstLine="600" w:firstLineChars="200"/>
        <w:rPr>
          <w:rFonts w:ascii="黑体" w:eastAsia="黑体"/>
          <w:sz w:val="30"/>
          <w:szCs w:val="30"/>
        </w:rPr>
      </w:pPr>
    </w:p>
    <w:p>
      <w:pPr>
        <w:pStyle w:val="3"/>
        <w:spacing w:before="0" w:after="0" w:line="600" w:lineRule="exact"/>
        <w:ind w:firstLine="600" w:firstLineChars="200"/>
        <w:rPr>
          <w:rFonts w:ascii="黑体" w:hAnsi="黑体" w:eastAsia="黑体"/>
          <w:b w:val="0"/>
          <w:sz w:val="30"/>
          <w:szCs w:val="30"/>
        </w:rPr>
      </w:pPr>
      <w:bookmarkStart w:id="17" w:name="_Toc24340"/>
      <w:r>
        <w:rPr>
          <w:rFonts w:hint="eastAsia" w:ascii="黑体" w:hAnsi="黑体" w:eastAsia="黑体"/>
          <w:b w:val="0"/>
          <w:sz w:val="30"/>
          <w:szCs w:val="30"/>
        </w:rPr>
        <w:t>一、收入支出决算总体情况说明</w:t>
      </w:r>
      <w:bookmarkEnd w:id="17"/>
    </w:p>
    <w:p>
      <w:pPr>
        <w:spacing w:line="600" w:lineRule="exact"/>
        <w:rPr>
          <w:rFonts w:hint="eastAsia" w:ascii="仿宋_GB2312" w:eastAsia="仿宋_GB2312" w:cs="仿宋_GB2312"/>
          <w:sz w:val="30"/>
          <w:szCs w:val="30"/>
        </w:rPr>
      </w:pPr>
      <w:r>
        <w:rPr>
          <w:rFonts w:hint="eastAsia" w:eastAsia="仿宋_GB2312"/>
          <w:sz w:val="30"/>
          <w:szCs w:val="30"/>
        </w:rPr>
        <w:t xml:space="preserve">    </w:t>
      </w:r>
      <w:r>
        <w:rPr>
          <w:rFonts w:hint="eastAsia" w:ascii="仿宋_GB2312" w:eastAsia="仿宋_GB2312" w:cs="仿宋_GB2312"/>
          <w:sz w:val="30"/>
          <w:szCs w:val="30"/>
        </w:rPr>
        <w:t>天津市津南区北闸口镇党群服务中心2022年度收入、支出决算总计26141981.57元。与2021年度相比，收、支总计各减少8893267.41元，下降25.38%，主要原因是</w:t>
      </w:r>
      <w:r>
        <w:rPr>
          <w:rFonts w:hint="eastAsia" w:ascii="仿宋_GB2312" w:eastAsia="仿宋_GB2312" w:cs="仿宋_GB2312"/>
          <w:sz w:val="30"/>
          <w:szCs w:val="30"/>
          <w:lang w:eastAsia="zh-CN"/>
        </w:rPr>
        <w:t>最低生活保障变更发放方式由区一卡通发放</w:t>
      </w:r>
      <w:r>
        <w:rPr>
          <w:rFonts w:hint="eastAsia" w:ascii="仿宋_GB2312" w:eastAsia="仿宋_GB2312" w:cs="仿宋_GB2312"/>
          <w:sz w:val="30"/>
          <w:szCs w:val="30"/>
        </w:rPr>
        <w:t>。</w:t>
      </w:r>
    </w:p>
    <w:p>
      <w:pPr>
        <w:pStyle w:val="3"/>
        <w:spacing w:before="0" w:after="0" w:line="600" w:lineRule="exact"/>
        <w:ind w:firstLine="600" w:firstLineChars="200"/>
        <w:rPr>
          <w:rFonts w:ascii="黑体" w:hAnsi="黑体" w:eastAsia="黑体" w:cs="仿宋_GB2312"/>
          <w:b w:val="0"/>
          <w:sz w:val="30"/>
          <w:szCs w:val="30"/>
        </w:rPr>
      </w:pPr>
      <w:bookmarkStart w:id="18" w:name="_Toc18552"/>
      <w:r>
        <w:rPr>
          <w:rFonts w:hint="eastAsia" w:ascii="黑体" w:hAnsi="黑体" w:eastAsia="黑体" w:cs="仿宋_GB2312"/>
          <w:b w:val="0"/>
          <w:sz w:val="30"/>
          <w:szCs w:val="30"/>
        </w:rPr>
        <w:t>二、收入决算情况说明</w:t>
      </w:r>
      <w:bookmarkEnd w:id="18"/>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天津市津南区北闸口镇党群服务中心2022年度本年收入合计26110581.57元，与2021年度相比减少7855911.69元，主要原因是</w:t>
      </w:r>
      <w:r>
        <w:rPr>
          <w:rFonts w:hint="eastAsia" w:eastAsia="仿宋_GB2312"/>
          <w:sz w:val="30"/>
          <w:szCs w:val="30"/>
          <w:u w:val="none"/>
          <w:lang w:eastAsia="zh-CN"/>
        </w:rPr>
        <w:t>最低生活保障变更发放方式由区一卡通发放</w:t>
      </w:r>
      <w:r>
        <w:rPr>
          <w:rFonts w:hint="eastAsia" w:eastAsia="仿宋_GB2312"/>
          <w:sz w:val="30"/>
          <w:szCs w:val="30"/>
        </w:rPr>
        <w:t>。</w:t>
      </w:r>
      <w:r>
        <w:rPr>
          <w:rFonts w:hint="eastAsia" w:ascii="仿宋_GB2312" w:eastAsia="仿宋_GB2312" w:cs="仿宋_GB2312"/>
          <w:sz w:val="30"/>
          <w:szCs w:val="30"/>
        </w:rPr>
        <w:t>其中：一般公共预算财政拨款收入25930036.91元，占99.31%；政府性基金预算财政拨款收入4000.00元，占0.02%；其他收入176544.66元，占0.68%。</w:t>
      </w:r>
    </w:p>
    <w:p>
      <w:pPr>
        <w:pStyle w:val="3"/>
        <w:spacing w:before="0" w:after="0" w:line="600" w:lineRule="exact"/>
        <w:ind w:firstLine="600" w:firstLineChars="200"/>
        <w:rPr>
          <w:rFonts w:ascii="黑体" w:hAnsi="黑体" w:eastAsia="黑体" w:cs="仿宋_GB2312"/>
          <w:b w:val="0"/>
          <w:sz w:val="30"/>
          <w:szCs w:val="30"/>
        </w:rPr>
      </w:pPr>
      <w:bookmarkStart w:id="19" w:name="_Toc26952"/>
      <w:r>
        <w:rPr>
          <w:rFonts w:hint="eastAsia" w:ascii="黑体" w:hAnsi="黑体" w:eastAsia="黑体" w:cs="仿宋_GB2312"/>
          <w:b w:val="0"/>
          <w:sz w:val="30"/>
          <w:szCs w:val="30"/>
        </w:rPr>
        <w:t>三、</w:t>
      </w:r>
      <w:r>
        <w:rPr>
          <w:rFonts w:ascii="黑体" w:hAnsi="黑体" w:eastAsia="黑体" w:cs="仿宋_GB2312"/>
          <w:b w:val="0"/>
          <w:sz w:val="30"/>
          <w:szCs w:val="30"/>
        </w:rPr>
        <w:t>支出</w:t>
      </w:r>
      <w:r>
        <w:rPr>
          <w:rFonts w:hint="eastAsia" w:ascii="黑体" w:hAnsi="黑体" w:eastAsia="黑体" w:cs="仿宋_GB2312"/>
          <w:b w:val="0"/>
          <w:sz w:val="30"/>
          <w:szCs w:val="30"/>
        </w:rPr>
        <w:t>决算</w:t>
      </w:r>
      <w:r>
        <w:rPr>
          <w:rFonts w:ascii="黑体" w:hAnsi="黑体" w:eastAsia="黑体" w:cs="仿宋_GB2312"/>
          <w:b w:val="0"/>
          <w:sz w:val="30"/>
          <w:szCs w:val="30"/>
        </w:rPr>
        <w:t>情况</w:t>
      </w:r>
      <w:r>
        <w:rPr>
          <w:rFonts w:hint="eastAsia" w:ascii="黑体" w:hAnsi="黑体" w:eastAsia="黑体" w:cs="仿宋_GB2312"/>
          <w:b w:val="0"/>
          <w:sz w:val="30"/>
          <w:szCs w:val="30"/>
        </w:rPr>
        <w:t>说明</w:t>
      </w:r>
      <w:bookmarkEnd w:id="19"/>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天津市津南区北闸口镇党群服务中心2022年度本年支出合计26108613.01元，与2021年度相比减少8886505.56元，主要原因是</w:t>
      </w:r>
      <w:r>
        <w:rPr>
          <w:rFonts w:hint="eastAsia" w:eastAsia="仿宋_GB2312"/>
          <w:sz w:val="30"/>
          <w:szCs w:val="30"/>
          <w:u w:val="none"/>
          <w:lang w:eastAsia="zh-CN"/>
        </w:rPr>
        <w:t>最低生活保障变更发放方式由区一卡通发放</w:t>
      </w:r>
      <w:r>
        <w:rPr>
          <w:rFonts w:hint="eastAsia" w:eastAsia="仿宋_GB2312"/>
          <w:sz w:val="30"/>
          <w:szCs w:val="30"/>
        </w:rPr>
        <w:t>。</w:t>
      </w:r>
      <w:r>
        <w:rPr>
          <w:rFonts w:hint="eastAsia" w:ascii="仿宋_GB2312" w:eastAsia="仿宋_GB2312" w:cs="仿宋_GB2312"/>
          <w:sz w:val="30"/>
          <w:szCs w:val="30"/>
        </w:rPr>
        <w:t>其中：基本支出106497.42元，占0.41%；项目支出26002115.59元，占99.59%。</w:t>
      </w:r>
    </w:p>
    <w:p>
      <w:pPr>
        <w:pStyle w:val="3"/>
        <w:spacing w:before="0" w:after="0" w:line="600" w:lineRule="exact"/>
        <w:ind w:firstLine="600" w:firstLineChars="200"/>
        <w:rPr>
          <w:rFonts w:ascii="黑体" w:hAnsi="黑体" w:eastAsia="黑体"/>
          <w:b w:val="0"/>
          <w:sz w:val="30"/>
          <w:szCs w:val="30"/>
        </w:rPr>
      </w:pPr>
      <w:bookmarkStart w:id="20" w:name="_Toc1812"/>
      <w:r>
        <w:rPr>
          <w:rFonts w:hint="eastAsia" w:ascii="黑体" w:hAnsi="黑体" w:eastAsia="黑体"/>
          <w:b w:val="0"/>
          <w:sz w:val="30"/>
          <w:szCs w:val="30"/>
        </w:rPr>
        <w:t>四、财政拨款收支决算总体情况说明</w:t>
      </w:r>
      <w:bookmarkEnd w:id="20"/>
    </w:p>
    <w:p>
      <w:pPr>
        <w:spacing w:line="600" w:lineRule="exact"/>
        <w:rPr>
          <w:rFonts w:eastAsia="楷体_GB2312"/>
          <w:b/>
          <w:sz w:val="30"/>
          <w:szCs w:val="30"/>
        </w:rPr>
      </w:pPr>
      <w:r>
        <w:rPr>
          <w:rFonts w:hint="eastAsia" w:eastAsia="仿宋_GB2312"/>
          <w:sz w:val="30"/>
          <w:szCs w:val="30"/>
        </w:rPr>
        <w:t xml:space="preserve">    </w:t>
      </w:r>
      <w:r>
        <w:rPr>
          <w:rFonts w:hint="eastAsia" w:ascii="仿宋_GB2312" w:eastAsia="仿宋_GB2312" w:cs="仿宋_GB2312"/>
          <w:sz w:val="30"/>
          <w:szCs w:val="30"/>
        </w:rPr>
        <w:t>天津市津南区北闸口镇党群服务中心2022年度财政拨款收入、支出决算总计25934036.91元。与2021年度相比，财政拨款收、支总计各减少8846095.86元，下降25.43%，主要原因是</w:t>
      </w:r>
      <w:r>
        <w:rPr>
          <w:rFonts w:hint="eastAsia" w:eastAsia="仿宋_GB2312"/>
          <w:sz w:val="30"/>
          <w:szCs w:val="30"/>
          <w:u w:val="none"/>
          <w:lang w:eastAsia="zh-CN"/>
        </w:rPr>
        <w:t>最低生活保障变更发放方式由区一卡通发放</w:t>
      </w:r>
      <w:r>
        <w:rPr>
          <w:rFonts w:hint="eastAsia" w:eastAsia="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1" w:name="_Toc10091"/>
      <w:r>
        <w:rPr>
          <w:rFonts w:ascii="黑体" w:hAnsi="黑体" w:eastAsia="黑体"/>
          <w:b w:val="0"/>
          <w:sz w:val="30"/>
          <w:szCs w:val="30"/>
        </w:rPr>
        <w:t>五</w:t>
      </w:r>
      <w:r>
        <w:rPr>
          <w:rFonts w:hint="eastAsia" w:ascii="黑体" w:hAnsi="黑体" w:eastAsia="黑体"/>
          <w:b w:val="0"/>
          <w:sz w:val="30"/>
          <w:szCs w:val="30"/>
        </w:rPr>
        <w:t>、</w:t>
      </w:r>
      <w:r>
        <w:rPr>
          <w:rFonts w:ascii="黑体" w:hAnsi="黑体" w:eastAsia="黑体"/>
          <w:b w:val="0"/>
          <w:sz w:val="30"/>
          <w:szCs w:val="30"/>
        </w:rPr>
        <w:t>一般公共预算财政拨款支出决算情况</w:t>
      </w:r>
      <w:r>
        <w:rPr>
          <w:rFonts w:hint="eastAsia" w:ascii="黑体" w:hAnsi="黑体" w:eastAsia="黑体"/>
          <w:b w:val="0"/>
          <w:sz w:val="30"/>
          <w:szCs w:val="30"/>
        </w:rPr>
        <w:t>说明</w:t>
      </w:r>
      <w:bookmarkEnd w:id="21"/>
    </w:p>
    <w:p>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天津市津南区北闸口镇党群服务中心2022年度一般公共预算财政拨款支出合计25930036.91元，占本年支出合计的99.</w:t>
      </w:r>
      <w:r>
        <w:rPr>
          <w:rFonts w:hint="eastAsia" w:ascii="仿宋_GB2312" w:eastAsia="仿宋_GB2312" w:cs="仿宋_GB2312"/>
          <w:sz w:val="30"/>
          <w:szCs w:val="30"/>
          <w:lang w:val="en-US" w:eastAsia="zh-CN"/>
        </w:rPr>
        <w:t>32</w:t>
      </w:r>
      <w:bookmarkStart w:id="32" w:name="_GoBack"/>
      <w:bookmarkEnd w:id="32"/>
      <w:r>
        <w:rPr>
          <w:rFonts w:hint="eastAsia" w:ascii="仿宋_GB2312" w:eastAsia="仿宋_GB2312" w:cs="仿宋_GB2312"/>
          <w:sz w:val="30"/>
          <w:szCs w:val="30"/>
        </w:rPr>
        <w:t>%。与2021年度相比，一般公共预算财政拨款支出减少8640465.86元，下降24.99%，主要原因是</w:t>
      </w:r>
      <w:r>
        <w:rPr>
          <w:rFonts w:hint="eastAsia" w:eastAsia="仿宋_GB2312"/>
          <w:sz w:val="30"/>
          <w:szCs w:val="30"/>
          <w:u w:val="none"/>
          <w:lang w:eastAsia="zh-CN"/>
        </w:rPr>
        <w:t>最低生活保障变更发放方式由区一卡通发放</w:t>
      </w:r>
      <w:r>
        <w:rPr>
          <w:rFonts w:hint="eastAsia" w:eastAsia="仿宋_GB2312"/>
          <w:sz w:val="30"/>
          <w:szCs w:val="30"/>
        </w:rPr>
        <w:t>。</w:t>
      </w:r>
    </w:p>
    <w:p>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2022年度一般公共预算财政拨款支出25930036.91元，主要用于以下方面：</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一般公共服务支出（类）支出106497.42元，占0.41%；</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社会保障和就业支出（类）支出23445699.99元，占90.42%；</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卫生健康支出（类）支出2377839.50元，占9.17%。</w:t>
      </w:r>
    </w:p>
    <w:p>
      <w:pPr>
        <w:numPr>
          <w:ilvl w:val="0"/>
          <w:numId w:val="2"/>
        </w:numPr>
        <w:spacing w:line="600" w:lineRule="exact"/>
        <w:ind w:firstLine="602" w:firstLineChars="200"/>
        <w:rPr>
          <w:rFonts w:ascii="楷体" w:hAnsi="楷体" w:eastAsia="楷体" w:cs="仿宋_GB2312"/>
          <w:b/>
          <w:sz w:val="30"/>
          <w:szCs w:val="30"/>
        </w:rPr>
      </w:pPr>
      <w:r>
        <w:rPr>
          <w:rFonts w:ascii="楷体" w:hAnsi="楷体" w:eastAsia="楷体" w:cs="仿宋_GB2312"/>
          <w:b/>
          <w:sz w:val="30"/>
          <w:szCs w:val="30"/>
        </w:rPr>
        <w:t>具体情况</w:t>
      </w:r>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2022年度一般公共预算财政拨款支出年初预算为34137993.98元，支出决算为25930036.91元，完成年初预算的75.96%。其中：</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一般公共服务支出（类）政府办公厅（室）及相关机构事务（款）事业运行（项）年初预算为</w:t>
      </w:r>
      <w:r>
        <w:rPr>
          <w:rFonts w:hint="eastAsia" w:ascii="仿宋_GB2312" w:eastAsia="仿宋_GB2312" w:cs="仿宋_GB2312"/>
          <w:sz w:val="30"/>
          <w:szCs w:val="30"/>
          <w:lang w:val="en-US" w:eastAsia="zh-CN"/>
        </w:rPr>
        <w:t>258000.00</w:t>
      </w:r>
      <w:r>
        <w:rPr>
          <w:rFonts w:hint="eastAsia" w:ascii="仿宋_GB2312" w:eastAsia="仿宋_GB2312" w:cs="仿宋_GB2312"/>
          <w:sz w:val="30"/>
          <w:szCs w:val="30"/>
        </w:rPr>
        <w:t>元，支出决算为106497.42元，完成年初预算数的</w:t>
      </w:r>
      <w:r>
        <w:rPr>
          <w:rFonts w:hint="eastAsia" w:ascii="仿宋_GB2312" w:eastAsia="仿宋_GB2312" w:cs="仿宋_GB2312"/>
          <w:sz w:val="30"/>
          <w:szCs w:val="30"/>
          <w:lang w:val="en-US" w:eastAsia="zh-CN"/>
        </w:rPr>
        <w:t>41.28</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u w:val="none"/>
          <w:lang w:eastAsia="zh-CN"/>
        </w:rPr>
        <w:t>部门整体缩减开支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社会保障和就业支出（类）人力资源和社会保障管理事务（款）其他人力资源和社会保障管理事务支出（项）年初预算为</w:t>
      </w:r>
      <w:r>
        <w:rPr>
          <w:rFonts w:hint="eastAsia" w:ascii="仿宋_GB2312" w:eastAsia="仿宋_GB2312" w:cs="仿宋_GB2312"/>
          <w:sz w:val="30"/>
          <w:szCs w:val="30"/>
          <w:lang w:val="en-US" w:eastAsia="zh-CN"/>
        </w:rPr>
        <w:t>17444312.96</w:t>
      </w:r>
      <w:r>
        <w:rPr>
          <w:rFonts w:hint="eastAsia" w:ascii="仿宋_GB2312" w:eastAsia="仿宋_GB2312" w:cs="仿宋_GB2312"/>
          <w:sz w:val="30"/>
          <w:szCs w:val="30"/>
        </w:rPr>
        <w:t>元，支出决算为17140912.21元，完成年初预算数的</w:t>
      </w:r>
      <w:r>
        <w:rPr>
          <w:rFonts w:hint="eastAsia" w:ascii="仿宋_GB2312" w:eastAsia="仿宋_GB2312" w:cs="仿宋_GB2312"/>
          <w:sz w:val="30"/>
          <w:szCs w:val="30"/>
          <w:lang w:val="en-US" w:eastAsia="zh-CN"/>
        </w:rPr>
        <w:t>98.26</w:t>
      </w:r>
      <w:r>
        <w:rPr>
          <w:rFonts w:hint="eastAsia" w:ascii="仿宋_GB2312" w:eastAsia="仿宋_GB2312" w:cs="仿宋_GB2312"/>
          <w:sz w:val="30"/>
          <w:szCs w:val="30"/>
        </w:rPr>
        <w:t>%，决算数小于年初预算数的主要原因是</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highlight w:val="none"/>
          <w:u w:val="none"/>
          <w:lang w:val="en-US" w:eastAsia="zh-CN"/>
        </w:rPr>
        <w:t>，按实际情况发放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社会保障和就业支出（类）民政管理事务（款）其他民政管理事务支出（项）年初预算为</w:t>
      </w:r>
      <w:r>
        <w:rPr>
          <w:rFonts w:hint="eastAsia" w:ascii="仿宋_GB2312" w:eastAsia="仿宋_GB2312" w:cs="仿宋_GB2312"/>
          <w:sz w:val="30"/>
          <w:szCs w:val="30"/>
          <w:lang w:val="en-US" w:eastAsia="zh-CN"/>
        </w:rPr>
        <w:t>587900.00</w:t>
      </w:r>
      <w:r>
        <w:rPr>
          <w:rFonts w:hint="eastAsia" w:ascii="仿宋_GB2312" w:eastAsia="仿宋_GB2312" w:cs="仿宋_GB2312"/>
          <w:sz w:val="30"/>
          <w:szCs w:val="30"/>
        </w:rPr>
        <w:t>元，支出决算为104945.43元，完成年初预算数的</w:t>
      </w:r>
      <w:r>
        <w:rPr>
          <w:rFonts w:hint="eastAsia" w:ascii="仿宋_GB2312" w:eastAsia="仿宋_GB2312" w:cs="仿宋_GB2312"/>
          <w:sz w:val="30"/>
          <w:szCs w:val="30"/>
          <w:lang w:val="en-US" w:eastAsia="zh-CN"/>
        </w:rPr>
        <w:t>17.85</w:t>
      </w:r>
      <w:r>
        <w:rPr>
          <w:rFonts w:hint="eastAsia" w:ascii="仿宋_GB2312" w:eastAsia="仿宋_GB2312" w:cs="仿宋_GB2312"/>
          <w:sz w:val="30"/>
          <w:szCs w:val="30"/>
        </w:rPr>
        <w:t>%，决算数小于年初预算数的主要原因是</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highlight w:val="none"/>
          <w:u w:val="none"/>
          <w:lang w:val="en-US" w:eastAsia="zh-CN"/>
        </w:rPr>
        <w:t>，按实际情况发放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社会保障和就业支出（类）社会福利（款）儿童福利（项）年初预算为</w:t>
      </w:r>
      <w:r>
        <w:rPr>
          <w:rFonts w:hint="eastAsia" w:ascii="仿宋_GB2312" w:eastAsia="仿宋_GB2312" w:cs="仿宋_GB2312"/>
          <w:sz w:val="30"/>
          <w:szCs w:val="30"/>
          <w:lang w:val="en-US" w:eastAsia="zh-CN"/>
        </w:rPr>
        <w:t>180000.00</w:t>
      </w:r>
      <w:r>
        <w:rPr>
          <w:rFonts w:hint="eastAsia" w:ascii="仿宋_GB2312" w:eastAsia="仿宋_GB2312" w:cs="仿宋_GB2312"/>
          <w:sz w:val="30"/>
          <w:szCs w:val="30"/>
        </w:rPr>
        <w:t>元，支出决算为88271.00元，完成年初预算数的</w:t>
      </w:r>
      <w:r>
        <w:rPr>
          <w:rFonts w:hint="eastAsia" w:ascii="仿宋_GB2312" w:eastAsia="仿宋_GB2312" w:cs="仿宋_GB2312"/>
          <w:sz w:val="30"/>
          <w:szCs w:val="30"/>
          <w:lang w:val="en-US" w:eastAsia="zh-CN"/>
        </w:rPr>
        <w:t>49.04</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社会保障和就业支出（类）社会福利（款）老年福利（项）年初预算为</w:t>
      </w:r>
      <w:r>
        <w:rPr>
          <w:rFonts w:hint="eastAsia" w:ascii="仿宋_GB2312" w:eastAsia="仿宋_GB2312" w:cs="仿宋_GB2312"/>
          <w:sz w:val="30"/>
          <w:szCs w:val="30"/>
          <w:lang w:val="en-US" w:eastAsia="zh-CN"/>
        </w:rPr>
        <w:t>298200.00</w:t>
      </w:r>
      <w:r>
        <w:rPr>
          <w:rFonts w:hint="eastAsia" w:ascii="仿宋_GB2312" w:eastAsia="仿宋_GB2312" w:cs="仿宋_GB2312"/>
          <w:sz w:val="30"/>
          <w:szCs w:val="30"/>
        </w:rPr>
        <w:t>元，支出决算为120000.00元，完成年初预算数的</w:t>
      </w:r>
      <w:r>
        <w:rPr>
          <w:rFonts w:hint="eastAsia" w:ascii="仿宋_GB2312" w:eastAsia="仿宋_GB2312" w:cs="仿宋_GB2312"/>
          <w:sz w:val="30"/>
          <w:szCs w:val="30"/>
          <w:lang w:val="en-US" w:eastAsia="zh-CN"/>
        </w:rPr>
        <w:t>40.24</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社会保障和就业支出（类）残疾人事业（款）残疾人康复（项）年初预算为</w:t>
      </w:r>
      <w:r>
        <w:rPr>
          <w:rFonts w:hint="eastAsia" w:ascii="仿宋_GB2312" w:eastAsia="仿宋_GB2312" w:cs="仿宋_GB2312"/>
          <w:sz w:val="30"/>
          <w:szCs w:val="30"/>
          <w:lang w:val="en-US" w:eastAsia="zh-CN"/>
        </w:rPr>
        <w:t>260689.38</w:t>
      </w:r>
      <w:r>
        <w:rPr>
          <w:rFonts w:hint="eastAsia" w:ascii="仿宋_GB2312" w:eastAsia="仿宋_GB2312" w:cs="仿宋_GB2312"/>
          <w:sz w:val="30"/>
          <w:szCs w:val="30"/>
        </w:rPr>
        <w:t>元，支出决算为183626.05元，完成年初预算数的</w:t>
      </w:r>
      <w:r>
        <w:rPr>
          <w:rFonts w:hint="eastAsia" w:ascii="仿宋_GB2312" w:eastAsia="仿宋_GB2312" w:cs="仿宋_GB2312"/>
          <w:sz w:val="30"/>
          <w:szCs w:val="30"/>
          <w:lang w:val="en-US" w:eastAsia="zh-CN"/>
        </w:rPr>
        <w:t>70.44</w:t>
      </w:r>
      <w:r>
        <w:rPr>
          <w:rFonts w:hint="eastAsia" w:ascii="仿宋_GB2312" w:eastAsia="仿宋_GB2312" w:cs="仿宋_GB2312"/>
          <w:sz w:val="30"/>
          <w:szCs w:val="30"/>
        </w:rPr>
        <w:t>%，决算数小于年初预算数的主要原因是</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highlight w:val="none"/>
          <w:u w:val="none"/>
          <w:lang w:val="en-US" w:eastAsia="zh-CN"/>
        </w:rPr>
        <w:t>，按实际情况发放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社会保障和就业支出（类）残疾人事业（款）残疾人就业（项）年初预算为</w:t>
      </w:r>
      <w:r>
        <w:rPr>
          <w:rFonts w:hint="eastAsia" w:ascii="仿宋_GB2312" w:eastAsia="仿宋_GB2312" w:cs="仿宋_GB2312"/>
          <w:sz w:val="30"/>
          <w:szCs w:val="30"/>
          <w:lang w:val="en-US" w:eastAsia="zh-CN"/>
        </w:rPr>
        <w:t>541620.64</w:t>
      </w:r>
      <w:r>
        <w:rPr>
          <w:rFonts w:hint="eastAsia" w:ascii="仿宋_GB2312" w:eastAsia="仿宋_GB2312" w:cs="仿宋_GB2312"/>
          <w:sz w:val="30"/>
          <w:szCs w:val="30"/>
        </w:rPr>
        <w:t>元，支出决算为968633.30元，完成年初预算数的</w:t>
      </w:r>
      <w:r>
        <w:rPr>
          <w:rFonts w:hint="eastAsia" w:ascii="仿宋_GB2312" w:eastAsia="仿宋_GB2312" w:cs="仿宋_GB2312"/>
          <w:sz w:val="30"/>
          <w:szCs w:val="30"/>
          <w:lang w:val="en-US" w:eastAsia="zh-CN"/>
        </w:rPr>
        <w:t>178.84</w:t>
      </w:r>
      <w:r>
        <w:rPr>
          <w:rFonts w:hint="eastAsia" w:ascii="仿宋_GB2312" w:eastAsia="仿宋_GB2312" w:cs="仿宋_GB2312"/>
          <w:sz w:val="30"/>
          <w:szCs w:val="30"/>
        </w:rPr>
        <w:t>%，决算数大于年初预算数的主要原因是</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highlight w:val="none"/>
          <w:u w:val="none"/>
          <w:lang w:val="en-US" w:eastAsia="zh-CN"/>
        </w:rPr>
        <w:t>按实际情况支付</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社会保障和就业支出（类）残疾人事业（款）残疾人生活和护理补贴（项）年初预算为</w:t>
      </w:r>
      <w:r>
        <w:rPr>
          <w:rFonts w:hint="eastAsia" w:ascii="仿宋_GB2312" w:eastAsia="仿宋_GB2312" w:cs="仿宋_GB2312"/>
          <w:sz w:val="30"/>
          <w:szCs w:val="30"/>
          <w:lang w:val="en-US" w:eastAsia="zh-CN"/>
        </w:rPr>
        <w:t>1010000.00</w:t>
      </w:r>
      <w:r>
        <w:rPr>
          <w:rFonts w:hint="eastAsia" w:ascii="仿宋_GB2312" w:eastAsia="仿宋_GB2312" w:cs="仿宋_GB2312"/>
          <w:sz w:val="30"/>
          <w:szCs w:val="30"/>
        </w:rPr>
        <w:t>元，支出决算为586540.00元，完成年初预算数的</w:t>
      </w:r>
      <w:r>
        <w:rPr>
          <w:rFonts w:hint="eastAsia" w:ascii="仿宋_GB2312" w:eastAsia="仿宋_GB2312" w:cs="仿宋_GB2312"/>
          <w:sz w:val="30"/>
          <w:szCs w:val="30"/>
          <w:lang w:val="en-US" w:eastAsia="zh-CN"/>
        </w:rPr>
        <w:t>58.07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社会保障和就业支出（类）残疾人事业（款）其他残疾人事业支出（项）年初预算为</w:t>
      </w:r>
      <w:r>
        <w:rPr>
          <w:rFonts w:hint="eastAsia" w:ascii="仿宋_GB2312" w:eastAsia="仿宋_GB2312" w:cs="仿宋_GB2312"/>
          <w:sz w:val="30"/>
          <w:szCs w:val="30"/>
          <w:lang w:val="en-US" w:eastAsia="zh-CN"/>
        </w:rPr>
        <w:t>168313.00</w:t>
      </w:r>
      <w:r>
        <w:rPr>
          <w:rFonts w:hint="eastAsia" w:ascii="仿宋_GB2312" w:eastAsia="仿宋_GB2312" w:cs="仿宋_GB2312"/>
          <w:sz w:val="30"/>
          <w:szCs w:val="30"/>
        </w:rPr>
        <w:t>元，支出决算为155860.00元，完成年初预算数的</w:t>
      </w:r>
      <w:r>
        <w:rPr>
          <w:rFonts w:hint="eastAsia" w:ascii="仿宋_GB2312" w:eastAsia="仿宋_GB2312" w:cs="仿宋_GB2312"/>
          <w:sz w:val="30"/>
          <w:szCs w:val="30"/>
          <w:lang w:val="en-US" w:eastAsia="zh-CN"/>
        </w:rPr>
        <w:t>92.06</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社会保障和就业支出（类）最低生活保障（款）城市最低生活保障金支出（项）年初预算为</w:t>
      </w:r>
      <w:r>
        <w:rPr>
          <w:rFonts w:hint="eastAsia" w:ascii="仿宋_GB2312" w:eastAsia="仿宋_GB2312" w:cs="仿宋_GB2312"/>
          <w:sz w:val="30"/>
          <w:szCs w:val="30"/>
          <w:lang w:val="en-US" w:eastAsia="zh-CN"/>
        </w:rPr>
        <w:t>400000.00</w:t>
      </w:r>
      <w:r>
        <w:rPr>
          <w:rFonts w:hint="eastAsia" w:ascii="仿宋_GB2312" w:eastAsia="仿宋_GB2312" w:cs="仿宋_GB2312"/>
          <w:sz w:val="30"/>
          <w:szCs w:val="30"/>
        </w:rPr>
        <w:t>元，支出决算为254856.00元，完成年初预算数的</w:t>
      </w:r>
      <w:r>
        <w:rPr>
          <w:rFonts w:hint="eastAsia" w:ascii="仿宋_GB2312" w:eastAsia="仿宋_GB2312" w:cs="仿宋_GB2312"/>
          <w:sz w:val="30"/>
          <w:szCs w:val="30"/>
          <w:lang w:val="en-US" w:eastAsia="zh-CN"/>
        </w:rPr>
        <w:t>63.71</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社会保障和就业支出（类）最低生活保障（款）农村最低生活保障金支出（项）年初预算为</w:t>
      </w:r>
      <w:r>
        <w:rPr>
          <w:rFonts w:hint="eastAsia" w:ascii="仿宋_GB2312" w:eastAsia="仿宋_GB2312" w:cs="仿宋_GB2312"/>
          <w:sz w:val="30"/>
          <w:szCs w:val="30"/>
          <w:lang w:val="en-US" w:eastAsia="zh-CN"/>
        </w:rPr>
        <w:t>8200000.00</w:t>
      </w:r>
      <w:r>
        <w:rPr>
          <w:rFonts w:hint="eastAsia" w:ascii="仿宋_GB2312" w:eastAsia="仿宋_GB2312" w:cs="仿宋_GB2312"/>
          <w:sz w:val="30"/>
          <w:szCs w:val="30"/>
        </w:rPr>
        <w:t>元，支出决算为3003406.00元，完成年初预算数的</w:t>
      </w:r>
      <w:r>
        <w:rPr>
          <w:rFonts w:hint="eastAsia" w:ascii="仿宋_GB2312" w:eastAsia="仿宋_GB2312" w:cs="仿宋_GB2312"/>
          <w:sz w:val="30"/>
          <w:szCs w:val="30"/>
          <w:lang w:val="en-US" w:eastAsia="zh-CN"/>
        </w:rPr>
        <w:t>36.63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社会保障和就业支出（类）临时救助（款）临时救助支出（项）年初预算为</w:t>
      </w:r>
      <w:r>
        <w:rPr>
          <w:rFonts w:hint="eastAsia" w:ascii="仿宋_GB2312" w:eastAsia="仿宋_GB2312" w:cs="仿宋_GB2312"/>
          <w:sz w:val="30"/>
          <w:szCs w:val="30"/>
          <w:lang w:val="en-US" w:eastAsia="zh-CN"/>
        </w:rPr>
        <w:t>780000.00</w:t>
      </w:r>
      <w:r>
        <w:rPr>
          <w:rFonts w:hint="eastAsia" w:ascii="仿宋_GB2312" w:eastAsia="仿宋_GB2312" w:cs="仿宋_GB2312"/>
          <w:sz w:val="30"/>
          <w:szCs w:val="30"/>
        </w:rPr>
        <w:t>元，支出决算为720460.00元，完成年初预算数的</w:t>
      </w:r>
      <w:r>
        <w:rPr>
          <w:rFonts w:hint="eastAsia" w:ascii="仿宋_GB2312" w:eastAsia="仿宋_GB2312" w:cs="仿宋_GB2312"/>
          <w:sz w:val="30"/>
          <w:szCs w:val="30"/>
          <w:lang w:val="en-US" w:eastAsia="zh-CN"/>
        </w:rPr>
        <w:t>92.37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补助人员随时变动，补助标准有所调整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社会保障和就业支出（类）特困人员救助供养（款）农村特困人员救助供养支出（项）年初预算为</w:t>
      </w:r>
      <w:r>
        <w:rPr>
          <w:rFonts w:hint="eastAsia" w:ascii="仿宋_GB2312" w:eastAsia="仿宋_GB2312" w:cs="仿宋_GB2312"/>
          <w:sz w:val="30"/>
          <w:szCs w:val="30"/>
          <w:lang w:val="en-US" w:eastAsia="zh-CN"/>
        </w:rPr>
        <w:t>80000.00</w:t>
      </w:r>
      <w:r>
        <w:rPr>
          <w:rFonts w:hint="eastAsia" w:ascii="仿宋_GB2312" w:eastAsia="仿宋_GB2312" w:cs="仿宋_GB2312"/>
          <w:sz w:val="30"/>
          <w:szCs w:val="30"/>
        </w:rPr>
        <w:t>元，支出决算为30880.00元，完成年初预算数的</w:t>
      </w:r>
      <w:r>
        <w:rPr>
          <w:rFonts w:hint="eastAsia" w:ascii="仿宋_GB2312" w:eastAsia="仿宋_GB2312" w:cs="仿宋_GB2312"/>
          <w:sz w:val="30"/>
          <w:szCs w:val="30"/>
          <w:lang w:val="en-US" w:eastAsia="zh-CN"/>
        </w:rPr>
        <w:t>38.6</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社会保障和就业支出（类）其他生活救助（款）其他城市生活救助（项）年初预算为</w:t>
      </w:r>
      <w:r>
        <w:rPr>
          <w:rFonts w:hint="eastAsia" w:ascii="仿宋_GB2312" w:eastAsia="仿宋_GB2312" w:cs="仿宋_GB2312"/>
          <w:sz w:val="30"/>
          <w:szCs w:val="30"/>
          <w:lang w:val="en-US" w:eastAsia="zh-CN"/>
        </w:rPr>
        <w:t>180000.00</w:t>
      </w:r>
      <w:r>
        <w:rPr>
          <w:rFonts w:hint="eastAsia" w:ascii="仿宋_GB2312" w:eastAsia="仿宋_GB2312" w:cs="仿宋_GB2312"/>
          <w:sz w:val="30"/>
          <w:szCs w:val="30"/>
        </w:rPr>
        <w:t>元，支出决算为79200.00元，完成年初预算数的</w:t>
      </w:r>
      <w:r>
        <w:rPr>
          <w:rFonts w:hint="eastAsia" w:ascii="仿宋_GB2312" w:eastAsia="仿宋_GB2312" w:cs="仿宋_GB2312"/>
          <w:sz w:val="30"/>
          <w:szCs w:val="30"/>
          <w:lang w:val="en-US" w:eastAsia="zh-CN"/>
        </w:rPr>
        <w:t>44.00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社会保障和就业支出（类）其他社会保障和就业支出（款）其他社会保障和就业支出（项）年初预算为</w:t>
      </w:r>
      <w:r>
        <w:rPr>
          <w:rFonts w:hint="eastAsia" w:ascii="仿宋_GB2312" w:eastAsia="仿宋_GB2312" w:cs="仿宋_GB2312"/>
          <w:sz w:val="30"/>
          <w:szCs w:val="30"/>
          <w:lang w:val="en-US" w:eastAsia="zh-CN"/>
        </w:rPr>
        <w:t>69500.00</w:t>
      </w:r>
      <w:r>
        <w:rPr>
          <w:rFonts w:hint="eastAsia" w:ascii="仿宋_GB2312" w:eastAsia="仿宋_GB2312" w:cs="仿宋_GB2312"/>
          <w:sz w:val="30"/>
          <w:szCs w:val="30"/>
        </w:rPr>
        <w:t>元，支出决算为8110.00元，完成年初预算数的</w:t>
      </w:r>
      <w:r>
        <w:rPr>
          <w:rFonts w:hint="eastAsia" w:ascii="仿宋_GB2312" w:eastAsia="仿宋_GB2312" w:cs="仿宋_GB2312"/>
          <w:sz w:val="30"/>
          <w:szCs w:val="30"/>
          <w:lang w:val="en-US" w:eastAsia="zh-CN"/>
        </w:rPr>
        <w:t>11.67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按实际情况支出，部分</w:t>
      </w:r>
      <w:r>
        <w:rPr>
          <w:rFonts w:hint="eastAsia" w:ascii="仿宋_GB2312" w:eastAsia="仿宋_GB2312" w:cs="仿宋_GB2312"/>
          <w:sz w:val="30"/>
          <w:szCs w:val="30"/>
          <w:highlight w:val="none"/>
          <w:u w:val="none"/>
          <w:lang w:val="en-US" w:eastAsia="zh-CN"/>
        </w:rPr>
        <w:t>培训未开展</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卫生健康支出（类）公共卫生（款）其他公共卫生支出（项）年初预算为</w:t>
      </w:r>
      <w:r>
        <w:rPr>
          <w:rFonts w:hint="eastAsia" w:ascii="仿宋_GB2312" w:eastAsia="仿宋_GB2312" w:cs="仿宋_GB2312"/>
          <w:sz w:val="30"/>
          <w:szCs w:val="30"/>
          <w:lang w:val="en-US" w:eastAsia="zh-CN"/>
        </w:rPr>
        <w:t>375840.00</w:t>
      </w:r>
      <w:r>
        <w:rPr>
          <w:rFonts w:hint="eastAsia" w:ascii="仿宋_GB2312" w:eastAsia="仿宋_GB2312" w:cs="仿宋_GB2312"/>
          <w:sz w:val="30"/>
          <w:szCs w:val="30"/>
        </w:rPr>
        <w:t>元，支出决算为374040.00元，完成年初预算数的</w:t>
      </w:r>
      <w:r>
        <w:rPr>
          <w:rFonts w:hint="eastAsia" w:ascii="仿宋_GB2312" w:eastAsia="仿宋_GB2312" w:cs="仿宋_GB2312"/>
          <w:sz w:val="30"/>
          <w:szCs w:val="30"/>
          <w:lang w:val="en-US" w:eastAsia="zh-CN"/>
        </w:rPr>
        <w:t>99.52</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卫生健康支出（类）计划生育事务（款）计划生育服务（项）年初预算为</w:t>
      </w:r>
      <w:r>
        <w:rPr>
          <w:rFonts w:hint="eastAsia" w:ascii="仿宋_GB2312" w:eastAsia="仿宋_GB2312" w:cs="仿宋_GB2312"/>
          <w:sz w:val="30"/>
          <w:szCs w:val="30"/>
          <w:lang w:val="en-US" w:eastAsia="zh-CN"/>
        </w:rPr>
        <w:t>2758550.00</w:t>
      </w:r>
      <w:r>
        <w:rPr>
          <w:rFonts w:hint="eastAsia" w:ascii="仿宋_GB2312" w:eastAsia="仿宋_GB2312" w:cs="仿宋_GB2312"/>
          <w:sz w:val="30"/>
          <w:szCs w:val="30"/>
        </w:rPr>
        <w:t>元，支出决算为1890922.50元，完成年初预算数的</w:t>
      </w:r>
      <w:r>
        <w:rPr>
          <w:rFonts w:hint="eastAsia" w:ascii="仿宋_GB2312" w:eastAsia="仿宋_GB2312" w:cs="仿宋_GB2312"/>
          <w:sz w:val="30"/>
          <w:szCs w:val="30"/>
          <w:lang w:val="en-US" w:eastAsia="zh-CN"/>
        </w:rPr>
        <w:t>68.55</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卫生健康支出（类）计划生育事务（款）其他计划生育事务支出（项）年初预算为</w:t>
      </w:r>
      <w:r>
        <w:rPr>
          <w:rFonts w:hint="eastAsia" w:ascii="仿宋_GB2312" w:eastAsia="仿宋_GB2312" w:cs="仿宋_GB2312"/>
          <w:sz w:val="30"/>
          <w:szCs w:val="30"/>
          <w:lang w:val="en-US" w:eastAsia="zh-CN"/>
        </w:rPr>
        <w:t>149500.00</w:t>
      </w:r>
      <w:r>
        <w:rPr>
          <w:rFonts w:hint="eastAsia" w:ascii="仿宋_GB2312" w:eastAsia="仿宋_GB2312" w:cs="仿宋_GB2312"/>
          <w:sz w:val="30"/>
          <w:szCs w:val="30"/>
        </w:rPr>
        <w:t>元，支出决算为50520.00元，完成年初预算数的</w:t>
      </w:r>
      <w:r>
        <w:rPr>
          <w:rFonts w:hint="eastAsia" w:ascii="仿宋_GB2312" w:eastAsia="仿宋_GB2312" w:cs="仿宋_GB2312"/>
          <w:sz w:val="30"/>
          <w:szCs w:val="30"/>
          <w:lang w:val="en-US" w:eastAsia="zh-CN"/>
        </w:rPr>
        <w:t>33.79</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卫生健康支出（类）医疗保障管理事务（款）其他医疗保障管理事务支出（项）年初预算为</w:t>
      </w:r>
      <w:r>
        <w:rPr>
          <w:rFonts w:hint="eastAsia" w:ascii="仿宋_GB2312" w:eastAsia="仿宋_GB2312" w:cs="仿宋_GB2312"/>
          <w:sz w:val="30"/>
          <w:szCs w:val="30"/>
          <w:lang w:val="en-US" w:eastAsia="zh-CN"/>
        </w:rPr>
        <w:t>330000.00</w:t>
      </w:r>
      <w:r>
        <w:rPr>
          <w:rFonts w:hint="eastAsia" w:ascii="仿宋_GB2312" w:eastAsia="仿宋_GB2312" w:cs="仿宋_GB2312"/>
          <w:sz w:val="30"/>
          <w:szCs w:val="30"/>
        </w:rPr>
        <w:t>元，支出决算为23357.00元，完成年初预算数的</w:t>
      </w:r>
      <w:r>
        <w:rPr>
          <w:rFonts w:hint="eastAsia" w:ascii="仿宋_GB2312" w:eastAsia="仿宋_GB2312" w:cs="仿宋_GB2312"/>
          <w:sz w:val="30"/>
          <w:szCs w:val="30"/>
          <w:lang w:val="en-US" w:eastAsia="zh-CN"/>
        </w:rPr>
        <w:t>7.08</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卫生健康支出（类）其他卫生健康支出（款）其他卫生健康支出（项）年初预算为</w:t>
      </w:r>
      <w:r>
        <w:rPr>
          <w:rFonts w:hint="eastAsia" w:ascii="仿宋_GB2312" w:eastAsia="仿宋_GB2312" w:cs="仿宋_GB2312"/>
          <w:sz w:val="30"/>
          <w:szCs w:val="30"/>
          <w:lang w:val="en-US" w:eastAsia="zh-CN"/>
        </w:rPr>
        <w:t>40000.00</w:t>
      </w:r>
      <w:r>
        <w:rPr>
          <w:rFonts w:hint="eastAsia" w:ascii="仿宋_GB2312" w:eastAsia="仿宋_GB2312" w:cs="仿宋_GB2312"/>
          <w:sz w:val="30"/>
          <w:szCs w:val="30"/>
        </w:rPr>
        <w:t>元，支出决算为39000.00元，完成年初预算数的</w:t>
      </w:r>
      <w:r>
        <w:rPr>
          <w:rFonts w:hint="eastAsia" w:ascii="仿宋_GB2312" w:eastAsia="仿宋_GB2312" w:cs="仿宋_GB2312"/>
          <w:sz w:val="30"/>
          <w:szCs w:val="30"/>
          <w:lang w:val="en-US" w:eastAsia="zh-CN"/>
        </w:rPr>
        <w:t>97.5</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2" w:name="_Toc10721"/>
      <w:r>
        <w:rPr>
          <w:rFonts w:ascii="黑体" w:hAnsi="黑体" w:eastAsia="黑体"/>
          <w:b w:val="0"/>
          <w:sz w:val="30"/>
          <w:szCs w:val="30"/>
        </w:rPr>
        <w:t>六、一般公共预算财政拨款基本支出决算情况</w:t>
      </w:r>
      <w:r>
        <w:rPr>
          <w:rFonts w:hint="eastAsia" w:ascii="黑体" w:hAnsi="黑体" w:eastAsia="黑体"/>
          <w:b w:val="0"/>
          <w:sz w:val="30"/>
          <w:szCs w:val="30"/>
        </w:rPr>
        <w:t>说明</w:t>
      </w:r>
      <w:bookmarkEnd w:id="22"/>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天津市津南区北闸口镇党群服务中心2022年度一般公共预算财政拨款基本支出合计106497.42元，与2021年度相比增加105941.22元，主要原因是</w:t>
      </w:r>
      <w:r>
        <w:rPr>
          <w:rFonts w:hint="eastAsia" w:ascii="仿宋_GB2312" w:eastAsia="仿宋_GB2312" w:cs="仿宋_GB2312"/>
          <w:sz w:val="30"/>
          <w:szCs w:val="30"/>
          <w:lang w:val="en-US" w:eastAsia="zh-CN"/>
        </w:rPr>
        <w:t>2021年基本支出只包含</w:t>
      </w:r>
      <w:r>
        <w:rPr>
          <w:rFonts w:hint="eastAsia" w:ascii="仿宋_GB2312" w:hAnsi="Times New Roman" w:eastAsia="仿宋_GB2312" w:cs="仿宋_GB2312"/>
          <w:sz w:val="30"/>
          <w:szCs w:val="30"/>
          <w:highlight w:val="none"/>
          <w:u w:val="none"/>
          <w:lang w:val="en-US" w:eastAsia="zh-CN"/>
        </w:rPr>
        <w:t>办公费、手续费</w:t>
      </w:r>
      <w:r>
        <w:rPr>
          <w:rFonts w:hint="eastAsia" w:ascii="仿宋_GB2312" w:eastAsia="仿宋_GB2312" w:cs="仿宋_GB2312"/>
          <w:sz w:val="30"/>
          <w:szCs w:val="30"/>
          <w:highlight w:val="none"/>
          <w:u w:val="none"/>
          <w:lang w:val="en-US" w:eastAsia="zh-CN"/>
        </w:rPr>
        <w:t>，2022年基本支出增加了水电费、邮电费、其他交通费</w:t>
      </w:r>
      <w:r>
        <w:rPr>
          <w:rFonts w:hint="eastAsia" w:ascii="仿宋_GB2312" w:eastAsia="仿宋_GB2312" w:cs="仿宋_GB2312"/>
          <w:sz w:val="30"/>
          <w:szCs w:val="30"/>
        </w:rPr>
        <w:t>。</w:t>
      </w:r>
    </w:p>
    <w:p>
      <w:pPr>
        <w:pStyle w:val="3"/>
        <w:spacing w:before="0" w:after="0" w:line="600" w:lineRule="exact"/>
        <w:ind w:firstLine="600" w:firstLineChars="200"/>
        <w:rPr>
          <w:rFonts w:ascii="楷体" w:hAnsi="楷体" w:eastAsia="楷体" w:cs="仿宋_GB2312"/>
          <w:b w:val="0"/>
          <w:sz w:val="30"/>
          <w:szCs w:val="30"/>
        </w:rPr>
      </w:pPr>
      <w:bookmarkStart w:id="23" w:name="_Toc17918"/>
      <w:r>
        <w:rPr>
          <w:rFonts w:hint="eastAsia" w:ascii="黑体" w:hAnsi="黑体" w:eastAsia="黑体"/>
          <w:b w:val="0"/>
          <w:sz w:val="30"/>
          <w:szCs w:val="30"/>
        </w:rPr>
        <w:t>七</w:t>
      </w:r>
      <w:r>
        <w:rPr>
          <w:rFonts w:ascii="黑体" w:hAnsi="黑体" w:eastAsia="黑体"/>
          <w:b w:val="0"/>
          <w:sz w:val="30"/>
          <w:szCs w:val="30"/>
        </w:rPr>
        <w:t>、政府性基金预算财政拨款</w:t>
      </w:r>
      <w:r>
        <w:rPr>
          <w:rFonts w:hint="eastAsia" w:ascii="黑体" w:hAnsi="黑体" w:eastAsia="黑体"/>
          <w:b w:val="0"/>
          <w:sz w:val="30"/>
          <w:szCs w:val="30"/>
        </w:rPr>
        <w:t>收支决算</w:t>
      </w:r>
      <w:r>
        <w:rPr>
          <w:rFonts w:ascii="黑体" w:hAnsi="黑体" w:eastAsia="黑体"/>
          <w:b w:val="0"/>
          <w:sz w:val="30"/>
          <w:szCs w:val="30"/>
        </w:rPr>
        <w:t>情况</w:t>
      </w:r>
      <w:r>
        <w:rPr>
          <w:rFonts w:hint="eastAsia" w:ascii="黑体" w:hAnsi="黑体" w:eastAsia="黑体"/>
          <w:b w:val="0"/>
          <w:bCs w:val="0"/>
          <w:sz w:val="30"/>
          <w:szCs w:val="30"/>
        </w:rPr>
        <w:t>说明</w:t>
      </w:r>
      <w:bookmarkEnd w:id="23"/>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党群服务中心2022年度政府性基金预算财政拨款年初结转和结余0.00元，收入4000.00元，支出4000.00元，年末结转和结余0.00元。与2021年度相比，政府性基金预算财政拨款支出减少205630.00元，下降98.09%，主要原因是</w:t>
      </w:r>
      <w:r>
        <w:rPr>
          <w:rFonts w:hint="eastAsia" w:ascii="仿宋_GB2312" w:eastAsia="仿宋_GB2312" w:cs="仿宋_GB2312"/>
          <w:sz w:val="30"/>
          <w:szCs w:val="30"/>
          <w:lang w:val="en-US" w:eastAsia="zh-CN"/>
        </w:rPr>
        <w:t>2022年市级未安排居家养老服务（护理）补贴资金、孤儿助学、残疾人事业两项补贴的政府性基金预算</w:t>
      </w:r>
      <w:r>
        <w:rPr>
          <w:rFonts w:hint="eastAsia" w:ascii="仿宋_GB2312" w:eastAsia="仿宋_GB2312" w:cs="仿宋_GB2312"/>
          <w:sz w:val="30"/>
          <w:szCs w:val="30"/>
        </w:rPr>
        <w:t>。</w:t>
      </w:r>
    </w:p>
    <w:p>
      <w:pPr>
        <w:pStyle w:val="3"/>
        <w:spacing w:before="0" w:after="0" w:line="600" w:lineRule="exact"/>
        <w:ind w:firstLine="600" w:firstLineChars="200"/>
        <w:rPr>
          <w:rFonts w:eastAsia="黑体"/>
          <w:b w:val="0"/>
          <w:sz w:val="30"/>
          <w:szCs w:val="30"/>
        </w:rPr>
      </w:pPr>
      <w:bookmarkStart w:id="24" w:name="_Toc23897"/>
      <w:r>
        <w:rPr>
          <w:rFonts w:hint="eastAsia" w:eastAsia="黑体"/>
          <w:b w:val="0"/>
          <w:sz w:val="30"/>
          <w:szCs w:val="30"/>
        </w:rPr>
        <w:t>八、国有资本经营预算财政拨款收支决算情况</w:t>
      </w:r>
      <w:r>
        <w:rPr>
          <w:rFonts w:hint="eastAsia" w:ascii="黑体" w:hAnsi="黑体" w:eastAsia="黑体"/>
          <w:b w:val="0"/>
          <w:bCs w:val="0"/>
          <w:sz w:val="30"/>
          <w:szCs w:val="30"/>
        </w:rPr>
        <w:t>说明</w:t>
      </w:r>
      <w:bookmarkEnd w:id="24"/>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天津市津南区北闸口镇党群服务中心2022年度无国有资本经营预算财政拨款收入、支出和结转结余。</w:t>
      </w:r>
    </w:p>
    <w:p>
      <w:pPr>
        <w:pStyle w:val="3"/>
        <w:spacing w:before="0" w:after="0" w:line="600" w:lineRule="exact"/>
        <w:ind w:firstLine="600" w:firstLineChars="200"/>
        <w:rPr>
          <w:rFonts w:ascii="黑体" w:hAnsi="黑体" w:eastAsia="黑体"/>
          <w:b w:val="0"/>
          <w:sz w:val="30"/>
          <w:szCs w:val="30"/>
        </w:rPr>
      </w:pPr>
      <w:bookmarkStart w:id="25" w:name="_Toc4518"/>
      <w:r>
        <w:rPr>
          <w:rFonts w:hint="eastAsia" w:ascii="黑体" w:hAnsi="黑体" w:eastAsia="黑体"/>
          <w:b w:val="0"/>
          <w:sz w:val="30"/>
          <w:szCs w:val="30"/>
        </w:rPr>
        <w:t>九、</w:t>
      </w:r>
      <w:r>
        <w:rPr>
          <w:rFonts w:ascii="黑体" w:hAnsi="黑体" w:eastAsia="黑体"/>
          <w:b w:val="0"/>
          <w:sz w:val="30"/>
          <w:szCs w:val="30"/>
        </w:rPr>
        <w:t>一般公共预算财政拨款“三公”经费</w:t>
      </w:r>
      <w:r>
        <w:rPr>
          <w:rFonts w:hint="eastAsia" w:ascii="黑体" w:hAnsi="黑体" w:eastAsia="黑体"/>
          <w:b w:val="0"/>
          <w:sz w:val="30"/>
          <w:szCs w:val="30"/>
        </w:rPr>
        <w:t>支出决算</w:t>
      </w:r>
      <w:r>
        <w:rPr>
          <w:rFonts w:ascii="黑体" w:hAnsi="黑体" w:eastAsia="黑体"/>
          <w:b w:val="0"/>
          <w:sz w:val="30"/>
          <w:szCs w:val="30"/>
        </w:rPr>
        <w:t>情况</w:t>
      </w:r>
      <w:r>
        <w:rPr>
          <w:rFonts w:hint="eastAsia" w:ascii="黑体" w:hAnsi="黑体" w:eastAsia="黑体"/>
          <w:b w:val="0"/>
          <w:bCs w:val="0"/>
          <w:sz w:val="30"/>
          <w:szCs w:val="30"/>
        </w:rPr>
        <w:t>说明</w:t>
      </w:r>
      <w:bookmarkEnd w:id="25"/>
    </w:p>
    <w:p>
      <w:pPr>
        <w:spacing w:line="600" w:lineRule="exact"/>
        <w:ind w:firstLine="602" w:firstLineChars="200"/>
        <w:jc w:val="both"/>
        <w:rPr>
          <w:rFonts w:ascii="楷体" w:hAnsi="楷体" w:eastAsia="楷体" w:cs="楷体"/>
          <w:b/>
          <w:bCs/>
          <w:sz w:val="30"/>
          <w:szCs w:val="30"/>
        </w:rPr>
      </w:pPr>
      <w:r>
        <w:rPr>
          <w:rFonts w:hint="eastAsia" w:ascii="楷体" w:hAnsi="楷体" w:eastAsia="楷体" w:cs="楷体"/>
          <w:b/>
          <w:bCs/>
          <w:sz w:val="30"/>
          <w:szCs w:val="30"/>
        </w:rPr>
        <w:t>（一）总体情况</w:t>
      </w:r>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2022年一般公共预算财政拨款“三公”经费预算0.00元，支出决算0.00元（去年同期0.00元），支出决算与2022年预算相比持平；支出决算较上年持平。因本年及去年同期均未使用一般公共预算财政拨款列支“三公”经费，故本年支出决算与本年预算、上年支出决算均持平为0。</w:t>
      </w:r>
    </w:p>
    <w:p>
      <w:pPr>
        <w:spacing w:line="600" w:lineRule="exact"/>
        <w:ind w:firstLine="602" w:firstLineChars="200"/>
        <w:jc w:val="both"/>
        <w:rPr>
          <w:rFonts w:ascii="楷体" w:hAnsi="楷体" w:eastAsia="楷体" w:cs="楷体"/>
          <w:b/>
          <w:bCs/>
          <w:sz w:val="30"/>
          <w:szCs w:val="30"/>
        </w:rPr>
      </w:pPr>
      <w:r>
        <w:rPr>
          <w:rFonts w:hint="eastAsia" w:ascii="楷体" w:hAnsi="楷体" w:eastAsia="楷体" w:cs="楷体"/>
          <w:b/>
          <w:bCs/>
          <w:sz w:val="30"/>
          <w:szCs w:val="30"/>
        </w:rPr>
        <w:t>（二）具体情况</w:t>
      </w:r>
    </w:p>
    <w:p>
      <w:pPr>
        <w:spacing w:line="600" w:lineRule="exact"/>
        <w:ind w:firstLine="600" w:firstLineChars="200"/>
        <w:jc w:val="both"/>
        <w:rPr>
          <w:rFonts w:eastAsia="仿宋_GB2312"/>
          <w:sz w:val="30"/>
          <w:szCs w:val="30"/>
        </w:rPr>
      </w:pPr>
      <w:r>
        <w:rPr>
          <w:rFonts w:hint="eastAsia" w:eastAsia="仿宋_GB2312"/>
          <w:sz w:val="30"/>
          <w:szCs w:val="30"/>
        </w:rPr>
        <w:t>1.</w:t>
      </w:r>
      <w:r>
        <w:rPr>
          <w:rFonts w:hint="eastAsia" w:ascii="仿宋_GB2312" w:eastAsia="仿宋_GB2312" w:cs="仿宋_GB2312"/>
          <w:sz w:val="30"/>
          <w:szCs w:val="30"/>
        </w:rPr>
        <w:t>因公出国（境）费预算0.00元，支出决算0.00元（去年同期0.00元），支出决算与预算相比持平；支出决算较上年持平。因本年及去年同期均未使用一般公共预算财政拨款列支“因公出国（境）”经费，故本年支出决算与本年预算、上年支出决算均持平为0。2022年本单位组织的出国团组0个，出国0人次。</w:t>
      </w:r>
    </w:p>
    <w:p>
      <w:pPr>
        <w:spacing w:line="600" w:lineRule="exact"/>
        <w:ind w:firstLine="600" w:firstLineChars="200"/>
        <w:jc w:val="both"/>
        <w:rPr>
          <w:rFonts w:eastAsia="仿宋_GB2312"/>
          <w:sz w:val="30"/>
          <w:szCs w:val="30"/>
        </w:rPr>
      </w:pPr>
      <w:r>
        <w:rPr>
          <w:rFonts w:hint="eastAsia" w:eastAsia="仿宋_GB2312"/>
          <w:sz w:val="30"/>
          <w:szCs w:val="30"/>
        </w:rPr>
        <w:t>2.</w:t>
      </w:r>
      <w:r>
        <w:rPr>
          <w:rFonts w:hint="eastAsia" w:ascii="仿宋_GB2312" w:eastAsia="仿宋_GB2312" w:cs="仿宋_GB2312"/>
          <w:sz w:val="30"/>
          <w:szCs w:val="30"/>
        </w:rPr>
        <w:t>公务用车购置及运行维护费预算0.00元，支出决算0.00元（去年同期0.00元），支出决算与预算相比持平；支出决算较上年持平。其中：</w:t>
      </w:r>
    </w:p>
    <w:p>
      <w:pPr>
        <w:spacing w:line="600" w:lineRule="exact"/>
        <w:ind w:firstLine="600" w:firstLineChars="200"/>
        <w:jc w:val="both"/>
        <w:rPr>
          <w:rFonts w:eastAsia="仿宋_GB2312"/>
          <w:sz w:val="30"/>
          <w:szCs w:val="30"/>
        </w:rPr>
      </w:pPr>
      <w:r>
        <w:rPr>
          <w:rFonts w:hint="eastAsia" w:ascii="仿宋_GB2312" w:eastAsia="仿宋_GB2312" w:cs="仿宋_GB2312"/>
          <w:sz w:val="30"/>
          <w:szCs w:val="30"/>
        </w:rPr>
        <w:t>公务用车运行维护费预算0.00元，支出决算0.00元（去年同期0.00元），支出决算与预算相比持平；支出决算较上年持平。因本年及去年同期均未使用一般公共预算财政拨款列支“公务用车运行维护费”经费，故本年支出决算与本年预算、上年支出决算均持平为0。截至2022年12月31日，使用</w:t>
      </w:r>
      <w:r>
        <w:rPr>
          <w:rFonts w:hint="eastAsia" w:eastAsia="仿宋_GB2312"/>
          <w:sz w:val="30"/>
          <w:szCs w:val="30"/>
        </w:rPr>
        <w:t>一般公共预算</w:t>
      </w:r>
      <w:r>
        <w:rPr>
          <w:rFonts w:hint="eastAsia" w:ascii="仿宋_GB2312" w:eastAsia="仿宋_GB2312" w:cs="仿宋_GB2312"/>
          <w:sz w:val="30"/>
          <w:szCs w:val="30"/>
        </w:rPr>
        <w:t>财政拨款开支运行维护费的公务用车保有量为0辆。</w:t>
      </w:r>
    </w:p>
    <w:p>
      <w:pPr>
        <w:spacing w:line="600" w:lineRule="exact"/>
        <w:ind w:firstLine="600" w:firstLineChars="200"/>
        <w:jc w:val="both"/>
        <w:rPr>
          <w:rFonts w:eastAsia="仿宋_GB2312"/>
          <w:sz w:val="30"/>
          <w:szCs w:val="30"/>
        </w:rPr>
      </w:pPr>
      <w:r>
        <w:rPr>
          <w:rFonts w:hint="eastAsia" w:ascii="仿宋_GB2312" w:eastAsia="仿宋_GB2312" w:cs="仿宋_GB2312"/>
          <w:sz w:val="30"/>
          <w:szCs w:val="30"/>
        </w:rPr>
        <w:t>公务用车购置费预算0.00元，支出决算0.00元（去年同期0.00元），支出决算与预算相比持平；支出决算较上年持平。因本年及去年同期均未使用一般公共预算财政拨款列支“公务用车购置”经费，故本年支出决算与本年预算、上年支出决算均持平为0。2022年购置公务用车0辆。</w:t>
      </w:r>
    </w:p>
    <w:p>
      <w:pPr>
        <w:spacing w:line="600" w:lineRule="exact"/>
        <w:ind w:firstLine="645"/>
        <w:jc w:val="both"/>
        <w:rPr>
          <w:rFonts w:eastAsia="仿宋_GB2312" w:cs="仿宋_GB2312"/>
          <w:sz w:val="30"/>
          <w:szCs w:val="30"/>
        </w:rPr>
      </w:pPr>
      <w:r>
        <w:rPr>
          <w:rFonts w:hint="eastAsia" w:eastAsia="仿宋_GB2312"/>
          <w:sz w:val="30"/>
          <w:szCs w:val="30"/>
        </w:rPr>
        <w:t>3.</w:t>
      </w:r>
      <w:r>
        <w:rPr>
          <w:rFonts w:hint="eastAsia" w:ascii="仿宋_GB2312" w:eastAsia="仿宋_GB2312" w:cs="仿宋_GB2312"/>
          <w:sz w:val="30"/>
          <w:szCs w:val="30"/>
        </w:rPr>
        <w:t>公务接待费预算0.00元，支出决算0.00元（去年同期0.00元），支出决算与预算相比持平；支出决算较上年持平。</w:t>
      </w:r>
      <w:r>
        <w:rPr>
          <w:rFonts w:ascii="仿宋_GB2312" w:eastAsia="仿宋_GB2312" w:cs="仿宋_GB2312"/>
          <w:sz w:val="30"/>
          <w:szCs w:val="30"/>
        </w:rPr>
        <w:t>因本年及去年同期均未使用一般公共预算财政拨款列支“公务接待”经费，故本年支出决算与本年预算、上年支出决算均持平为0。</w:t>
      </w:r>
      <w:r>
        <w:rPr>
          <w:rFonts w:hint="eastAsia" w:ascii="仿宋_GB2312" w:eastAsia="仿宋_GB2312" w:cs="仿宋_GB2312"/>
          <w:sz w:val="30"/>
          <w:szCs w:val="30"/>
        </w:rPr>
        <w:t>2022年本单位国内公务接待0批次，0人次；其中，外事接待0批次，0</w:t>
      </w:r>
      <w:r>
        <w:rPr>
          <w:rFonts w:hint="eastAsia" w:eastAsia="仿宋_GB2312" w:cs="仿宋_GB2312"/>
          <w:sz w:val="30"/>
          <w:szCs w:val="30"/>
        </w:rPr>
        <w:t>人次。</w:t>
      </w:r>
    </w:p>
    <w:p>
      <w:pPr>
        <w:pStyle w:val="3"/>
        <w:spacing w:before="0" w:after="0" w:line="600" w:lineRule="exact"/>
        <w:ind w:firstLine="600" w:firstLineChars="200"/>
        <w:rPr>
          <w:rFonts w:ascii="黑体" w:hAnsi="黑体" w:eastAsia="黑体"/>
          <w:b w:val="0"/>
          <w:sz w:val="30"/>
          <w:szCs w:val="30"/>
        </w:rPr>
      </w:pPr>
      <w:bookmarkStart w:id="26" w:name="_Toc3411"/>
      <w:r>
        <w:rPr>
          <w:rFonts w:hint="eastAsia" w:ascii="黑体" w:hAnsi="黑体" w:eastAsia="黑体"/>
          <w:b w:val="0"/>
          <w:sz w:val="30"/>
          <w:szCs w:val="30"/>
        </w:rPr>
        <w:t>十、</w:t>
      </w:r>
      <w:r>
        <w:rPr>
          <w:rFonts w:ascii="黑体" w:hAnsi="黑体" w:eastAsia="黑体"/>
          <w:b w:val="0"/>
          <w:sz w:val="30"/>
          <w:szCs w:val="30"/>
        </w:rPr>
        <w:t>机关运行经费</w:t>
      </w:r>
      <w:r>
        <w:rPr>
          <w:rFonts w:hint="eastAsia" w:ascii="黑体" w:hAnsi="黑体" w:eastAsia="黑体"/>
          <w:b w:val="0"/>
          <w:sz w:val="30"/>
          <w:szCs w:val="30"/>
        </w:rPr>
        <w:t>支出情况</w:t>
      </w:r>
      <w:r>
        <w:rPr>
          <w:rFonts w:hint="eastAsia" w:ascii="黑体" w:hAnsi="黑体" w:eastAsia="黑体"/>
          <w:b w:val="0"/>
          <w:bCs w:val="0"/>
          <w:sz w:val="30"/>
          <w:szCs w:val="30"/>
        </w:rPr>
        <w:t>说明</w:t>
      </w:r>
      <w:bookmarkEnd w:id="26"/>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天津市津南区北闸口镇党群服务中心2022年度无机关运行经费。</w:t>
      </w:r>
    </w:p>
    <w:p>
      <w:pPr>
        <w:pStyle w:val="3"/>
        <w:spacing w:before="0" w:after="0" w:line="600" w:lineRule="exact"/>
        <w:ind w:firstLine="600" w:firstLineChars="200"/>
        <w:rPr>
          <w:rFonts w:ascii="黑体" w:hAnsi="黑体" w:eastAsia="黑体"/>
          <w:b w:val="0"/>
          <w:sz w:val="30"/>
          <w:szCs w:val="30"/>
        </w:rPr>
      </w:pPr>
      <w:bookmarkStart w:id="27" w:name="_Toc31102"/>
      <w:r>
        <w:rPr>
          <w:rFonts w:hint="eastAsia" w:ascii="黑体" w:hAnsi="黑体" w:eastAsia="黑体"/>
          <w:b w:val="0"/>
          <w:sz w:val="30"/>
          <w:szCs w:val="30"/>
        </w:rPr>
        <w:t>十一、</w:t>
      </w:r>
      <w:r>
        <w:rPr>
          <w:rFonts w:ascii="黑体" w:hAnsi="黑体" w:eastAsia="黑体"/>
          <w:b w:val="0"/>
          <w:sz w:val="30"/>
          <w:szCs w:val="30"/>
        </w:rPr>
        <w:t>政府采购</w:t>
      </w:r>
      <w:r>
        <w:rPr>
          <w:rFonts w:hint="eastAsia" w:ascii="黑体" w:hAnsi="黑体" w:eastAsia="黑体"/>
          <w:b w:val="0"/>
          <w:sz w:val="30"/>
          <w:szCs w:val="30"/>
        </w:rPr>
        <w:t>支出</w:t>
      </w:r>
      <w:r>
        <w:rPr>
          <w:rFonts w:ascii="黑体" w:hAnsi="黑体" w:eastAsia="黑体"/>
          <w:b w:val="0"/>
          <w:sz w:val="30"/>
          <w:szCs w:val="30"/>
        </w:rPr>
        <w:t>情况</w:t>
      </w:r>
      <w:r>
        <w:rPr>
          <w:rFonts w:hint="eastAsia" w:ascii="黑体" w:hAnsi="黑体" w:eastAsia="黑体"/>
          <w:b w:val="0"/>
          <w:bCs w:val="0"/>
          <w:sz w:val="30"/>
          <w:szCs w:val="30"/>
        </w:rPr>
        <w:t>说明</w:t>
      </w:r>
      <w:bookmarkEnd w:id="27"/>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党群服务中心2022年政府采购支出总额1207805.00元，其中：政府采购货物支出0.00元、政府采购工程支出0.00元、政府采购服务支出1207805.00元。授予中小企业合同金额0.00元，占政府采购支出总额的0.00%，其中：授予小微企业合同金额0.00元，占政府采购支出总额的0.00%；货物采购授予中小企业合同金额占货物支出金额的0.00%，工程采购授予中小企业合同金额占工程支出金额的0.00%，服务采购授予中小企业合同金额占服务支出金额的</w:t>
      </w:r>
      <w:r>
        <w:rPr>
          <w:rFonts w:hint="eastAsia" w:ascii="仿宋_GB2312" w:eastAsia="仿宋_GB2312" w:cs="仿宋_GB2312"/>
          <w:sz w:val="30"/>
          <w:szCs w:val="30"/>
          <w:lang w:val="en-US" w:eastAsia="zh-CN"/>
        </w:rPr>
        <w:t>0.00</w:t>
      </w:r>
      <w:r>
        <w:rPr>
          <w:rFonts w:hint="eastAsia" w:ascii="仿宋_GB2312" w:eastAsia="仿宋_GB2312" w:cs="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8" w:name="_Toc23709"/>
      <w:r>
        <w:rPr>
          <w:rFonts w:hint="eastAsia" w:ascii="黑体" w:hAnsi="黑体" w:eastAsia="黑体"/>
          <w:b w:val="0"/>
          <w:sz w:val="30"/>
          <w:szCs w:val="30"/>
        </w:rPr>
        <w:t>十二、国有资产占有使用情况</w:t>
      </w:r>
      <w:r>
        <w:rPr>
          <w:rFonts w:hint="eastAsia" w:ascii="黑体" w:hAnsi="黑体" w:eastAsia="黑体"/>
          <w:b w:val="0"/>
          <w:bCs w:val="0"/>
          <w:sz w:val="30"/>
          <w:szCs w:val="30"/>
        </w:rPr>
        <w:t>说明</w:t>
      </w:r>
      <w:bookmarkEnd w:id="28"/>
    </w:p>
    <w:p>
      <w:pPr>
        <w:spacing w:line="600" w:lineRule="exact"/>
        <w:ind w:firstLine="645"/>
        <w:jc w:val="both"/>
        <w:rPr>
          <w:rFonts w:hint="eastAsia" w:ascii="仿宋_GB2312" w:eastAsia="仿宋_GB2312" w:cs="仿宋_GB2312"/>
          <w:sz w:val="30"/>
          <w:szCs w:val="30"/>
        </w:rPr>
      </w:pPr>
      <w:r>
        <w:rPr>
          <w:rFonts w:hint="eastAsia" w:ascii="仿宋_GB2312" w:eastAsia="仿宋_GB2312" w:cs="仿宋_GB2312"/>
          <w:sz w:val="30"/>
          <w:szCs w:val="30"/>
        </w:rPr>
        <w:t>天津市津南区北闸口镇党群服务中心2022年度无国有资产占有使用情况。</w:t>
      </w:r>
    </w:p>
    <w:p>
      <w:pPr>
        <w:pStyle w:val="3"/>
        <w:spacing w:before="0" w:after="0" w:line="540" w:lineRule="exact"/>
        <w:ind w:firstLine="600" w:firstLineChars="200"/>
        <w:rPr>
          <w:rFonts w:ascii="黑体" w:hAnsi="黑体" w:eastAsia="黑体"/>
          <w:b w:val="0"/>
          <w:bCs w:val="0"/>
          <w:sz w:val="30"/>
          <w:szCs w:val="30"/>
        </w:rPr>
      </w:pPr>
      <w:bookmarkStart w:id="29" w:name="_Toc11467"/>
      <w:r>
        <w:rPr>
          <w:rFonts w:hint="eastAsia" w:ascii="黑体" w:hAnsi="黑体" w:eastAsia="黑体"/>
          <w:b w:val="0"/>
          <w:bCs w:val="0"/>
          <w:sz w:val="30"/>
          <w:szCs w:val="30"/>
        </w:rPr>
        <w:t>十三、预算绩效情况说明</w:t>
      </w:r>
      <w:bookmarkEnd w:id="29"/>
    </w:p>
    <w:p>
      <w:pPr>
        <w:spacing w:line="600" w:lineRule="exact"/>
        <w:ind w:firstLine="645"/>
        <w:jc w:val="both"/>
        <w:rPr>
          <w:rFonts w:hint="eastAsia" w:ascii="仿宋_GB2312" w:eastAsia="仿宋_GB2312" w:cs="仿宋_GB2312"/>
          <w:sz w:val="30"/>
          <w:szCs w:val="30"/>
        </w:rPr>
      </w:pPr>
      <w:r>
        <w:rPr>
          <w:rFonts w:hint="eastAsia" w:ascii="仿宋_GB2312" w:eastAsia="仿宋_GB2312" w:cs="仿宋_GB2312"/>
          <w:sz w:val="30"/>
          <w:szCs w:val="30"/>
        </w:rPr>
        <w:t>根据预算绩效管理要求，天津市津南区北闸口镇党群服务中心2022年度已对</w:t>
      </w:r>
      <w:r>
        <w:rPr>
          <w:rFonts w:hint="eastAsia" w:ascii="仿宋_GB2312" w:eastAsia="仿宋_GB2312" w:cs="仿宋_GB2312"/>
          <w:sz w:val="30"/>
          <w:szCs w:val="30"/>
          <w:lang w:val="en-US" w:eastAsia="zh-CN"/>
        </w:rPr>
        <w:t>18</w:t>
      </w:r>
      <w:r>
        <w:rPr>
          <w:rFonts w:hint="eastAsia" w:ascii="仿宋_GB2312" w:eastAsia="仿宋_GB2312" w:cs="仿宋_GB2312"/>
          <w:sz w:val="30"/>
          <w:szCs w:val="30"/>
        </w:rPr>
        <w:t>个</w:t>
      </w:r>
      <w:r>
        <w:rPr>
          <w:rFonts w:hint="eastAsia" w:ascii="仿宋_GB2312" w:eastAsia="仿宋_GB2312" w:cs="仿宋_GB2312"/>
          <w:sz w:val="30"/>
          <w:szCs w:val="30"/>
          <w:lang w:eastAsia="zh-CN"/>
        </w:rPr>
        <w:t>镇</w:t>
      </w:r>
      <w:r>
        <w:rPr>
          <w:rFonts w:hint="eastAsia" w:ascii="仿宋_GB2312" w:eastAsia="仿宋_GB2312" w:cs="仿宋_GB2312"/>
          <w:sz w:val="30"/>
          <w:szCs w:val="30"/>
        </w:rPr>
        <w:t>级项目开展绩效自评，涉及金额</w:t>
      </w:r>
      <w:r>
        <w:rPr>
          <w:rFonts w:hint="eastAsia" w:ascii="仿宋_GB2312" w:eastAsia="仿宋_GB2312" w:cs="仿宋_GB2312"/>
          <w:sz w:val="30"/>
          <w:szCs w:val="30"/>
          <w:lang w:val="en-US" w:eastAsia="zh-CN"/>
        </w:rPr>
        <w:t>9219727.28</w:t>
      </w:r>
      <w:r>
        <w:rPr>
          <w:rFonts w:hint="eastAsia" w:ascii="仿宋_GB2312" w:eastAsia="仿宋_GB2312" w:cs="仿宋_GB2312"/>
          <w:sz w:val="30"/>
          <w:szCs w:val="30"/>
        </w:rPr>
        <w:t>元，自评结果已随部门决算一并公开。</w:t>
      </w:r>
    </w:p>
    <w:p>
      <w:pPr>
        <w:spacing w:line="600" w:lineRule="exact"/>
        <w:jc w:val="both"/>
        <w:rPr>
          <w:rFonts w:ascii="Times New Roman" w:hAnsi="Times New Roman" w:eastAsia="黑体"/>
          <w:b w:val="0"/>
          <w:sz w:val="30"/>
          <w:szCs w:val="30"/>
        </w:rPr>
      </w:pPr>
      <w:bookmarkStart w:id="30" w:name="_Toc15949"/>
      <w:r>
        <w:rPr>
          <w:rFonts w:hint="eastAsia" w:eastAsia="仿宋_GB2312"/>
          <w:sz w:val="30"/>
          <w:szCs w:val="30"/>
          <w:lang w:val="en-US" w:eastAsia="zh-CN"/>
        </w:rPr>
        <w:t xml:space="preserve">    </w:t>
      </w:r>
      <w:r>
        <w:rPr>
          <w:rFonts w:hint="eastAsia" w:ascii="Times New Roman" w:hAnsi="Times New Roman" w:eastAsia="黑体"/>
          <w:b w:val="0"/>
          <w:sz w:val="30"/>
          <w:szCs w:val="30"/>
        </w:rPr>
        <w:t>十四、</w:t>
      </w:r>
      <w:r>
        <w:rPr>
          <w:rFonts w:ascii="Times New Roman" w:hAnsi="Times New Roman" w:eastAsia="黑体"/>
          <w:b w:val="0"/>
          <w:sz w:val="30"/>
          <w:szCs w:val="30"/>
        </w:rPr>
        <w:t>教育、医疗卫生、社会保障和就业、住房保障、涉农补贴等民生支出情况</w:t>
      </w:r>
      <w:r>
        <w:rPr>
          <w:rFonts w:hint="eastAsia" w:ascii="黑体" w:hAnsi="黑体" w:eastAsia="黑体"/>
          <w:b w:val="0"/>
          <w:bCs w:val="0"/>
          <w:sz w:val="30"/>
          <w:szCs w:val="30"/>
        </w:rPr>
        <w:t>说明</w:t>
      </w:r>
      <w:bookmarkEnd w:id="30"/>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rPr>
        <w:t>2022年度</w:t>
      </w:r>
      <w:r>
        <w:rPr>
          <w:rFonts w:hint="eastAsia" w:ascii="仿宋_GB2312" w:eastAsia="仿宋_GB2312" w:cs="仿宋_GB2312"/>
          <w:sz w:val="30"/>
          <w:szCs w:val="30"/>
          <w:lang w:eastAsia="zh-CN"/>
        </w:rPr>
        <w:t>，</w:t>
      </w:r>
      <w:r>
        <w:rPr>
          <w:rFonts w:hint="eastAsia" w:ascii="仿宋_GB2312" w:eastAsia="仿宋_GB2312" w:cs="仿宋_GB2312"/>
          <w:sz w:val="30"/>
          <w:szCs w:val="30"/>
          <w:lang w:val="en-US" w:eastAsia="zh-CN"/>
        </w:rPr>
        <w:t>天津市津南区北闸口镇党群服务中心</w:t>
      </w:r>
      <w:r>
        <w:rPr>
          <w:rFonts w:hint="eastAsia" w:ascii="仿宋_GB2312" w:eastAsia="仿宋_GB2312" w:cs="仿宋_GB2312"/>
          <w:sz w:val="30"/>
          <w:szCs w:val="30"/>
          <w:lang w:eastAsia="zh-CN"/>
        </w:rPr>
        <w:t>不涉及</w:t>
      </w:r>
      <w:r>
        <w:rPr>
          <w:rFonts w:hint="eastAsia" w:ascii="仿宋_GB2312" w:eastAsia="仿宋_GB2312" w:cs="仿宋_GB2312"/>
          <w:sz w:val="30"/>
          <w:szCs w:val="30"/>
        </w:rPr>
        <w:t>公开教育、医疗卫生、住房保障</w:t>
      </w:r>
      <w:r>
        <w:rPr>
          <w:rFonts w:hint="eastAsia" w:ascii="仿宋_GB2312" w:eastAsia="仿宋_GB2312" w:cs="仿宋_GB2312"/>
          <w:sz w:val="30"/>
          <w:szCs w:val="30"/>
          <w:lang w:val="en-US" w:eastAsia="zh-CN"/>
        </w:rPr>
        <w:t>、涉农补贴</w:t>
      </w:r>
      <w:r>
        <w:rPr>
          <w:rFonts w:hint="eastAsia" w:ascii="仿宋_GB2312" w:eastAsia="仿宋_GB2312" w:cs="仿宋_GB2312"/>
          <w:sz w:val="30"/>
          <w:szCs w:val="30"/>
        </w:rPr>
        <w:t>等民生支出情况</w:t>
      </w:r>
      <w:r>
        <w:rPr>
          <w:rFonts w:hint="eastAsia" w:ascii="仿宋_GB2312" w:eastAsia="仿宋_GB2312" w:cs="仿宋_GB2312"/>
          <w:sz w:val="30"/>
          <w:szCs w:val="30"/>
          <w:lang w:eastAsia="zh-CN"/>
        </w:rPr>
        <w:t>。</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2022年度，天津市津南区北闸口镇党群服务中心涉及社会保障和就业民生支出情况如下：</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（一）未整合村老年人生活补贴</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1、项目名称：未整合村老年人生活补贴。</w:t>
      </w:r>
    </w:p>
    <w:p>
      <w:pPr>
        <w:spacing w:line="600" w:lineRule="exact"/>
        <w:ind w:firstLine="645"/>
        <w:jc w:val="both"/>
        <w:rPr>
          <w:rFonts w:hint="eastAsia" w:ascii="仿宋_GB2312" w:eastAsia="仿宋_GB2312" w:cs="仿宋_GB2312"/>
          <w:sz w:val="30"/>
          <w:szCs w:val="30"/>
          <w:lang w:val="en" w:eastAsia="zh-CN"/>
        </w:rPr>
      </w:pPr>
      <w:r>
        <w:rPr>
          <w:rFonts w:hint="eastAsia" w:ascii="仿宋_GB2312" w:eastAsia="仿宋_GB2312" w:cs="仿宋_GB2312"/>
          <w:sz w:val="30"/>
          <w:szCs w:val="30"/>
          <w:lang w:val="en-US" w:eastAsia="zh-CN"/>
        </w:rPr>
        <w:t>2、补贴标准：补贴标准每人每月</w:t>
      </w:r>
      <w:r>
        <w:rPr>
          <w:rFonts w:hint="default" w:ascii="仿宋_GB2312" w:eastAsia="仿宋_GB2312" w:cs="仿宋_GB2312"/>
          <w:sz w:val="30"/>
          <w:szCs w:val="30"/>
          <w:lang w:val="en" w:eastAsia="zh-CN"/>
        </w:rPr>
        <w:t>4</w:t>
      </w:r>
      <w:r>
        <w:rPr>
          <w:rFonts w:hint="eastAsia" w:ascii="仿宋_GB2312" w:eastAsia="仿宋_GB2312" w:cs="仿宋_GB2312"/>
          <w:sz w:val="30"/>
          <w:szCs w:val="30"/>
          <w:lang w:val="en-US" w:eastAsia="zh-CN"/>
        </w:rPr>
        <w:t>45元，区级资金60%、镇级资金40%。</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3、预算规模：2022年未整合村老年人生活补贴总预算1620万元。</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4、发放程序：到龄人员由本人或家属提供规定的银行账户和身份证和户口本复印件，到村委会提出申请，村委会专职工作人员初审汇总后统一上报，镇党群服务中心审核后，办理银行代发。</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5、资金分配结果：补贴通过代发银行按月发放到个人账户。</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（二）残疾人两项补贴</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1、项目名称：残疾人两项补贴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低保低收入重度残疾人生活补贴300元/月；低保低收入非重度残疾人生活补贴160元/月；非低保重度残疾人护理补贴200元/月。</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3、预算规模：2022年残疾人两项补贴总预算101万元。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从每月新增低保低收入名单及新增残疾人名单中筛选符合要求的残疾人享受该补贴。其中：低保低收入家庭中有重度残疾人（一、二级）的，可享受生活补贴和护理补贴，有非重度残疾人（三、四级）的，可享受生活补贴；非低保家庭中有重度残疾人的，可享受护理补贴。每月新增人员名单于每月20号之前上报民政局，待民政局审核无误后，</w:t>
      </w:r>
      <w:r>
        <w:rPr>
          <w:rFonts w:hint="eastAsia" w:ascii="仿宋_GB2312" w:eastAsia="仿宋_GB2312" w:cs="仿宋_GB2312"/>
          <w:sz w:val="30"/>
          <w:szCs w:val="30"/>
          <w:lang w:val="en-US" w:eastAsia="zh-CN"/>
        </w:rPr>
        <w:t>办理银行代发</w:t>
      </w:r>
      <w:r>
        <w:rPr>
          <w:rFonts w:hint="default" w:ascii="仿宋_GB2312" w:eastAsia="仿宋_GB2312" w:cs="仿宋_GB2312"/>
          <w:sz w:val="30"/>
          <w:szCs w:val="30"/>
          <w:lang w:val="en-US" w:eastAsia="zh-CN"/>
        </w:rPr>
        <w:t>。</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5、资金分配结果：残疾人两项补贴通过“银行卡”发放到</w:t>
      </w:r>
      <w:r>
        <w:rPr>
          <w:rFonts w:hint="default" w:ascii="仿宋_GB2312" w:eastAsia="仿宋_GB2312" w:cs="仿宋_GB2312"/>
          <w:sz w:val="30"/>
          <w:szCs w:val="30"/>
          <w:lang w:val="en-US" w:eastAsia="zh-CN"/>
        </w:rPr>
        <w:t>残疾人</w:t>
      </w:r>
      <w:r>
        <w:rPr>
          <w:rFonts w:hint="eastAsia" w:ascii="仿宋_GB2312" w:eastAsia="仿宋_GB2312" w:cs="仿宋_GB2312"/>
          <w:sz w:val="30"/>
          <w:szCs w:val="30"/>
          <w:lang w:val="en-US" w:eastAsia="zh-CN"/>
        </w:rPr>
        <w:t>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（三）最低生活保障补贴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w:t>
      </w:r>
      <w:r>
        <w:rPr>
          <w:rFonts w:hint="default" w:ascii="仿宋_GB2312" w:eastAsia="仿宋_GB2312" w:cs="仿宋_GB2312"/>
          <w:sz w:val="30"/>
          <w:szCs w:val="30"/>
          <w:lang w:val="en-US" w:eastAsia="zh-CN"/>
        </w:rPr>
        <w:t>最低生活保障</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每人每月1010元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3、预算规模：2022年最低生活保障总预算992万元，其中城镇最低生活保障40万元，农村最低生活保障820万元，农村特困供养人员生活救助8万元。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乡镇人民政府（街道办事处）应当根据家庭经济状况调查核实情况，提出初审意见，并在申请人居住地的村（居）民委员会设置的村（居）务公开栏公示。公示期为7天。公示无异议的，乡镇人民政府（街道办事处）应当在5个工作日内做出审核确认决定。确认救助金额后，发放最低生活保障确认通知书，并从作出确认同意决定之日下月起发放最低生活保障金。最低生活保障金原则上实行社会化发放，通过“</w:t>
      </w:r>
      <w:r>
        <w:rPr>
          <w:rFonts w:hint="eastAsia" w:ascii="仿宋_GB2312" w:eastAsia="仿宋_GB2312" w:cs="仿宋_GB2312"/>
          <w:sz w:val="30"/>
          <w:szCs w:val="30"/>
          <w:lang w:val="en-US" w:eastAsia="zh-CN"/>
        </w:rPr>
        <w:t>银行卡</w:t>
      </w:r>
      <w:r>
        <w:rPr>
          <w:rFonts w:hint="default" w:ascii="仿宋_GB2312" w:eastAsia="仿宋_GB2312" w:cs="仿宋_GB2312"/>
          <w:sz w:val="30"/>
          <w:szCs w:val="30"/>
          <w:lang w:val="en-US" w:eastAsia="zh-CN"/>
        </w:rPr>
        <w:t>”按月支付到最低生活保障家庭的账户。最低生活保障金应当按月足额发放。</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w:t>
      </w:r>
      <w:r>
        <w:rPr>
          <w:rFonts w:hint="default" w:ascii="仿宋_GB2312" w:eastAsia="仿宋_GB2312" w:cs="仿宋_GB2312"/>
          <w:sz w:val="30"/>
          <w:szCs w:val="30"/>
          <w:lang w:val="en-US" w:eastAsia="zh-CN"/>
        </w:rPr>
        <w:t>最低生活保障</w:t>
      </w:r>
      <w:r>
        <w:rPr>
          <w:rFonts w:hint="eastAsia" w:ascii="仿宋_GB2312" w:eastAsia="仿宋_GB2312" w:cs="仿宋_GB2312"/>
          <w:sz w:val="30"/>
          <w:szCs w:val="30"/>
          <w:lang w:val="en-US" w:eastAsia="zh-CN"/>
        </w:rPr>
        <w:t>补贴通过“银行卡”发放到低保户手里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（四）特殊困难儿童生活补贴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1、项目名称：特殊困难儿童生活补贴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每人每月200元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3、预算规模：2022年特殊困难儿童生活补贴总预算18万元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困境家庭儿童基本生活费申领由困境家庭儿童监护人提出申请，按照我市城乡分类救助相关政策规定提供相应证明材料，并填写《天津市困境家庭儿童申请生活费审批表》，由所在地街道办事处、乡镇人民政府进行初步审核，报区县民政部门审批。对符合条件的困境家庭儿童，区县民政部门及时报同级财政部门和上一级民政部门备案。年满18周岁的，从18周岁生日所在月份的下一个月份起停发；18周岁以上仍在就学的，从其毕业月份的下一个月起停发等出现符合停发条件的其他情况。</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w:t>
      </w:r>
      <w:r>
        <w:rPr>
          <w:rFonts w:hint="default" w:ascii="仿宋_GB2312" w:eastAsia="仿宋_GB2312" w:cs="仿宋_GB2312"/>
          <w:sz w:val="30"/>
          <w:szCs w:val="30"/>
          <w:lang w:val="en-US" w:eastAsia="zh-CN"/>
        </w:rPr>
        <w:t>困境儿童补贴</w:t>
      </w:r>
      <w:r>
        <w:rPr>
          <w:rFonts w:hint="eastAsia" w:ascii="仿宋_GB2312" w:eastAsia="仿宋_GB2312" w:cs="仿宋_GB2312"/>
          <w:sz w:val="30"/>
          <w:szCs w:val="30"/>
          <w:lang w:val="en-US" w:eastAsia="zh-CN"/>
        </w:rPr>
        <w:t>通过“银行卡”发放到</w:t>
      </w:r>
      <w:r>
        <w:rPr>
          <w:rFonts w:hint="default" w:ascii="仿宋_GB2312" w:eastAsia="仿宋_GB2312" w:cs="仿宋_GB2312"/>
          <w:sz w:val="30"/>
          <w:szCs w:val="30"/>
          <w:lang w:val="en-US" w:eastAsia="zh-CN"/>
        </w:rPr>
        <w:t>困境儿童</w:t>
      </w:r>
      <w:r>
        <w:rPr>
          <w:rFonts w:hint="eastAsia" w:ascii="仿宋_GB2312" w:eastAsia="仿宋_GB2312" w:cs="仿宋_GB2312"/>
          <w:sz w:val="30"/>
          <w:szCs w:val="30"/>
          <w:lang w:val="en-US" w:eastAsia="zh-CN"/>
        </w:rPr>
        <w:t>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（五）无丧葬补贴居民丧葬补贴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1、项目名称：无丧葬补贴居民丧葬补贴</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 具有本市户籍，但不享受丧葬补助待遇的城乡居民可以申领无丧葬补助居民丧葬补贴（以下简称“丧葬补贴”）。城乡居民丧葬补贴标准为</w:t>
      </w:r>
      <w:r>
        <w:rPr>
          <w:rFonts w:hint="default" w:ascii="仿宋_GB2312" w:eastAsia="仿宋_GB2312" w:cs="仿宋_GB2312"/>
          <w:sz w:val="30"/>
          <w:szCs w:val="30"/>
          <w:lang w:val="en-US" w:eastAsia="zh-CN"/>
        </w:rPr>
        <w:t>1800</w:t>
      </w:r>
      <w:r>
        <w:rPr>
          <w:rFonts w:hint="eastAsia" w:ascii="仿宋_GB2312" w:eastAsia="仿宋_GB2312" w:cs="仿宋_GB2312"/>
          <w:sz w:val="30"/>
          <w:szCs w:val="30"/>
          <w:lang w:val="en-US" w:eastAsia="zh-CN"/>
        </w:rPr>
        <w:t>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3、预算规模：2022年无丧葬补贴居民丧葬补贴总预算18</w:t>
      </w:r>
      <w:r>
        <w:rPr>
          <w:rFonts w:hint="default" w:ascii="仿宋_GB2312" w:eastAsia="仿宋_GB2312" w:cs="仿宋_GB2312"/>
          <w:sz w:val="30"/>
          <w:szCs w:val="30"/>
          <w:lang w:val="en-US" w:eastAsia="zh-CN"/>
        </w:rPr>
        <w:t>万</w:t>
      </w:r>
      <w:r>
        <w:rPr>
          <w:rFonts w:hint="eastAsia" w:ascii="仿宋_GB2312" w:eastAsia="仿宋_GB2312" w:cs="仿宋_GB2312"/>
          <w:sz w:val="30"/>
          <w:szCs w:val="30"/>
          <w:lang w:val="en-US" w:eastAsia="zh-CN"/>
        </w:rPr>
        <w:t>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 城乡居民申领丧葬补贴应于亡者火化后</w:t>
      </w:r>
      <w:r>
        <w:rPr>
          <w:rFonts w:hint="default" w:ascii="仿宋_GB2312" w:eastAsia="仿宋_GB2312" w:cs="仿宋_GB2312"/>
          <w:sz w:val="30"/>
          <w:szCs w:val="30"/>
          <w:lang w:val="en-US" w:eastAsia="zh-CN"/>
        </w:rPr>
        <w:t>6</w:t>
      </w:r>
      <w:r>
        <w:rPr>
          <w:rFonts w:hint="eastAsia" w:ascii="仿宋_GB2312" w:eastAsia="仿宋_GB2312" w:cs="仿宋_GB2312"/>
          <w:sz w:val="30"/>
          <w:szCs w:val="30"/>
          <w:lang w:val="en-US" w:eastAsia="zh-CN"/>
        </w:rPr>
        <w:t>个月内按照以下程序办理：</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（一）注销户口。符合申领丧葬补贴条件的死亡人员，由申领人到亡者户籍所在地公安机关办理户口注销手续。</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（二）提交申请。申领人持公安机关出具的注销户口证明到亡者户籍所在地街道（乡、镇）公共服务办公室（民政部门）提出申请，填写《天津市无丧葬补助居民丧葬补贴申领表》，并同时提交下列材料：</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①申领人本人有效身份证件（原件）；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②亡者注销户口证明（原件）；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③《居民死亡医学证明（推断）书》（原件）；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④本市殡仪馆火化票据（原件）。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依法可以土葬的少数民族及土葬区居民提供本办法第四条第二款规定的前三类申请材料。本市依法可以土葬的少数民族包括：回族、维吾尔族、哈萨克族、乌孜别克族、塔塔尔族、塔吉克族、东乡族、撒拉族、保安族和柯尔克孜族。</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非正常死亡的，提供公安等部门出具的证明（原件）；因遗体捐献等原因无法出具本市殡仪馆火化票据且符合丧葬补贴申领条件的，申领丧葬补贴时需提供遗体捐献等相关证明原件。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本市城乡居民在外地死亡且在外地火化，符合丧葬补贴申领条件的，提出申请时应同时提供其在外地死亡的证明材料和当地殡仪馆的火化票据。</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申领人因特殊情况未能于亡者火化后</w:t>
      </w:r>
      <w:r>
        <w:rPr>
          <w:rFonts w:hint="default" w:ascii="仿宋_GB2312" w:eastAsia="仿宋_GB2312" w:cs="仿宋_GB2312"/>
          <w:sz w:val="30"/>
          <w:szCs w:val="30"/>
          <w:lang w:val="en-US" w:eastAsia="zh-CN"/>
        </w:rPr>
        <w:t>6</w:t>
      </w:r>
      <w:r>
        <w:rPr>
          <w:rFonts w:hint="eastAsia" w:ascii="仿宋_GB2312" w:eastAsia="仿宋_GB2312" w:cs="仿宋_GB2312"/>
          <w:sz w:val="30"/>
          <w:szCs w:val="30"/>
          <w:lang w:val="en-US" w:eastAsia="zh-CN"/>
        </w:rPr>
        <w:t>个月内申领丧葬补贴的，需提交书面情况说明材料并经街道（乡、镇）公共服务办公室（民政部门）同意后方可进行申领。</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街道（乡、镇）公共服务办公室（民政部门）对申请材料进行初步审核，材料准确、齐全的当场出具书面受理通知书。材料不全或不符合条件的，应当场告知并要求补正。</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受理后，街道（乡、镇）公共服务办公室（民政部门）将亡者《居民死亡医学证明（推断）书》复印两份，向亡者户籍所在地街道（乡、镇）劳动保障服务中心核查相关情况。亡者满</w:t>
      </w:r>
      <w:r>
        <w:rPr>
          <w:rFonts w:hint="default" w:ascii="仿宋_GB2312" w:eastAsia="仿宋_GB2312" w:cs="仿宋_GB2312"/>
          <w:sz w:val="30"/>
          <w:szCs w:val="30"/>
          <w:lang w:val="en-US" w:eastAsia="zh-CN"/>
        </w:rPr>
        <w:t>60</w:t>
      </w:r>
      <w:r>
        <w:rPr>
          <w:rFonts w:hint="eastAsia" w:ascii="仿宋_GB2312" w:eastAsia="仿宋_GB2312" w:cs="仿宋_GB2312"/>
          <w:sz w:val="30"/>
          <w:szCs w:val="30"/>
          <w:lang w:val="en-US" w:eastAsia="zh-CN"/>
        </w:rPr>
        <w:t>周岁（含</w:t>
      </w:r>
      <w:r>
        <w:rPr>
          <w:rFonts w:hint="default" w:ascii="仿宋_GB2312" w:eastAsia="仿宋_GB2312" w:cs="仿宋_GB2312"/>
          <w:sz w:val="30"/>
          <w:szCs w:val="30"/>
          <w:lang w:val="en-US" w:eastAsia="zh-CN"/>
        </w:rPr>
        <w:t>60</w:t>
      </w:r>
      <w:r>
        <w:rPr>
          <w:rFonts w:hint="eastAsia" w:ascii="仿宋_GB2312" w:eastAsia="仿宋_GB2312" w:cs="仿宋_GB2312"/>
          <w:sz w:val="30"/>
          <w:szCs w:val="30"/>
          <w:lang w:val="en-US" w:eastAsia="zh-CN"/>
        </w:rPr>
        <w:t>周岁）的，核查其是否领取城乡居民基本养老保险待遇；</w:t>
      </w:r>
      <w:r>
        <w:rPr>
          <w:rFonts w:hint="default" w:ascii="仿宋_GB2312" w:eastAsia="仿宋_GB2312" w:cs="仿宋_GB2312"/>
          <w:sz w:val="30"/>
          <w:szCs w:val="30"/>
          <w:lang w:val="en-US" w:eastAsia="zh-CN"/>
        </w:rPr>
        <w:t>16</w:t>
      </w:r>
      <w:r>
        <w:rPr>
          <w:rFonts w:hint="eastAsia" w:ascii="仿宋_GB2312" w:eastAsia="仿宋_GB2312" w:cs="仿宋_GB2312"/>
          <w:sz w:val="30"/>
          <w:szCs w:val="30"/>
          <w:lang w:val="en-US" w:eastAsia="zh-CN"/>
        </w:rPr>
        <w:t>周岁至</w:t>
      </w:r>
      <w:r>
        <w:rPr>
          <w:rFonts w:hint="default" w:ascii="仿宋_GB2312" w:eastAsia="仿宋_GB2312" w:cs="仿宋_GB2312"/>
          <w:sz w:val="30"/>
          <w:szCs w:val="30"/>
          <w:lang w:val="en-US" w:eastAsia="zh-CN"/>
        </w:rPr>
        <w:t>60</w:t>
      </w:r>
      <w:r>
        <w:rPr>
          <w:rFonts w:hint="eastAsia" w:ascii="仿宋_GB2312" w:eastAsia="仿宋_GB2312" w:cs="仿宋_GB2312"/>
          <w:sz w:val="30"/>
          <w:szCs w:val="30"/>
          <w:lang w:val="en-US" w:eastAsia="zh-CN"/>
        </w:rPr>
        <w:t>周岁的，核查其是否参加城乡居民基本养老保险。核查后，由街道（乡、镇）劳动保障服务中心在《居民死亡医学证明（推断）书》复印件上签字盖章，并将一份于</w:t>
      </w:r>
      <w:r>
        <w:rPr>
          <w:rFonts w:hint="default" w:ascii="仿宋_GB2312" w:eastAsia="仿宋_GB2312" w:cs="仿宋_GB2312"/>
          <w:sz w:val="30"/>
          <w:szCs w:val="30"/>
          <w:lang w:val="en-US" w:eastAsia="zh-CN"/>
        </w:rPr>
        <w:t>4</w:t>
      </w:r>
      <w:r>
        <w:rPr>
          <w:rFonts w:hint="eastAsia" w:ascii="仿宋_GB2312" w:eastAsia="仿宋_GB2312" w:cs="仿宋_GB2312"/>
          <w:sz w:val="30"/>
          <w:szCs w:val="30"/>
          <w:lang w:val="en-US" w:eastAsia="zh-CN"/>
        </w:rPr>
        <w:t>个工作日内反馈街道（乡、镇）公共服务办公室（民政部门）。</w:t>
      </w:r>
      <w:r>
        <w:rPr>
          <w:rFonts w:hint="default" w:ascii="仿宋_GB2312" w:eastAsia="仿宋_GB2312" w:cs="仿宋_GB2312"/>
          <w:sz w:val="30"/>
          <w:szCs w:val="30"/>
          <w:lang w:val="en-US" w:eastAsia="zh-CN"/>
        </w:rPr>
        <w:t>16</w:t>
      </w:r>
      <w:r>
        <w:rPr>
          <w:rFonts w:hint="eastAsia" w:ascii="仿宋_GB2312" w:eastAsia="仿宋_GB2312" w:cs="仿宋_GB2312"/>
          <w:sz w:val="30"/>
          <w:szCs w:val="30"/>
          <w:lang w:val="en-US" w:eastAsia="zh-CN"/>
        </w:rPr>
        <w:t>周岁以下的不在参加城乡居民基本养老保险范围内，不再进行核查。</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经核实后，符合申报条件的，街道（乡、镇）应在收到申请材料</w:t>
      </w:r>
      <w:r>
        <w:rPr>
          <w:rFonts w:hint="default" w:ascii="仿宋_GB2312" w:eastAsia="仿宋_GB2312" w:cs="仿宋_GB2312"/>
          <w:sz w:val="30"/>
          <w:szCs w:val="30"/>
          <w:lang w:val="en-US" w:eastAsia="zh-CN"/>
        </w:rPr>
        <w:t>14</w:t>
      </w:r>
      <w:r>
        <w:rPr>
          <w:rFonts w:hint="eastAsia" w:ascii="仿宋_GB2312" w:eastAsia="仿宋_GB2312" w:cs="仿宋_GB2312"/>
          <w:sz w:val="30"/>
          <w:szCs w:val="30"/>
          <w:lang w:val="en-US" w:eastAsia="zh-CN"/>
        </w:rPr>
        <w:t>个工作日（含劳动保障部门核查时间）内做出审批决定。经审批符合发放条件的，申领人持本人有效身份证件、书面受理通知书、《居民死亡医学证明（推断）书》、火化票据到街道（乡、镇）公共服务办公室（民政部门）领取补贴。经审批不符合发放条件的，应书面告知申领人。</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街道（乡、镇）公共服务办公室（民政部门）在发放丧葬补贴时，应当在《居民死亡医学证明（推断）书》、火化票据原件上加盖“已领取补贴专用章”，并留存相关申请材料。</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5、资金分配结果：丧葬补贴通过“银行卡”发放到农户手里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（六）严重精神障碍患者看护奖励</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1、项目名称：严重精神障碍患者看护奖励</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每人每月200元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3、预算规模：2022年严重精神障碍患者看护奖励总预算70</w:t>
      </w:r>
      <w:r>
        <w:rPr>
          <w:rFonts w:hint="default" w:ascii="仿宋_GB2312" w:eastAsia="仿宋_GB2312" w:cs="仿宋_GB2312"/>
          <w:sz w:val="30"/>
          <w:szCs w:val="30"/>
          <w:lang w:val="en-US" w:eastAsia="zh-CN"/>
        </w:rPr>
        <w:t>万</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具备安定医院诊断证明、经镇卫生院鉴诊（镇卫健办）后符合条件人员，通过社会化发放由北闸口镇农商银行银行打入监护人银行卡</w:t>
      </w:r>
      <w:r>
        <w:rPr>
          <w:rFonts w:hint="eastAsia" w:ascii="仿宋_GB2312" w:eastAsia="仿宋_GB2312" w:cs="仿宋_GB2312"/>
          <w:sz w:val="30"/>
          <w:szCs w:val="30"/>
          <w:lang w:val="en-US" w:eastAsia="zh-CN"/>
        </w:rPr>
        <w:t>或</w:t>
      </w:r>
      <w:r>
        <w:rPr>
          <w:rFonts w:hint="default" w:ascii="仿宋_GB2312" w:eastAsia="仿宋_GB2312" w:cs="仿宋_GB2312"/>
          <w:sz w:val="30"/>
          <w:szCs w:val="30"/>
          <w:lang w:val="en-US" w:eastAsia="zh-CN"/>
        </w:rPr>
        <w:t>存折。</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5、资金分配结果：各项补贴通过“</w:t>
      </w:r>
      <w:r>
        <w:rPr>
          <w:rFonts w:hint="default" w:ascii="仿宋_GB2312" w:eastAsia="仿宋_GB2312" w:cs="仿宋_GB2312"/>
          <w:sz w:val="30"/>
          <w:szCs w:val="30"/>
          <w:lang w:val="en-US" w:eastAsia="zh-CN"/>
        </w:rPr>
        <w:t>银行卡</w:t>
      </w:r>
      <w:r>
        <w:rPr>
          <w:rFonts w:hint="eastAsia" w:ascii="仿宋_GB2312" w:eastAsia="仿宋_GB2312" w:cs="仿宋_GB2312"/>
          <w:sz w:val="30"/>
          <w:szCs w:val="30"/>
          <w:lang w:val="en-US" w:eastAsia="zh-CN"/>
        </w:rPr>
        <w:t>”发放到监护人手里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（七）</w:t>
      </w:r>
      <w:r>
        <w:rPr>
          <w:rFonts w:hint="default" w:ascii="仿宋_GB2312" w:eastAsia="仿宋_GB2312" w:cs="仿宋_GB2312"/>
          <w:sz w:val="30"/>
          <w:szCs w:val="30"/>
          <w:lang w:val="en-US" w:eastAsia="zh-CN"/>
        </w:rPr>
        <w:t>居家养老服务（护理）补贴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w:t>
      </w:r>
      <w:r>
        <w:rPr>
          <w:rFonts w:hint="default" w:ascii="仿宋_GB2312" w:eastAsia="仿宋_GB2312" w:cs="仿宋_GB2312"/>
          <w:sz w:val="30"/>
          <w:szCs w:val="30"/>
          <w:lang w:val="en-US" w:eastAsia="zh-CN"/>
        </w:rPr>
        <w:t>居家养老服务（护理）补贴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按照天津市非全日制劳动者最低小时工资标准（每小时20.8元）和护理服务时间进行测算并取整数，居家养老服务补贴居家养老护理补贴具体标准为：照料等级轻度，居家养老服务补贴100元/月、居家养老护理补贴100元/月，每人每月护理服务时间5小时；照料等级中度，居家养老服务补贴200元/月、居家养老护理补贴200元/月，每人每月护理服务时间10小时；照料等级中度，居家养老服务补贴300元/月、居家养老护理补贴300元/月，每人每月护理服务时间15小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w:t>
      </w:r>
      <w:r>
        <w:rPr>
          <w:rFonts w:hint="default" w:ascii="仿宋_GB2312" w:eastAsia="仿宋_GB2312" w:cs="仿宋_GB2312"/>
          <w:sz w:val="30"/>
          <w:szCs w:val="30"/>
          <w:lang w:val="en-US" w:eastAsia="zh-CN"/>
        </w:rPr>
        <w:t>居家养老服务（护理）补贴</w:t>
      </w:r>
      <w:r>
        <w:rPr>
          <w:rFonts w:hint="eastAsia" w:ascii="仿宋_GB2312" w:eastAsia="仿宋_GB2312" w:cs="仿宋_GB2312"/>
          <w:sz w:val="30"/>
          <w:szCs w:val="30"/>
          <w:lang w:val="en-US" w:eastAsia="zh-CN"/>
        </w:rPr>
        <w:t>总预算15.5万元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符合条件个人提供新申请所需材料，由民政局派出的第三方进行入户测评，对当事人的照料等级进行评定。评定结果进行公示，公示期三天。对符合条件的补贴，补贴依申请发放，新申请的自递交当月计发补贴，当月未能发放的，于第一次发放时补发；不符合条件需停发的自取消补贴自次月起停发补贴，同时应填写《撤销服务登记表》并签字盖章。因死亡撤销补贴的，需提供死亡证明复印件。低保撤销的需提供低保停发单。</w:t>
      </w:r>
    </w:p>
    <w:p>
      <w:pPr>
        <w:spacing w:line="600" w:lineRule="exact"/>
        <w:ind w:firstLine="645"/>
        <w:jc w:val="both"/>
        <w:rPr>
          <w:rFonts w:hint="eastAsia" w:ascii="仿宋_GB2312" w:eastAsia="仿宋_GB2312" w:cs="仿宋_GB2312"/>
          <w:sz w:val="30"/>
          <w:szCs w:val="30"/>
          <w:lang w:val="en-US" w:eastAsia="zh-CN"/>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lang w:val="en-US" w:eastAsia="zh-CN"/>
        </w:rPr>
        <w:t>5、资金分配结果：</w:t>
      </w:r>
      <w:r>
        <w:rPr>
          <w:rFonts w:hint="default" w:ascii="仿宋_GB2312" w:eastAsia="仿宋_GB2312" w:cs="仿宋_GB2312"/>
          <w:sz w:val="30"/>
          <w:szCs w:val="30"/>
          <w:lang w:val="en-US" w:eastAsia="zh-CN"/>
        </w:rPr>
        <w:t>居家养老</w:t>
      </w:r>
      <w:r>
        <w:rPr>
          <w:rFonts w:hint="eastAsia" w:ascii="仿宋_GB2312" w:eastAsia="仿宋_GB2312" w:cs="仿宋_GB2312"/>
          <w:sz w:val="30"/>
          <w:szCs w:val="30"/>
          <w:lang w:val="en-US" w:eastAsia="zh-CN"/>
        </w:rPr>
        <w:t>补贴通过“</w:t>
      </w:r>
      <w:r>
        <w:rPr>
          <w:rFonts w:hint="default" w:ascii="仿宋_GB2312" w:eastAsia="仿宋_GB2312" w:cs="仿宋_GB2312"/>
          <w:sz w:val="30"/>
          <w:szCs w:val="30"/>
          <w:lang w:val="en-US" w:eastAsia="zh-CN"/>
        </w:rPr>
        <w:t>银行卡</w:t>
      </w:r>
      <w:r>
        <w:rPr>
          <w:rFonts w:hint="eastAsia" w:ascii="仿宋_GB2312" w:eastAsia="仿宋_GB2312" w:cs="仿宋_GB2312"/>
          <w:sz w:val="30"/>
          <w:szCs w:val="30"/>
          <w:lang w:val="en-US" w:eastAsia="zh-CN"/>
        </w:rPr>
        <w:t>”发放到农户手里。</w:t>
      </w:r>
    </w:p>
    <w:p>
      <w:pPr>
        <w:pStyle w:val="2"/>
        <w:spacing w:before="0" w:after="0" w:line="600" w:lineRule="exact"/>
        <w:jc w:val="center"/>
        <w:rPr>
          <w:rFonts w:ascii="方正小标宋简体" w:hAnsi="方正小标宋简体" w:eastAsia="方正小标宋简体" w:cs="方正小标宋简体"/>
          <w:b w:val="0"/>
        </w:rPr>
      </w:pPr>
      <w:bookmarkStart w:id="31" w:name="_Toc30612"/>
      <w:r>
        <w:rPr>
          <w:rFonts w:hint="eastAsia" w:ascii="方正小标宋简体" w:hAnsi="方正小标宋简体" w:eastAsia="方正小标宋简体" w:cs="方正小标宋简体"/>
          <w:b w:val="0"/>
        </w:rPr>
        <w:t>第四部分  名词解释</w:t>
      </w:r>
      <w:bookmarkEnd w:id="31"/>
    </w:p>
    <w:p>
      <w:pPr>
        <w:spacing w:line="600" w:lineRule="exact"/>
        <w:ind w:firstLine="600" w:firstLineChars="200"/>
        <w:rPr>
          <w:rFonts w:ascii="仿宋_GB2312" w:eastAsia="仿宋_GB2312"/>
          <w:sz w:val="30"/>
          <w:szCs w:val="30"/>
        </w:rPr>
      </w:pPr>
    </w:p>
    <w:p>
      <w:pPr>
        <w:numPr>
          <w:ilvl w:val="0"/>
          <w:numId w:val="3"/>
        </w:numPr>
        <w:spacing w:line="600" w:lineRule="exact"/>
        <w:ind w:firstLine="600" w:firstLineChars="200"/>
        <w:rPr>
          <w:rFonts w:eastAsia="仿宋_GB2312"/>
          <w:sz w:val="30"/>
          <w:szCs w:val="30"/>
        </w:rPr>
      </w:pPr>
      <w:r>
        <w:rPr>
          <w:rFonts w:hint="eastAsia" w:eastAsia="仿宋_GB2312"/>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firstLineChars="200"/>
        <w:rPr>
          <w:rFonts w:eastAsia="仿宋_GB2312"/>
          <w:sz w:val="30"/>
          <w:szCs w:val="30"/>
          <w:highlight w:val="yellow"/>
        </w:rPr>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A6DC5"/>
    <w:multiLevelType w:val="singleLevel"/>
    <w:tmpl w:val="403A6DC5"/>
    <w:lvl w:ilvl="0" w:tentative="0">
      <w:start w:val="12"/>
      <w:numFmt w:val="chineseCounting"/>
      <w:suff w:val="nothing"/>
      <w:lvlText w:val="%1、"/>
      <w:lvlJc w:val="left"/>
      <w:rPr>
        <w:rFonts w:hint="eastAsia"/>
      </w:rPr>
    </w:lvl>
  </w:abstractNum>
  <w:abstractNum w:abstractNumId="1">
    <w:nsid w:val="62CB79B7"/>
    <w:multiLevelType w:val="singleLevel"/>
    <w:tmpl w:val="62CB79B7"/>
    <w:lvl w:ilvl="0" w:tentative="0">
      <w:start w:val="3"/>
      <w:numFmt w:val="chineseCounting"/>
      <w:suff w:val="nothing"/>
      <w:lvlText w:val="（%1）"/>
      <w:lvlJc w:val="left"/>
    </w:lvl>
  </w:abstractNum>
  <w:abstractNum w:abstractNumId="2">
    <w:nsid w:val="62CB88B4"/>
    <w:multiLevelType w:val="singleLevel"/>
    <w:tmpl w:val="62CB88B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ZmJjZTk2ZTkyODk0YjRhYzQ1MWY2MDgzOGJjMDUifQ=="/>
  </w:docVars>
  <w:rsids>
    <w:rsidRoot w:val="00172A27"/>
    <w:rsid w:val="00015911"/>
    <w:rsid w:val="000423B8"/>
    <w:rsid w:val="00046E1C"/>
    <w:rsid w:val="00053901"/>
    <w:rsid w:val="000864BF"/>
    <w:rsid w:val="00092AB8"/>
    <w:rsid w:val="000B4E39"/>
    <w:rsid w:val="00112C55"/>
    <w:rsid w:val="001179AF"/>
    <w:rsid w:val="0012059C"/>
    <w:rsid w:val="00124993"/>
    <w:rsid w:val="0012531C"/>
    <w:rsid w:val="00126E2D"/>
    <w:rsid w:val="00172A27"/>
    <w:rsid w:val="001829A0"/>
    <w:rsid w:val="00186ED8"/>
    <w:rsid w:val="001974AC"/>
    <w:rsid w:val="001F61CD"/>
    <w:rsid w:val="002123EE"/>
    <w:rsid w:val="00215444"/>
    <w:rsid w:val="00215EBD"/>
    <w:rsid w:val="00241712"/>
    <w:rsid w:val="002532F7"/>
    <w:rsid w:val="002566ED"/>
    <w:rsid w:val="00257643"/>
    <w:rsid w:val="0026103D"/>
    <w:rsid w:val="002912A7"/>
    <w:rsid w:val="002D2BBE"/>
    <w:rsid w:val="002E091E"/>
    <w:rsid w:val="002F00A9"/>
    <w:rsid w:val="003365DD"/>
    <w:rsid w:val="00352CF7"/>
    <w:rsid w:val="003714D5"/>
    <w:rsid w:val="00381206"/>
    <w:rsid w:val="0038216E"/>
    <w:rsid w:val="003942CD"/>
    <w:rsid w:val="003A4529"/>
    <w:rsid w:val="004040D1"/>
    <w:rsid w:val="00432D37"/>
    <w:rsid w:val="0044208E"/>
    <w:rsid w:val="00464079"/>
    <w:rsid w:val="00465602"/>
    <w:rsid w:val="004918AD"/>
    <w:rsid w:val="004A1361"/>
    <w:rsid w:val="0050332F"/>
    <w:rsid w:val="00532C4C"/>
    <w:rsid w:val="00570354"/>
    <w:rsid w:val="005B60DB"/>
    <w:rsid w:val="005C22AF"/>
    <w:rsid w:val="005F2510"/>
    <w:rsid w:val="00676A5E"/>
    <w:rsid w:val="006A54BF"/>
    <w:rsid w:val="006D05B2"/>
    <w:rsid w:val="00722412"/>
    <w:rsid w:val="00727434"/>
    <w:rsid w:val="00734D29"/>
    <w:rsid w:val="0077787E"/>
    <w:rsid w:val="0079348B"/>
    <w:rsid w:val="007A3491"/>
    <w:rsid w:val="007B4B58"/>
    <w:rsid w:val="007B78DD"/>
    <w:rsid w:val="007F3679"/>
    <w:rsid w:val="007F448B"/>
    <w:rsid w:val="007F718E"/>
    <w:rsid w:val="00801B2B"/>
    <w:rsid w:val="0080287C"/>
    <w:rsid w:val="00803B43"/>
    <w:rsid w:val="00817AE2"/>
    <w:rsid w:val="008405C5"/>
    <w:rsid w:val="0085671E"/>
    <w:rsid w:val="00876FA4"/>
    <w:rsid w:val="00893EAC"/>
    <w:rsid w:val="008A6092"/>
    <w:rsid w:val="008C19C3"/>
    <w:rsid w:val="008C3474"/>
    <w:rsid w:val="008C677C"/>
    <w:rsid w:val="008D2605"/>
    <w:rsid w:val="008D64CE"/>
    <w:rsid w:val="008E4334"/>
    <w:rsid w:val="009142B8"/>
    <w:rsid w:val="00915276"/>
    <w:rsid w:val="00936468"/>
    <w:rsid w:val="009371C3"/>
    <w:rsid w:val="00977064"/>
    <w:rsid w:val="0098387F"/>
    <w:rsid w:val="009D4654"/>
    <w:rsid w:val="009E0EF5"/>
    <w:rsid w:val="009F18E1"/>
    <w:rsid w:val="009F712F"/>
    <w:rsid w:val="00A12C57"/>
    <w:rsid w:val="00A557F8"/>
    <w:rsid w:val="00AA676A"/>
    <w:rsid w:val="00B13870"/>
    <w:rsid w:val="00B14558"/>
    <w:rsid w:val="00B17258"/>
    <w:rsid w:val="00B210F5"/>
    <w:rsid w:val="00B53416"/>
    <w:rsid w:val="00B807AE"/>
    <w:rsid w:val="00BA3182"/>
    <w:rsid w:val="00BB0047"/>
    <w:rsid w:val="00BB051A"/>
    <w:rsid w:val="00BD343E"/>
    <w:rsid w:val="00BE682B"/>
    <w:rsid w:val="00C0672E"/>
    <w:rsid w:val="00C33362"/>
    <w:rsid w:val="00C47864"/>
    <w:rsid w:val="00C528B3"/>
    <w:rsid w:val="00C52B2B"/>
    <w:rsid w:val="00C53602"/>
    <w:rsid w:val="00C77332"/>
    <w:rsid w:val="00C83F29"/>
    <w:rsid w:val="00CA5CD5"/>
    <w:rsid w:val="00CE4C80"/>
    <w:rsid w:val="00CE7A0E"/>
    <w:rsid w:val="00CF0671"/>
    <w:rsid w:val="00CF4ADE"/>
    <w:rsid w:val="00D20562"/>
    <w:rsid w:val="00D56FBF"/>
    <w:rsid w:val="00D81609"/>
    <w:rsid w:val="00DA3A83"/>
    <w:rsid w:val="00DB0D2B"/>
    <w:rsid w:val="00DC0D31"/>
    <w:rsid w:val="00E124DF"/>
    <w:rsid w:val="00E21DD7"/>
    <w:rsid w:val="00E4337C"/>
    <w:rsid w:val="00E56EBF"/>
    <w:rsid w:val="00E56F06"/>
    <w:rsid w:val="00E576CC"/>
    <w:rsid w:val="00E8795B"/>
    <w:rsid w:val="00EB277E"/>
    <w:rsid w:val="00EB7B3B"/>
    <w:rsid w:val="00F01373"/>
    <w:rsid w:val="00F14DB8"/>
    <w:rsid w:val="00F3454D"/>
    <w:rsid w:val="00F3737B"/>
    <w:rsid w:val="00F6315A"/>
    <w:rsid w:val="00FF6CDB"/>
    <w:rsid w:val="01582EB3"/>
    <w:rsid w:val="01670A75"/>
    <w:rsid w:val="01D92F4B"/>
    <w:rsid w:val="021D09AE"/>
    <w:rsid w:val="02317CA1"/>
    <w:rsid w:val="02C26D17"/>
    <w:rsid w:val="032B2B72"/>
    <w:rsid w:val="03633F1C"/>
    <w:rsid w:val="03877CF5"/>
    <w:rsid w:val="03971CD2"/>
    <w:rsid w:val="03997587"/>
    <w:rsid w:val="03A73B20"/>
    <w:rsid w:val="045B69E3"/>
    <w:rsid w:val="04D27C6A"/>
    <w:rsid w:val="04DA6E85"/>
    <w:rsid w:val="054E0E8D"/>
    <w:rsid w:val="05901C8F"/>
    <w:rsid w:val="059D199E"/>
    <w:rsid w:val="06516202"/>
    <w:rsid w:val="065A73D7"/>
    <w:rsid w:val="068D56CD"/>
    <w:rsid w:val="068F1656"/>
    <w:rsid w:val="069514DA"/>
    <w:rsid w:val="06CE3C39"/>
    <w:rsid w:val="070745F4"/>
    <w:rsid w:val="0750320D"/>
    <w:rsid w:val="080C427F"/>
    <w:rsid w:val="08496DC5"/>
    <w:rsid w:val="08601190"/>
    <w:rsid w:val="08610C17"/>
    <w:rsid w:val="08AB76E6"/>
    <w:rsid w:val="08B17C7F"/>
    <w:rsid w:val="08DD1947"/>
    <w:rsid w:val="09794F69"/>
    <w:rsid w:val="09BC7107"/>
    <w:rsid w:val="09C86481"/>
    <w:rsid w:val="09CD6F6A"/>
    <w:rsid w:val="0ABD2EA9"/>
    <w:rsid w:val="0AF02B7A"/>
    <w:rsid w:val="0B0C0657"/>
    <w:rsid w:val="0B2F7E6E"/>
    <w:rsid w:val="0B7057C8"/>
    <w:rsid w:val="0BF51CAC"/>
    <w:rsid w:val="0C327E5C"/>
    <w:rsid w:val="0D66464C"/>
    <w:rsid w:val="0DCA24E7"/>
    <w:rsid w:val="0E1905E8"/>
    <w:rsid w:val="0E6B081A"/>
    <w:rsid w:val="0E812A35"/>
    <w:rsid w:val="0F3A7BBE"/>
    <w:rsid w:val="0FB146BC"/>
    <w:rsid w:val="10D0376E"/>
    <w:rsid w:val="11D75F2F"/>
    <w:rsid w:val="11D802DB"/>
    <w:rsid w:val="121401BA"/>
    <w:rsid w:val="122B009F"/>
    <w:rsid w:val="12946208"/>
    <w:rsid w:val="135D03D9"/>
    <w:rsid w:val="13A17616"/>
    <w:rsid w:val="144F5DF3"/>
    <w:rsid w:val="14836B59"/>
    <w:rsid w:val="149264E6"/>
    <w:rsid w:val="14A04A70"/>
    <w:rsid w:val="14D34734"/>
    <w:rsid w:val="14F31DE2"/>
    <w:rsid w:val="15127621"/>
    <w:rsid w:val="156A2C3E"/>
    <w:rsid w:val="157A3189"/>
    <w:rsid w:val="15E37C52"/>
    <w:rsid w:val="169221B4"/>
    <w:rsid w:val="16EA0A1B"/>
    <w:rsid w:val="17A617C9"/>
    <w:rsid w:val="181D0AF6"/>
    <w:rsid w:val="18E12A26"/>
    <w:rsid w:val="1A2F34CF"/>
    <w:rsid w:val="1B0B6786"/>
    <w:rsid w:val="1BCC4E67"/>
    <w:rsid w:val="1BE24A05"/>
    <w:rsid w:val="1C12375B"/>
    <w:rsid w:val="1C2E1750"/>
    <w:rsid w:val="1C8A5079"/>
    <w:rsid w:val="1D057E26"/>
    <w:rsid w:val="1D520C3E"/>
    <w:rsid w:val="1DA340AC"/>
    <w:rsid w:val="1E2F4E67"/>
    <w:rsid w:val="1E506972"/>
    <w:rsid w:val="1E8146FC"/>
    <w:rsid w:val="1E9B145E"/>
    <w:rsid w:val="1EC8639D"/>
    <w:rsid w:val="1EC97805"/>
    <w:rsid w:val="1EFB07B0"/>
    <w:rsid w:val="1F6101B7"/>
    <w:rsid w:val="1FABD71D"/>
    <w:rsid w:val="20505929"/>
    <w:rsid w:val="2093268B"/>
    <w:rsid w:val="228770CD"/>
    <w:rsid w:val="22A211C8"/>
    <w:rsid w:val="22F75B35"/>
    <w:rsid w:val="236906A5"/>
    <w:rsid w:val="23BA0D09"/>
    <w:rsid w:val="24593BF8"/>
    <w:rsid w:val="24BA0C0F"/>
    <w:rsid w:val="250B61A3"/>
    <w:rsid w:val="259F5563"/>
    <w:rsid w:val="25A662F9"/>
    <w:rsid w:val="25AD749C"/>
    <w:rsid w:val="25AE4162"/>
    <w:rsid w:val="261B2634"/>
    <w:rsid w:val="26344FB7"/>
    <w:rsid w:val="267B346E"/>
    <w:rsid w:val="26872640"/>
    <w:rsid w:val="26C653DA"/>
    <w:rsid w:val="26EC5D21"/>
    <w:rsid w:val="27615821"/>
    <w:rsid w:val="27A13E6E"/>
    <w:rsid w:val="27A644E5"/>
    <w:rsid w:val="28096E65"/>
    <w:rsid w:val="28863E70"/>
    <w:rsid w:val="288A6337"/>
    <w:rsid w:val="28994B2A"/>
    <w:rsid w:val="28CD1B01"/>
    <w:rsid w:val="290441D9"/>
    <w:rsid w:val="292E4395"/>
    <w:rsid w:val="29867FF5"/>
    <w:rsid w:val="29D72E63"/>
    <w:rsid w:val="29F01BC9"/>
    <w:rsid w:val="2A1248CB"/>
    <w:rsid w:val="2A24302B"/>
    <w:rsid w:val="2A7456B8"/>
    <w:rsid w:val="2B330D0F"/>
    <w:rsid w:val="2C3B01C9"/>
    <w:rsid w:val="2CB024EC"/>
    <w:rsid w:val="2D2B1A30"/>
    <w:rsid w:val="2D5BB7F4"/>
    <w:rsid w:val="2DA87FE3"/>
    <w:rsid w:val="2DAB1C1C"/>
    <w:rsid w:val="2E6455AA"/>
    <w:rsid w:val="2E6E5875"/>
    <w:rsid w:val="2EAA1E45"/>
    <w:rsid w:val="2EBA2F30"/>
    <w:rsid w:val="2ED934A8"/>
    <w:rsid w:val="2F8573F4"/>
    <w:rsid w:val="2FFC60D8"/>
    <w:rsid w:val="2FFD4B55"/>
    <w:rsid w:val="306E13C5"/>
    <w:rsid w:val="31C32E9A"/>
    <w:rsid w:val="31F32BCC"/>
    <w:rsid w:val="322D5537"/>
    <w:rsid w:val="32500429"/>
    <w:rsid w:val="32B00783"/>
    <w:rsid w:val="33987EA4"/>
    <w:rsid w:val="33E55770"/>
    <w:rsid w:val="342060B3"/>
    <w:rsid w:val="343041E9"/>
    <w:rsid w:val="343E2C5A"/>
    <w:rsid w:val="34E404B6"/>
    <w:rsid w:val="353874A5"/>
    <w:rsid w:val="356C4B0F"/>
    <w:rsid w:val="357756D0"/>
    <w:rsid w:val="35F83418"/>
    <w:rsid w:val="35FA3DA7"/>
    <w:rsid w:val="36433E0B"/>
    <w:rsid w:val="3685618C"/>
    <w:rsid w:val="369B027F"/>
    <w:rsid w:val="36DF7E92"/>
    <w:rsid w:val="37210A48"/>
    <w:rsid w:val="37C605ED"/>
    <w:rsid w:val="37EC07D4"/>
    <w:rsid w:val="39054161"/>
    <w:rsid w:val="395157DA"/>
    <w:rsid w:val="39D81DB4"/>
    <w:rsid w:val="39DD1F63"/>
    <w:rsid w:val="3A875795"/>
    <w:rsid w:val="3AE15CB1"/>
    <w:rsid w:val="3B3A6848"/>
    <w:rsid w:val="3B5C22DF"/>
    <w:rsid w:val="3C7702D9"/>
    <w:rsid w:val="3C822FFF"/>
    <w:rsid w:val="3C987755"/>
    <w:rsid w:val="3D1712DB"/>
    <w:rsid w:val="3D6E4CFB"/>
    <w:rsid w:val="3DB948D9"/>
    <w:rsid w:val="3DED19CC"/>
    <w:rsid w:val="3E551C1D"/>
    <w:rsid w:val="3E6D1878"/>
    <w:rsid w:val="3EAA16DD"/>
    <w:rsid w:val="3EE7006C"/>
    <w:rsid w:val="3F043070"/>
    <w:rsid w:val="3F397145"/>
    <w:rsid w:val="41103545"/>
    <w:rsid w:val="419141BF"/>
    <w:rsid w:val="41C515FE"/>
    <w:rsid w:val="41F26234"/>
    <w:rsid w:val="42955F29"/>
    <w:rsid w:val="42C52D12"/>
    <w:rsid w:val="42EA0B90"/>
    <w:rsid w:val="436E1D48"/>
    <w:rsid w:val="442221E6"/>
    <w:rsid w:val="44FC0AD9"/>
    <w:rsid w:val="45C66F5A"/>
    <w:rsid w:val="464311BD"/>
    <w:rsid w:val="46762869"/>
    <w:rsid w:val="46800ECA"/>
    <w:rsid w:val="46D65DFF"/>
    <w:rsid w:val="46ED43C8"/>
    <w:rsid w:val="47655748"/>
    <w:rsid w:val="47D333E9"/>
    <w:rsid w:val="481F5D29"/>
    <w:rsid w:val="485B08F6"/>
    <w:rsid w:val="48E65506"/>
    <w:rsid w:val="49A27C7B"/>
    <w:rsid w:val="49A95325"/>
    <w:rsid w:val="49C60D15"/>
    <w:rsid w:val="49EE18E7"/>
    <w:rsid w:val="4A0E5830"/>
    <w:rsid w:val="4C72500A"/>
    <w:rsid w:val="4DB13CD6"/>
    <w:rsid w:val="4DE409C5"/>
    <w:rsid w:val="4E470451"/>
    <w:rsid w:val="4E5A4E46"/>
    <w:rsid w:val="4E776E4B"/>
    <w:rsid w:val="4EBE5040"/>
    <w:rsid w:val="4EC635D4"/>
    <w:rsid w:val="4EF42DDE"/>
    <w:rsid w:val="4F021DFD"/>
    <w:rsid w:val="4F4E29DD"/>
    <w:rsid w:val="4FA93361"/>
    <w:rsid w:val="50491464"/>
    <w:rsid w:val="50EB4351"/>
    <w:rsid w:val="513E3E14"/>
    <w:rsid w:val="516E5D30"/>
    <w:rsid w:val="519A61B8"/>
    <w:rsid w:val="527C18CC"/>
    <w:rsid w:val="529328AD"/>
    <w:rsid w:val="52A26688"/>
    <w:rsid w:val="52C3106D"/>
    <w:rsid w:val="532D1C0A"/>
    <w:rsid w:val="53583E88"/>
    <w:rsid w:val="54D72BF4"/>
    <w:rsid w:val="54F6709D"/>
    <w:rsid w:val="566138B1"/>
    <w:rsid w:val="56832AE6"/>
    <w:rsid w:val="56F540E8"/>
    <w:rsid w:val="576B6402"/>
    <w:rsid w:val="57814C22"/>
    <w:rsid w:val="579303E0"/>
    <w:rsid w:val="57BD125F"/>
    <w:rsid w:val="57DB4D69"/>
    <w:rsid w:val="58CB2B06"/>
    <w:rsid w:val="59005937"/>
    <w:rsid w:val="596D5572"/>
    <w:rsid w:val="59DC23BD"/>
    <w:rsid w:val="5A106A61"/>
    <w:rsid w:val="5B012DD6"/>
    <w:rsid w:val="5B2449F6"/>
    <w:rsid w:val="5B4A303E"/>
    <w:rsid w:val="5B867F38"/>
    <w:rsid w:val="5B9270CA"/>
    <w:rsid w:val="5BBF1EDC"/>
    <w:rsid w:val="5BEB37DD"/>
    <w:rsid w:val="5C0D5EDF"/>
    <w:rsid w:val="5CCB520D"/>
    <w:rsid w:val="5CDE5F6B"/>
    <w:rsid w:val="5CE729B2"/>
    <w:rsid w:val="5D072615"/>
    <w:rsid w:val="5D820B03"/>
    <w:rsid w:val="5DDC291B"/>
    <w:rsid w:val="5DE919D2"/>
    <w:rsid w:val="5DE96BF2"/>
    <w:rsid w:val="5E3B56D9"/>
    <w:rsid w:val="5E7F01AB"/>
    <w:rsid w:val="5E910416"/>
    <w:rsid w:val="5FC652D8"/>
    <w:rsid w:val="6043407E"/>
    <w:rsid w:val="605F74B4"/>
    <w:rsid w:val="607B68FE"/>
    <w:rsid w:val="617007B5"/>
    <w:rsid w:val="61E56E86"/>
    <w:rsid w:val="621870FC"/>
    <w:rsid w:val="62DA2A3D"/>
    <w:rsid w:val="637B3A8F"/>
    <w:rsid w:val="63A65E89"/>
    <w:rsid w:val="65001203"/>
    <w:rsid w:val="65737FA2"/>
    <w:rsid w:val="65D920E1"/>
    <w:rsid w:val="65D9655D"/>
    <w:rsid w:val="6637149C"/>
    <w:rsid w:val="6656630C"/>
    <w:rsid w:val="66EC0C69"/>
    <w:rsid w:val="67AD24B8"/>
    <w:rsid w:val="67F5DAB5"/>
    <w:rsid w:val="68261741"/>
    <w:rsid w:val="693E2FAD"/>
    <w:rsid w:val="698062FC"/>
    <w:rsid w:val="69BD5EE8"/>
    <w:rsid w:val="6A740B43"/>
    <w:rsid w:val="6ABD46BF"/>
    <w:rsid w:val="6AF730BD"/>
    <w:rsid w:val="6B617BE2"/>
    <w:rsid w:val="6BA66029"/>
    <w:rsid w:val="6CA041B2"/>
    <w:rsid w:val="6DDD5EBF"/>
    <w:rsid w:val="6DFC4CD2"/>
    <w:rsid w:val="6E2E2D6D"/>
    <w:rsid w:val="6E3F51B6"/>
    <w:rsid w:val="6E460B96"/>
    <w:rsid w:val="6EA82131"/>
    <w:rsid w:val="6F046708"/>
    <w:rsid w:val="6F68529E"/>
    <w:rsid w:val="6FB410D2"/>
    <w:rsid w:val="6FC54BEF"/>
    <w:rsid w:val="706921FA"/>
    <w:rsid w:val="70B22C23"/>
    <w:rsid w:val="71411B5D"/>
    <w:rsid w:val="719931E1"/>
    <w:rsid w:val="7240055A"/>
    <w:rsid w:val="728E0BA0"/>
    <w:rsid w:val="73134A0E"/>
    <w:rsid w:val="736064A7"/>
    <w:rsid w:val="736159D6"/>
    <w:rsid w:val="73F71039"/>
    <w:rsid w:val="73F91498"/>
    <w:rsid w:val="74D5337C"/>
    <w:rsid w:val="74D975E2"/>
    <w:rsid w:val="756B7D6A"/>
    <w:rsid w:val="757C417D"/>
    <w:rsid w:val="759455DB"/>
    <w:rsid w:val="75D160D9"/>
    <w:rsid w:val="762914BB"/>
    <w:rsid w:val="76685F07"/>
    <w:rsid w:val="773A73AB"/>
    <w:rsid w:val="775767BB"/>
    <w:rsid w:val="7779068F"/>
    <w:rsid w:val="77B92148"/>
    <w:rsid w:val="77FFE39F"/>
    <w:rsid w:val="781B1736"/>
    <w:rsid w:val="78F051A8"/>
    <w:rsid w:val="79EF18A6"/>
    <w:rsid w:val="7A903B21"/>
    <w:rsid w:val="7AC3080E"/>
    <w:rsid w:val="7CF2196B"/>
    <w:rsid w:val="7D2E7430"/>
    <w:rsid w:val="7D3C57E6"/>
    <w:rsid w:val="7D993EC8"/>
    <w:rsid w:val="7D9A013D"/>
    <w:rsid w:val="7DF0309A"/>
    <w:rsid w:val="7E9160CF"/>
    <w:rsid w:val="7EC677D3"/>
    <w:rsid w:val="7FDC2489"/>
    <w:rsid w:val="7FFDEEFD"/>
    <w:rsid w:val="BBFEB28B"/>
    <w:rsid w:val="D74FDF30"/>
    <w:rsid w:val="DEAEE68D"/>
    <w:rsid w:val="F7F97754"/>
    <w:rsid w:val="FB7FC3E7"/>
    <w:rsid w:val="FF3F61B6"/>
    <w:rsid w:val="FFC7E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4"/>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6"/>
    <w:unhideWhenUsed/>
    <w:qFormat/>
    <w:uiPriority w:val="9"/>
    <w:pPr>
      <w:keepNext/>
      <w:keepLines/>
      <w:spacing w:before="260" w:after="260" w:line="416" w:lineRule="atLeast"/>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7"/>
    <w:unhideWhenUsed/>
    <w:qFormat/>
    <w:uiPriority w:val="99"/>
    <w:pPr>
      <w:spacing w:line="240" w:lineRule="auto"/>
    </w:pPr>
    <w:rPr>
      <w:sz w:val="18"/>
      <w:szCs w:val="18"/>
    </w:rPr>
  </w:style>
  <w:style w:type="paragraph" w:styleId="7">
    <w:name w:val="footer"/>
    <w:basedOn w:val="1"/>
    <w:link w:val="18"/>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3">
    <w:name w:val="Hyperlink"/>
    <w:unhideWhenUsed/>
    <w:qFormat/>
    <w:uiPriority w:val="99"/>
    <w:rPr>
      <w:color w:val="0000FF"/>
      <w:u w:val="single"/>
    </w:rPr>
  </w:style>
  <w:style w:type="character" w:customStyle="1" w:styleId="14">
    <w:name w:val="标题 1 字符"/>
    <w:link w:val="2"/>
    <w:qFormat/>
    <w:uiPriority w:val="9"/>
    <w:rPr>
      <w:b/>
      <w:bCs/>
      <w:kern w:val="44"/>
      <w:sz w:val="44"/>
      <w:szCs w:val="44"/>
    </w:rPr>
  </w:style>
  <w:style w:type="character" w:customStyle="1" w:styleId="15">
    <w:name w:val="标题 2 字符"/>
    <w:link w:val="3"/>
    <w:semiHidden/>
    <w:qFormat/>
    <w:uiPriority w:val="9"/>
    <w:rPr>
      <w:rFonts w:ascii="Cambria" w:hAnsi="Cambria" w:eastAsia="宋体" w:cs="Times New Roman"/>
      <w:b/>
      <w:bCs/>
      <w:sz w:val="32"/>
      <w:szCs w:val="32"/>
    </w:rPr>
  </w:style>
  <w:style w:type="character" w:customStyle="1" w:styleId="16">
    <w:name w:val="标题 3 字符"/>
    <w:link w:val="4"/>
    <w:semiHidden/>
    <w:qFormat/>
    <w:uiPriority w:val="9"/>
    <w:rPr>
      <w:b/>
      <w:bCs/>
      <w:sz w:val="32"/>
      <w:szCs w:val="32"/>
    </w:rPr>
  </w:style>
  <w:style w:type="character" w:customStyle="1" w:styleId="17">
    <w:name w:val="批注框文本 字符"/>
    <w:link w:val="6"/>
    <w:semiHidden/>
    <w:qFormat/>
    <w:uiPriority w:val="99"/>
    <w:rPr>
      <w:sz w:val="18"/>
      <w:szCs w:val="18"/>
    </w:rPr>
  </w:style>
  <w:style w:type="character" w:customStyle="1" w:styleId="18">
    <w:name w:val="页脚 字符"/>
    <w:link w:val="7"/>
    <w:semiHidden/>
    <w:qFormat/>
    <w:uiPriority w:val="0"/>
    <w:rPr>
      <w:sz w:val="18"/>
      <w:szCs w:val="18"/>
    </w:rPr>
  </w:style>
  <w:style w:type="character" w:customStyle="1" w:styleId="19">
    <w:name w:val="页眉 字符"/>
    <w:link w:val="8"/>
    <w:semiHidden/>
    <w:qFormat/>
    <w:uiPriority w:val="0"/>
    <w:rPr>
      <w:sz w:val="18"/>
      <w:szCs w:val="18"/>
    </w:rPr>
  </w:style>
  <w:style w:type="paragraph" w:customStyle="1" w:styleId="20">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1266</Words>
  <Characters>7217</Characters>
  <Lines>60</Lines>
  <Paragraphs>16</Paragraphs>
  <TotalTime>2</TotalTime>
  <ScaleCrop>false</ScaleCrop>
  <LinksUpToDate>false</LinksUpToDate>
  <CharactersWithSpaces>8467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2019-07-28T02:37:00Z</dcterms:created>
  <dc:creator>Administrator</dc:creator>
  <cp:lastModifiedBy>Administrator</cp:lastModifiedBy>
  <cp:lastPrinted>2012-09-19T14:00:00Z</cp:lastPrinted>
  <dcterms:modified xsi:type="dcterms:W3CDTF">2023-10-10T08:13:20Z</dcterms:modified>
  <dc:title>附件1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90D74AD8847844C8B6B3F08FF3278CF3_13</vt:lpwstr>
  </property>
</Properties>
</file>