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240" w:lineRule="auto"/>
        <w:rPr>
          <w:rFonts w:ascii="Times New Roman" w:hAnsi="Times New Roman" w:eastAsia="黑体" w:cs="黑体"/>
          <w:w w:val="95"/>
          <w:sz w:val="32"/>
          <w:szCs w:val="32"/>
          <w:u w:val="none"/>
          <w:lang w:val="en"/>
        </w:rPr>
      </w:pPr>
    </w:p>
    <w:p>
      <w:pPr>
        <w:spacing w:line="580" w:lineRule="exact"/>
        <w:jc w:val="center"/>
        <w:rPr>
          <w:rFonts w:ascii="Times New Roman" w:hAnsi="Times New Roman" w:eastAsia="黑体"/>
          <w:w w:val="95"/>
          <w:sz w:val="44"/>
          <w:szCs w:val="44"/>
          <w:u w:val="none"/>
        </w:rPr>
      </w:pPr>
    </w:p>
    <w:p>
      <w:pPr>
        <w:spacing w:line="580" w:lineRule="exact"/>
        <w:jc w:val="center"/>
        <w:rPr>
          <w:rFonts w:ascii="Times New Roman" w:hAnsi="Times New Roman" w:eastAsia="黑体"/>
          <w:w w:val="95"/>
          <w:sz w:val="44"/>
          <w:szCs w:val="44"/>
          <w:u w:val="none"/>
        </w:rPr>
      </w:pPr>
    </w:p>
    <w:p>
      <w:pPr>
        <w:spacing w:line="580" w:lineRule="exact"/>
        <w:jc w:val="center"/>
        <w:rPr>
          <w:rFonts w:ascii="Times New Roman" w:hAnsi="Times New Roman" w:eastAsia="黑体"/>
          <w:w w:val="95"/>
          <w:sz w:val="44"/>
          <w:szCs w:val="44"/>
          <w:u w:val="none"/>
        </w:rPr>
      </w:pPr>
    </w:p>
    <w:p>
      <w:pPr>
        <w:spacing w:line="580" w:lineRule="exact"/>
        <w:jc w:val="center"/>
        <w:rPr>
          <w:rFonts w:ascii="Times New Roman" w:hAnsi="Times New Roman" w:eastAsia="黑体"/>
          <w:w w:val="95"/>
          <w:sz w:val="44"/>
          <w:szCs w:val="44"/>
          <w:u w:val="none"/>
        </w:rPr>
      </w:pPr>
    </w:p>
    <w:p>
      <w:pPr>
        <w:spacing w:line="580" w:lineRule="exact"/>
        <w:jc w:val="center"/>
        <w:rPr>
          <w:rFonts w:ascii="Times New Roman" w:hAnsi="Times New Roman" w:eastAsia="黑体"/>
          <w:w w:val="95"/>
          <w:sz w:val="44"/>
          <w:szCs w:val="44"/>
          <w:u w:val="none"/>
        </w:rPr>
      </w:pPr>
    </w:p>
    <w:p>
      <w:pPr>
        <w:spacing w:line="580" w:lineRule="exact"/>
        <w:jc w:val="center"/>
        <w:rPr>
          <w:rFonts w:ascii="Times New Roman" w:hAnsi="Times New Roman" w:eastAsia="黑体"/>
          <w:w w:val="95"/>
          <w:sz w:val="44"/>
          <w:szCs w:val="44"/>
          <w:u w:val="none"/>
        </w:rPr>
      </w:pPr>
    </w:p>
    <w:p>
      <w:pPr>
        <w:spacing w:line="580" w:lineRule="exact"/>
        <w:jc w:val="center"/>
        <w:rPr>
          <w:rFonts w:ascii="Times New Roman" w:hAnsi="Times New Roman" w:eastAsia="黑体"/>
          <w:w w:val="95"/>
          <w:sz w:val="44"/>
          <w:szCs w:val="44"/>
          <w:u w:val="none"/>
        </w:rPr>
      </w:pPr>
    </w:p>
    <w:p>
      <w:pPr>
        <w:spacing w:line="580" w:lineRule="exact"/>
        <w:jc w:val="center"/>
        <w:rPr>
          <w:rFonts w:ascii="Times New Roman" w:hAnsi="Times New Roman" w:eastAsia="黑体"/>
          <w:w w:val="95"/>
          <w:sz w:val="44"/>
          <w:szCs w:val="44"/>
          <w:u w:val="none"/>
        </w:rPr>
      </w:pPr>
    </w:p>
    <w:p>
      <w:pPr>
        <w:spacing w:line="240" w:lineRule="auto"/>
        <w:jc w:val="center"/>
        <w:rPr>
          <w:rFonts w:ascii="Times New Roman" w:hAnsi="Times New Roman" w:eastAsia="方正小标宋简体" w:cs="方正小标宋简体"/>
          <w:sz w:val="48"/>
          <w:szCs w:val="48"/>
          <w:u w:val="none"/>
        </w:rPr>
      </w:pPr>
      <w:r>
        <w:rPr>
          <w:rFonts w:hint="eastAsia" w:ascii="Times New Roman" w:hAnsi="Times New Roman" w:eastAsia="方正小标宋简体" w:cs="方正小标宋简体"/>
          <w:sz w:val="48"/>
          <w:szCs w:val="48"/>
          <w:u w:val="none"/>
        </w:rPr>
        <w:t>天津市津南区北闸口镇农业农村事务服务中心</w:t>
      </w:r>
    </w:p>
    <w:p>
      <w:pPr>
        <w:spacing w:line="580" w:lineRule="exact"/>
        <w:jc w:val="center"/>
        <w:rPr>
          <w:rFonts w:ascii="Times New Roman" w:hAnsi="Times New Roman" w:eastAsia="方正小标宋简体" w:cs="方正小标宋简体"/>
          <w:sz w:val="48"/>
          <w:szCs w:val="48"/>
          <w:u w:val="none"/>
        </w:rPr>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pPr>
      <w:r>
        <w:rPr>
          <w:rFonts w:hint="eastAsia" w:ascii="Times New Roman" w:hAnsi="Times New Roman" w:eastAsia="方正小标宋简体" w:cs="方正小标宋简体"/>
          <w:sz w:val="48"/>
          <w:szCs w:val="48"/>
          <w:u w:val="none"/>
        </w:rPr>
        <w:t>2022年度部门决算</w:t>
      </w:r>
    </w:p>
    <w:p>
      <w:pPr>
        <w:spacing w:line="600" w:lineRule="exact"/>
        <w:jc w:val="center"/>
        <w:rPr>
          <w:rFonts w:ascii="Times New Roman" w:hAnsi="Times New Roman" w:eastAsia="黑体"/>
          <w:sz w:val="44"/>
          <w:szCs w:val="44"/>
          <w:u w:val="none"/>
        </w:rPr>
      </w:pPr>
    </w:p>
    <w:p>
      <w:pPr>
        <w:spacing w:line="600" w:lineRule="exact"/>
        <w:jc w:val="center"/>
        <w:rPr>
          <w:rFonts w:ascii="Times New Roman" w:hAnsi="Times New Roman" w:eastAsia="黑体"/>
          <w:sz w:val="44"/>
          <w:szCs w:val="44"/>
          <w:u w:val="none"/>
        </w:rPr>
      </w:pPr>
      <w:r>
        <w:rPr>
          <w:rFonts w:hint="eastAsia" w:ascii="Times New Roman" w:hAnsi="Times New Roman" w:eastAsia="黑体"/>
          <w:sz w:val="44"/>
          <w:szCs w:val="44"/>
          <w:u w:val="none"/>
        </w:rPr>
        <w:t>目   录</w:t>
      </w:r>
    </w:p>
    <w:p>
      <w:pPr>
        <w:spacing w:line="600" w:lineRule="exact"/>
        <w:rPr>
          <w:rFonts w:ascii="Times New Roman" w:hAnsi="Times New Roman" w:eastAsia="黑体"/>
          <w:sz w:val="30"/>
          <w:szCs w:val="30"/>
          <w:u w:val="none"/>
        </w:rPr>
      </w:pPr>
    </w:p>
    <w:p>
      <w:pPr>
        <w:pStyle w:val="9"/>
        <w:tabs>
          <w:tab w:val="right" w:leader="dot" w:pos="8306"/>
          <w:tab w:val="clear" w:pos="8296"/>
        </w:tabs>
        <w:rPr>
          <w:rFonts w:ascii="Times New Roman" w:hAnsi="Times New Roman" w:eastAsia="仿宋_GB2312" w:cs="Times New Roman"/>
          <w:sz w:val="30"/>
          <w:szCs w:val="30"/>
          <w:u w:val="none"/>
        </w:rPr>
      </w:pPr>
      <w:r>
        <w:rPr>
          <w:rFonts w:hint="eastAsia" w:ascii="Times New Roman" w:hAnsi="Times New Roman" w:eastAsia="仿宋_GB2312" w:cs="Times New Roman"/>
          <w:sz w:val="30"/>
          <w:szCs w:val="30"/>
          <w:u w:val="none"/>
        </w:rPr>
        <w:fldChar w:fldCharType="begin"/>
      </w:r>
      <w:r>
        <w:rPr>
          <w:rFonts w:hint="eastAsia" w:ascii="Times New Roman" w:hAnsi="Times New Roman" w:eastAsia="仿宋_GB2312" w:cs="Times New Roman"/>
          <w:sz w:val="30"/>
          <w:szCs w:val="30"/>
          <w:u w:val="none"/>
        </w:rPr>
        <w:instrText xml:space="preserve"> TOC \o "1-3" \h \z \u </w:instrText>
      </w:r>
      <w:r>
        <w:rPr>
          <w:rFonts w:hint="eastAsia" w:ascii="Times New Roman" w:hAnsi="Times New Roman" w:eastAsia="仿宋_GB2312" w:cs="Times New Roman"/>
          <w:sz w:val="30"/>
          <w:szCs w:val="30"/>
          <w:u w:val="none"/>
        </w:rPr>
        <w:fldChar w:fldCharType="separate"/>
      </w:r>
      <w:r>
        <w:rPr>
          <w:rFonts w:ascii="Times New Roman" w:hAnsi="Times New Roman"/>
          <w:u w:val="none"/>
        </w:rPr>
        <w:fldChar w:fldCharType="begin"/>
      </w:r>
      <w:r>
        <w:rPr>
          <w:rFonts w:ascii="Times New Roman" w:hAnsi="Times New Roman"/>
          <w:u w:val="none"/>
        </w:rPr>
        <w:instrText xml:space="preserve"> HYPERLINK \l "_Toc859" </w:instrText>
      </w:r>
      <w:r>
        <w:rPr>
          <w:rFonts w:ascii="Times New Roman" w:hAnsi="Times New Roman"/>
          <w:u w:val="none"/>
        </w:rPr>
        <w:fldChar w:fldCharType="separate"/>
      </w:r>
      <w:r>
        <w:rPr>
          <w:rFonts w:hint="eastAsia" w:ascii="Times New Roman" w:hAnsi="Times New Roman" w:eastAsia="仿宋_GB2312" w:cs="Times New Roman"/>
          <w:sz w:val="30"/>
          <w:szCs w:val="30"/>
          <w:u w:val="none"/>
        </w:rPr>
        <w:t>第一部分  概 况</w:t>
      </w:r>
      <w:r>
        <w:rPr>
          <w:rFonts w:hint="eastAsia" w:ascii="Times New Roman" w:hAnsi="Times New Roman" w:eastAsia="仿宋_GB2312" w:cs="Times New Roman"/>
          <w:sz w:val="30"/>
          <w:szCs w:val="30"/>
          <w:u w:val="none"/>
        </w:rPr>
        <w:tab/>
      </w:r>
      <w:r>
        <w:rPr>
          <w:rFonts w:hint="eastAsia" w:ascii="Times New Roman" w:hAnsi="Times New Roman" w:eastAsia="仿宋_GB2312" w:cs="Times New Roman"/>
          <w:sz w:val="30"/>
          <w:szCs w:val="30"/>
          <w:u w:val="none"/>
        </w:rPr>
        <w:fldChar w:fldCharType="begin"/>
      </w:r>
      <w:r>
        <w:rPr>
          <w:rFonts w:hint="eastAsia" w:ascii="Times New Roman" w:hAnsi="Times New Roman" w:eastAsia="仿宋_GB2312" w:cs="Times New Roman"/>
          <w:sz w:val="30"/>
          <w:szCs w:val="30"/>
          <w:u w:val="none"/>
        </w:rPr>
        <w:instrText xml:space="preserve"> PAGEREF _Toc859 \h </w:instrText>
      </w:r>
      <w:r>
        <w:rPr>
          <w:rFonts w:hint="eastAsia" w:ascii="Times New Roman" w:hAnsi="Times New Roman" w:eastAsia="仿宋_GB2312" w:cs="Times New Roman"/>
          <w:sz w:val="30"/>
          <w:szCs w:val="30"/>
          <w:u w:val="none"/>
        </w:rPr>
        <w:fldChar w:fldCharType="separate"/>
      </w:r>
      <w:r>
        <w:rPr>
          <w:rFonts w:hint="eastAsia" w:ascii="Times New Roman" w:hAnsi="Times New Roman" w:eastAsia="仿宋_GB2312" w:cs="Times New Roman"/>
          <w:sz w:val="30"/>
          <w:szCs w:val="30"/>
          <w:u w:val="none"/>
        </w:rPr>
        <w:t>1</w:t>
      </w:r>
      <w:r>
        <w:rPr>
          <w:rFonts w:hint="eastAsia" w:ascii="Times New Roman" w:hAnsi="Times New Roman" w:eastAsia="仿宋_GB2312" w:cs="Times New Roman"/>
          <w:sz w:val="30"/>
          <w:szCs w:val="30"/>
          <w:u w:val="none"/>
        </w:rPr>
        <w:fldChar w:fldCharType="end"/>
      </w:r>
      <w:r>
        <w:rPr>
          <w:rFonts w:hint="eastAsia" w:ascii="Times New Roman" w:hAnsi="Times New Roman" w:eastAsia="仿宋_GB2312" w:cs="Times New Roman"/>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"_Toc21919" </w:instrText>
      </w:r>
      <w:r>
        <w:rPr>
          <w:rFonts w:ascii="Times New Roman" w:hAnsi="Times New Roman"/>
          <w:u w:val="none"/>
        </w:rPr>
        <w:fldChar w:fldCharType="separate"/>
      </w:r>
      <w:r>
        <w:rPr>
          <w:rFonts w:hint="eastAsia" w:ascii="Times New Roman" w:hAnsi="Times New Roman" w:eastAsia="仿宋_GB2312"/>
          <w:sz w:val="30"/>
          <w:szCs w:val="30"/>
          <w:u w:val="none"/>
        </w:rPr>
        <w:t>一、主要职责</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_Toc21919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1</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"_Toc17388" </w:instrText>
      </w:r>
      <w:r>
        <w:rPr>
          <w:rFonts w:ascii="Times New Roman" w:hAnsi="Times New Roman"/>
          <w:u w:val="none"/>
        </w:rPr>
        <w:fldChar w:fldCharType="separate"/>
      </w:r>
      <w:r>
        <w:rPr>
          <w:rFonts w:hint="eastAsia" w:ascii="Times New Roman" w:hAnsi="Times New Roman" w:eastAsia="仿宋_GB2312"/>
          <w:sz w:val="30"/>
          <w:szCs w:val="30"/>
          <w:u w:val="none"/>
        </w:rPr>
        <w:t>二、机构设置</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_Toc17388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1</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9"/>
        <w:tabs>
          <w:tab w:val="right" w:leader="dot" w:pos="8306"/>
          <w:tab w:val="clear" w:pos="8296"/>
        </w:tabs>
        <w:rPr>
          <w:rFonts w:ascii="Times New Roman" w:hAnsi="Times New Roman" w:eastAsia="仿宋_GB2312" w:cs="Times New Roman"/>
          <w:sz w:val="30"/>
          <w:szCs w:val="30"/>
          <w:u w:val="none"/>
        </w:rPr>
      </w:pPr>
      <w:r>
        <w:rPr>
          <w:rFonts w:ascii="Times New Roman" w:hAnsi="Times New Roman"/>
          <w:u w:val="none"/>
        </w:rPr>
        <w:fldChar w:fldCharType="begin"/>
      </w:r>
      <w:r>
        <w:rPr>
          <w:rFonts w:ascii="Times New Roman" w:hAnsi="Times New Roman"/>
          <w:u w:val="none"/>
        </w:rPr>
        <w:instrText xml:space="preserve"> HYPERLINK \l "_Toc24747" </w:instrText>
      </w:r>
      <w:r>
        <w:rPr>
          <w:rFonts w:ascii="Times New Roman" w:hAnsi="Times New Roman"/>
          <w:u w:val="none"/>
        </w:rPr>
        <w:fldChar w:fldCharType="separate"/>
      </w:r>
      <w:r>
        <w:rPr>
          <w:rFonts w:hint="eastAsia" w:ascii="Times New Roman" w:hAnsi="Times New Roman" w:eastAsia="仿宋_GB2312" w:cs="Times New Roman"/>
          <w:sz w:val="30"/>
          <w:szCs w:val="30"/>
          <w:u w:val="none"/>
        </w:rPr>
        <w:t>第二部分  2022年度部门决算表</w:t>
      </w:r>
      <w:r>
        <w:rPr>
          <w:rFonts w:hint="eastAsia" w:ascii="Times New Roman" w:hAnsi="Times New Roman" w:eastAsia="仿宋_GB2312" w:cs="Times New Roman"/>
          <w:sz w:val="30"/>
          <w:szCs w:val="30"/>
          <w:u w:val="none"/>
        </w:rPr>
        <w:tab/>
      </w:r>
      <w:r>
        <w:rPr>
          <w:rFonts w:hint="eastAsia" w:ascii="Times New Roman" w:hAnsi="Times New Roman" w:eastAsia="仿宋_GB2312" w:cs="Times New Roman"/>
          <w:sz w:val="30"/>
          <w:szCs w:val="30"/>
          <w:u w:val="none"/>
        </w:rPr>
        <w:fldChar w:fldCharType="begin"/>
      </w:r>
      <w:r>
        <w:rPr>
          <w:rFonts w:hint="eastAsia" w:ascii="Times New Roman" w:hAnsi="Times New Roman" w:eastAsia="仿宋_GB2312" w:cs="Times New Roman"/>
          <w:sz w:val="30"/>
          <w:szCs w:val="30"/>
          <w:u w:val="none"/>
        </w:rPr>
        <w:instrText xml:space="preserve"> PAGEREF _Toc24747 \h </w:instrText>
      </w:r>
      <w:r>
        <w:rPr>
          <w:rFonts w:hint="eastAsia" w:ascii="Times New Roman" w:hAnsi="Times New Roman" w:eastAsia="仿宋_GB2312" w:cs="Times New Roman"/>
          <w:sz w:val="30"/>
          <w:szCs w:val="30"/>
          <w:u w:val="none"/>
        </w:rPr>
        <w:fldChar w:fldCharType="separate"/>
      </w:r>
      <w:r>
        <w:rPr>
          <w:rFonts w:hint="eastAsia" w:ascii="Times New Roman" w:hAnsi="Times New Roman" w:eastAsia="仿宋_GB2312" w:cs="Times New Roman"/>
          <w:sz w:val="30"/>
          <w:szCs w:val="30"/>
          <w:u w:val="none"/>
        </w:rPr>
        <w:t>2</w:t>
      </w:r>
      <w:r>
        <w:rPr>
          <w:rFonts w:hint="eastAsia" w:ascii="Times New Roman" w:hAnsi="Times New Roman" w:eastAsia="仿宋_GB2312" w:cs="Times New Roman"/>
          <w:sz w:val="30"/>
          <w:szCs w:val="30"/>
          <w:u w:val="none"/>
        </w:rPr>
        <w:fldChar w:fldCharType="end"/>
      </w:r>
      <w:r>
        <w:rPr>
          <w:rFonts w:hint="eastAsia" w:ascii="Times New Roman" w:hAnsi="Times New Roman" w:eastAsia="仿宋_GB2312" w:cs="Times New Roman"/>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"_Toc20142" </w:instrText>
      </w:r>
      <w:r>
        <w:rPr>
          <w:rFonts w:ascii="Times New Roman" w:hAnsi="Times New Roman"/>
          <w:u w:val="none"/>
        </w:rPr>
        <w:fldChar w:fldCharType="separate"/>
      </w:r>
      <w:r>
        <w:rPr>
          <w:rFonts w:hint="eastAsia" w:ascii="Times New Roman" w:hAnsi="Times New Roman" w:eastAsia="仿宋_GB2312"/>
          <w:sz w:val="30"/>
          <w:szCs w:val="30"/>
          <w:u w:val="none"/>
        </w:rPr>
        <w:t>一、《收入支出决算总表》</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_Toc20142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2</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"_Toc1616" </w:instrText>
      </w:r>
      <w:r>
        <w:rPr>
          <w:rFonts w:ascii="Times New Roman" w:hAnsi="Times New Roman"/>
          <w:u w:val="none"/>
        </w:rPr>
        <w:fldChar w:fldCharType="separate"/>
      </w:r>
      <w:r>
        <w:rPr>
          <w:rFonts w:hint="eastAsia" w:ascii="Times New Roman" w:hAnsi="Times New Roman" w:eastAsia="仿宋_GB2312"/>
          <w:sz w:val="30"/>
          <w:szCs w:val="30"/>
          <w:u w:val="none"/>
        </w:rPr>
        <w:t>二、《收入决算表（按功能分类列示）》</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_Toc1616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2</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"_Toc12050" </w:instrText>
      </w:r>
      <w:r>
        <w:rPr>
          <w:rFonts w:ascii="Times New Roman" w:hAnsi="Times New Roman"/>
          <w:u w:val="none"/>
        </w:rPr>
        <w:fldChar w:fldCharType="separate"/>
      </w:r>
      <w:r>
        <w:rPr>
          <w:rFonts w:hint="eastAsia" w:ascii="Times New Roman" w:hAnsi="Times New Roman" w:eastAsia="仿宋_GB2312"/>
          <w:sz w:val="30"/>
          <w:szCs w:val="30"/>
          <w:u w:val="none"/>
        </w:rPr>
        <w:t>三、《收入决算表（按单位列示）》</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_Toc12050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2</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"_Toc1989" </w:instrText>
      </w:r>
      <w:r>
        <w:rPr>
          <w:rFonts w:ascii="Times New Roman" w:hAnsi="Times New Roman"/>
          <w:u w:val="none"/>
        </w:rPr>
        <w:fldChar w:fldCharType="separate"/>
      </w:r>
      <w:r>
        <w:rPr>
          <w:rFonts w:hint="eastAsia" w:ascii="Times New Roman" w:hAnsi="Times New Roman" w:eastAsia="仿宋_GB2312"/>
          <w:sz w:val="30"/>
          <w:szCs w:val="30"/>
          <w:u w:val="none"/>
        </w:rPr>
        <w:t>四、《支出决算表》</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_Toc1989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2</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"_Toc32498" </w:instrText>
      </w:r>
      <w:r>
        <w:rPr>
          <w:rFonts w:ascii="Times New Roman" w:hAnsi="Times New Roman"/>
          <w:u w:val="none"/>
        </w:rPr>
        <w:fldChar w:fldCharType="separate"/>
      </w:r>
      <w:r>
        <w:rPr>
          <w:rFonts w:hint="eastAsia" w:ascii="Times New Roman" w:hAnsi="Times New Roman" w:eastAsia="仿宋_GB2312"/>
          <w:sz w:val="30"/>
          <w:szCs w:val="30"/>
          <w:u w:val="none"/>
        </w:rPr>
        <w:t>五、《财政拨款收入支出决算总表》</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_Toc32498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2</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"_Toc26379" </w:instrText>
      </w:r>
      <w:r>
        <w:rPr>
          <w:rFonts w:ascii="Times New Roman" w:hAnsi="Times New Roman"/>
          <w:u w:val="none"/>
        </w:rPr>
        <w:fldChar w:fldCharType="separate"/>
      </w:r>
      <w:r>
        <w:rPr>
          <w:rFonts w:hint="eastAsia" w:ascii="Times New Roman" w:hAnsi="Times New Roman" w:eastAsia="仿宋_GB2312"/>
          <w:sz w:val="30"/>
          <w:szCs w:val="30"/>
          <w:u w:val="none"/>
        </w:rPr>
        <w:t>六、《一般公共预算财政拨款支出决算表》</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_Toc26379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2</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"_Toc4498" </w:instrText>
      </w:r>
      <w:r>
        <w:rPr>
          <w:rFonts w:ascii="Times New Roman" w:hAnsi="Times New Roman"/>
          <w:u w:val="none"/>
        </w:rPr>
        <w:fldChar w:fldCharType="separate"/>
      </w:r>
      <w:r>
        <w:rPr>
          <w:rFonts w:hint="eastAsia" w:ascii="Times New Roman" w:hAnsi="Times New Roman" w:eastAsia="仿宋_GB2312"/>
          <w:sz w:val="30"/>
          <w:szCs w:val="30"/>
          <w:u w:val="none"/>
        </w:rPr>
        <w:t>七、《一般公共预算财政拨款基本支出决算表》</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_Toc4498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2</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"_Toc18038" </w:instrText>
      </w:r>
      <w:r>
        <w:rPr>
          <w:rFonts w:ascii="Times New Roman" w:hAnsi="Times New Roman"/>
          <w:u w:val="none"/>
        </w:rPr>
        <w:fldChar w:fldCharType="separate"/>
      </w:r>
      <w:r>
        <w:rPr>
          <w:rFonts w:hint="eastAsia" w:ascii="Times New Roman" w:hAnsi="Times New Roman" w:eastAsia="仿宋_GB2312"/>
          <w:sz w:val="30"/>
          <w:szCs w:val="30"/>
          <w:u w:val="none"/>
        </w:rPr>
        <w:t>八、《政府性基金预算财政拨款收入支出决算表》</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_Toc18038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2</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"_Toc13200" </w:instrText>
      </w:r>
      <w:r>
        <w:rPr>
          <w:rFonts w:ascii="Times New Roman" w:hAnsi="Times New Roman"/>
          <w:u w:val="none"/>
        </w:rPr>
        <w:fldChar w:fldCharType="separate"/>
      </w:r>
      <w:r>
        <w:rPr>
          <w:rFonts w:hint="eastAsia" w:ascii="Times New Roman" w:hAnsi="Times New Roman" w:eastAsia="仿宋_GB2312"/>
          <w:sz w:val="30"/>
          <w:szCs w:val="30"/>
          <w:u w:val="none"/>
        </w:rPr>
        <w:t>九、《国有资本经营预算财政拨款收入支出决算表》</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_Toc13200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2</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"_Toc3423" </w:instrText>
      </w:r>
      <w:r>
        <w:rPr>
          <w:rFonts w:ascii="Times New Roman" w:hAnsi="Times New Roman"/>
          <w:u w:val="none"/>
        </w:rPr>
        <w:fldChar w:fldCharType="separate"/>
      </w:r>
      <w:r>
        <w:rPr>
          <w:rFonts w:hint="eastAsia" w:ascii="Times New Roman" w:hAnsi="Times New Roman" w:eastAsia="仿宋_GB2312"/>
          <w:sz w:val="30"/>
          <w:szCs w:val="30"/>
          <w:u w:val="none"/>
        </w:rPr>
        <w:t>十、《一般公共预算财政拨款“三公”经费支出决算表》</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_Toc3423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2</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"_Toc3915" </w:instrText>
      </w:r>
      <w:r>
        <w:rPr>
          <w:rFonts w:ascii="Times New Roman" w:hAnsi="Times New Roman"/>
          <w:u w:val="none"/>
        </w:rPr>
        <w:fldChar w:fldCharType="separate"/>
      </w:r>
      <w:r>
        <w:rPr>
          <w:rFonts w:hint="eastAsia" w:ascii="Times New Roman" w:hAnsi="Times New Roman" w:eastAsia="仿宋_GB2312"/>
          <w:sz w:val="30"/>
          <w:szCs w:val="30"/>
          <w:u w:val="none"/>
        </w:rPr>
        <w:t>十一、《项目支出决算表》</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_Toc3915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2</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"_Toc17260" </w:instrText>
      </w:r>
      <w:r>
        <w:rPr>
          <w:rFonts w:ascii="Times New Roman" w:hAnsi="Times New Roman"/>
          <w:u w:val="none"/>
        </w:rPr>
        <w:fldChar w:fldCharType="separate"/>
      </w:r>
      <w:r>
        <w:rPr>
          <w:rFonts w:hint="eastAsia" w:ascii="Times New Roman" w:hAnsi="Times New Roman" w:eastAsia="仿宋_GB2312"/>
          <w:sz w:val="30"/>
          <w:szCs w:val="30"/>
          <w:u w:val="none"/>
        </w:rPr>
        <w:t>十二、关于空表的说明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_Toc17260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2</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9"/>
        <w:tabs>
          <w:tab w:val="right" w:leader="dot" w:pos="8306"/>
          <w:tab w:val="clear" w:pos="8296"/>
        </w:tabs>
        <w:rPr>
          <w:rFonts w:ascii="Times New Roman" w:hAnsi="Times New Roman" w:eastAsia="仿宋_GB2312" w:cs="Times New Roman"/>
          <w:sz w:val="30"/>
          <w:szCs w:val="30"/>
          <w:u w:val="none"/>
        </w:rPr>
      </w:pPr>
      <w:r>
        <w:rPr>
          <w:rFonts w:ascii="Times New Roman" w:hAnsi="Times New Roman"/>
          <w:u w:val="none"/>
        </w:rPr>
        <w:fldChar w:fldCharType="begin"/>
      </w:r>
      <w:r>
        <w:rPr>
          <w:rFonts w:ascii="Times New Roman" w:hAnsi="Times New Roman"/>
          <w:u w:val="none"/>
        </w:rPr>
        <w:instrText xml:space="preserve"> HYPERLINK \l "_Toc396" </w:instrText>
      </w:r>
      <w:r>
        <w:rPr>
          <w:rFonts w:ascii="Times New Roman" w:hAnsi="Times New Roman"/>
          <w:u w:val="none"/>
        </w:rPr>
        <w:fldChar w:fldCharType="separate"/>
      </w:r>
      <w:r>
        <w:rPr>
          <w:rFonts w:hint="eastAsia" w:ascii="Times New Roman" w:hAnsi="Times New Roman" w:eastAsia="仿宋_GB2312" w:cs="Times New Roman"/>
          <w:sz w:val="30"/>
          <w:szCs w:val="30"/>
          <w:u w:val="none"/>
        </w:rPr>
        <w:t>第三部分  2022年度部门决算情况说明</w:t>
      </w:r>
      <w:r>
        <w:rPr>
          <w:rFonts w:hint="eastAsia" w:ascii="Times New Roman" w:hAnsi="Times New Roman" w:eastAsia="仿宋_GB2312" w:cs="Times New Roman"/>
          <w:sz w:val="30"/>
          <w:szCs w:val="30"/>
          <w:u w:val="none"/>
        </w:rPr>
        <w:tab/>
      </w:r>
      <w:r>
        <w:rPr>
          <w:rFonts w:hint="eastAsia" w:ascii="Times New Roman" w:hAnsi="Times New Roman" w:eastAsia="仿宋_GB2312" w:cs="Times New Roman"/>
          <w:sz w:val="30"/>
          <w:szCs w:val="30"/>
          <w:u w:val="none"/>
        </w:rPr>
        <w:fldChar w:fldCharType="begin"/>
      </w:r>
      <w:r>
        <w:rPr>
          <w:rFonts w:hint="eastAsia" w:ascii="Times New Roman" w:hAnsi="Times New Roman" w:eastAsia="仿宋_GB2312" w:cs="Times New Roman"/>
          <w:sz w:val="30"/>
          <w:szCs w:val="30"/>
          <w:u w:val="none"/>
        </w:rPr>
        <w:instrText xml:space="preserve"> PAGEREF _Toc396 \h </w:instrText>
      </w:r>
      <w:r>
        <w:rPr>
          <w:rFonts w:hint="eastAsia" w:ascii="Times New Roman" w:hAnsi="Times New Roman" w:eastAsia="仿宋_GB2312" w:cs="Times New Roman"/>
          <w:sz w:val="30"/>
          <w:szCs w:val="30"/>
          <w:u w:val="none"/>
        </w:rPr>
        <w:fldChar w:fldCharType="separate"/>
      </w:r>
      <w:r>
        <w:rPr>
          <w:rFonts w:hint="eastAsia" w:ascii="Times New Roman" w:hAnsi="Times New Roman" w:eastAsia="仿宋_GB2312" w:cs="Times New Roman"/>
          <w:sz w:val="30"/>
          <w:szCs w:val="30"/>
          <w:u w:val="none"/>
        </w:rPr>
        <w:t>3</w:t>
      </w:r>
      <w:r>
        <w:rPr>
          <w:rFonts w:hint="eastAsia" w:ascii="Times New Roman" w:hAnsi="Times New Roman" w:eastAsia="仿宋_GB2312" w:cs="Times New Roman"/>
          <w:sz w:val="30"/>
          <w:szCs w:val="30"/>
          <w:u w:val="none"/>
        </w:rPr>
        <w:fldChar w:fldCharType="end"/>
      </w:r>
      <w:r>
        <w:rPr>
          <w:rFonts w:hint="eastAsia" w:ascii="Times New Roman" w:hAnsi="Times New Roman" w:eastAsia="仿宋_GB2312" w:cs="Times New Roman"/>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"_Toc24340" </w:instrText>
      </w:r>
      <w:r>
        <w:rPr>
          <w:rFonts w:ascii="Times New Roman" w:hAnsi="Times New Roman"/>
          <w:u w:val="none"/>
        </w:rPr>
        <w:fldChar w:fldCharType="separate"/>
      </w:r>
      <w:r>
        <w:rPr>
          <w:rFonts w:hint="eastAsia" w:ascii="Times New Roman" w:hAnsi="Times New Roman" w:eastAsia="仿宋_GB2312"/>
          <w:sz w:val="30"/>
          <w:szCs w:val="30"/>
          <w:u w:val="none"/>
        </w:rPr>
        <w:t>一、收入支出决算总体情况说明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_Toc24340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3</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"_Toc18552" </w:instrText>
      </w:r>
      <w:r>
        <w:rPr>
          <w:rFonts w:ascii="Times New Roman" w:hAnsi="Times New Roman"/>
          <w:u w:val="none"/>
        </w:rPr>
        <w:fldChar w:fldCharType="separate"/>
      </w:r>
      <w:r>
        <w:rPr>
          <w:rFonts w:hint="eastAsia" w:ascii="Times New Roman" w:hAnsi="Times New Roman" w:eastAsia="仿宋_GB2312"/>
          <w:sz w:val="30"/>
          <w:szCs w:val="30"/>
          <w:u w:val="none"/>
        </w:rPr>
        <w:t>二、收入决算情况说明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_Toc18552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3</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"_Toc26952" </w:instrText>
      </w:r>
      <w:r>
        <w:rPr>
          <w:rFonts w:ascii="Times New Roman" w:hAnsi="Times New Roman"/>
          <w:u w:val="none"/>
        </w:rPr>
        <w:fldChar w:fldCharType="separate"/>
      </w:r>
      <w:r>
        <w:rPr>
          <w:rFonts w:hint="eastAsia" w:ascii="Times New Roman" w:hAnsi="Times New Roman" w:eastAsia="仿宋_GB2312"/>
          <w:sz w:val="30"/>
          <w:szCs w:val="30"/>
          <w:u w:val="none"/>
        </w:rPr>
        <w:t>三、支出决算情况说明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_Toc26952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3</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"_Toc1812" </w:instrText>
      </w:r>
      <w:r>
        <w:rPr>
          <w:rFonts w:ascii="Times New Roman" w:hAnsi="Times New Roman"/>
          <w:u w:val="none"/>
        </w:rPr>
        <w:fldChar w:fldCharType="separate"/>
      </w:r>
      <w:r>
        <w:rPr>
          <w:rFonts w:hint="eastAsia" w:ascii="Times New Roman" w:hAnsi="Times New Roman" w:eastAsia="仿宋_GB2312"/>
          <w:sz w:val="30"/>
          <w:szCs w:val="30"/>
          <w:u w:val="none"/>
        </w:rPr>
        <w:t>四、财政拨款收支决算总体情况说明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_Toc1812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4</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"_Toc10091" </w:instrText>
      </w:r>
      <w:r>
        <w:rPr>
          <w:rFonts w:ascii="Times New Roman" w:hAnsi="Times New Roman"/>
          <w:u w:val="none"/>
        </w:rPr>
        <w:fldChar w:fldCharType="separate"/>
      </w:r>
      <w:r>
        <w:rPr>
          <w:rFonts w:hint="eastAsia" w:ascii="Times New Roman" w:hAnsi="Times New Roman" w:eastAsia="仿宋_GB2312"/>
          <w:sz w:val="30"/>
          <w:szCs w:val="30"/>
          <w:u w:val="none"/>
        </w:rPr>
        <w:t>五、一般公共预算财政拨款支出决算情况说明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_Toc10091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4</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"_Toc10721" </w:instrText>
      </w:r>
      <w:r>
        <w:rPr>
          <w:rFonts w:ascii="Times New Roman" w:hAnsi="Times New Roman"/>
          <w:u w:val="none"/>
        </w:rPr>
        <w:fldChar w:fldCharType="separate"/>
      </w:r>
      <w:r>
        <w:rPr>
          <w:rFonts w:hint="eastAsia" w:ascii="Times New Roman" w:hAnsi="Times New Roman" w:eastAsia="仿宋_GB2312"/>
          <w:sz w:val="30"/>
          <w:szCs w:val="30"/>
          <w:u w:val="none"/>
        </w:rPr>
        <w:t>六、一般公共预算财政拨款基本支出决算情况说明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_Toc10721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6</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"_Toc17918" </w:instrText>
      </w:r>
      <w:r>
        <w:rPr>
          <w:rFonts w:ascii="Times New Roman" w:hAnsi="Times New Roman"/>
          <w:u w:val="none"/>
        </w:rPr>
        <w:fldChar w:fldCharType="separate"/>
      </w:r>
      <w:r>
        <w:rPr>
          <w:rFonts w:hint="eastAsia" w:ascii="Times New Roman" w:hAnsi="Times New Roman" w:eastAsia="仿宋_GB2312"/>
          <w:sz w:val="30"/>
          <w:szCs w:val="30"/>
          <w:u w:val="none"/>
        </w:rPr>
        <w:t>七、政府性基金预算财政拨款收支决算情况说明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_Toc17918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6</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"_Toc23897" </w:instrText>
      </w:r>
      <w:r>
        <w:rPr>
          <w:rFonts w:ascii="Times New Roman" w:hAnsi="Times New Roman"/>
          <w:u w:val="none"/>
        </w:rPr>
        <w:fldChar w:fldCharType="separate"/>
      </w:r>
      <w:r>
        <w:rPr>
          <w:rFonts w:hint="eastAsia" w:ascii="Times New Roman" w:hAnsi="Times New Roman" w:eastAsia="仿宋_GB2312"/>
          <w:sz w:val="30"/>
          <w:szCs w:val="30"/>
          <w:u w:val="none"/>
        </w:rPr>
        <w:t>八、国有资本经营预算财政拨款收支决算情况说明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_Toc23897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7</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"_Toc4518" </w:instrText>
      </w:r>
      <w:r>
        <w:rPr>
          <w:rFonts w:ascii="Times New Roman" w:hAnsi="Times New Roman"/>
          <w:u w:val="none"/>
        </w:rPr>
        <w:fldChar w:fldCharType="separate"/>
      </w:r>
      <w:r>
        <w:rPr>
          <w:rFonts w:hint="eastAsia" w:ascii="Times New Roman" w:hAnsi="Times New Roman" w:eastAsia="仿宋_GB2312"/>
          <w:sz w:val="30"/>
          <w:szCs w:val="30"/>
          <w:u w:val="none"/>
        </w:rPr>
        <w:t>九、一般公共预算财政拨款“三公”经费支出决算情况说明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_Toc4518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7</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"_Toc3411" </w:instrText>
      </w:r>
      <w:r>
        <w:rPr>
          <w:rFonts w:ascii="Times New Roman" w:hAnsi="Times New Roman"/>
          <w:u w:val="none"/>
        </w:rPr>
        <w:fldChar w:fldCharType="separate"/>
      </w:r>
      <w:r>
        <w:rPr>
          <w:rFonts w:hint="eastAsia" w:ascii="Times New Roman" w:hAnsi="Times New Roman" w:eastAsia="仿宋_GB2312"/>
          <w:sz w:val="30"/>
          <w:szCs w:val="30"/>
          <w:u w:val="none"/>
        </w:rPr>
        <w:t>十、机关运行经费支出情况说明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_Toc3411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8</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"_Toc31102" </w:instrText>
      </w:r>
      <w:r>
        <w:rPr>
          <w:rFonts w:ascii="Times New Roman" w:hAnsi="Times New Roman"/>
          <w:u w:val="none"/>
        </w:rPr>
        <w:fldChar w:fldCharType="separate"/>
      </w:r>
      <w:r>
        <w:rPr>
          <w:rFonts w:hint="eastAsia" w:ascii="Times New Roman" w:hAnsi="Times New Roman" w:eastAsia="仿宋_GB2312"/>
          <w:sz w:val="30"/>
          <w:szCs w:val="30"/>
          <w:u w:val="none"/>
        </w:rPr>
        <w:t>十一、政府采购支出情况说明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_Toc31102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9</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"_Toc23709" </w:instrText>
      </w:r>
      <w:r>
        <w:rPr>
          <w:rFonts w:ascii="Times New Roman" w:hAnsi="Times New Roman"/>
          <w:u w:val="none"/>
        </w:rPr>
        <w:fldChar w:fldCharType="separate"/>
      </w:r>
      <w:r>
        <w:rPr>
          <w:rFonts w:hint="eastAsia" w:ascii="Times New Roman" w:hAnsi="Times New Roman" w:eastAsia="仿宋_GB2312"/>
          <w:sz w:val="30"/>
          <w:szCs w:val="30"/>
          <w:u w:val="none"/>
        </w:rPr>
        <w:t>十二、国有资产占有使用情况说明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_Toc23709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9</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"_Toc11467" </w:instrText>
      </w:r>
      <w:r>
        <w:rPr>
          <w:rFonts w:ascii="Times New Roman" w:hAnsi="Times New Roman"/>
          <w:u w:val="none"/>
        </w:rPr>
        <w:fldChar w:fldCharType="separate"/>
      </w:r>
      <w:r>
        <w:rPr>
          <w:rFonts w:hint="eastAsia" w:ascii="Times New Roman" w:hAnsi="Times New Roman" w:eastAsia="仿宋_GB2312"/>
          <w:sz w:val="30"/>
          <w:szCs w:val="30"/>
          <w:u w:val="none"/>
        </w:rPr>
        <w:t>十三、预算绩效情况说明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_Toc11467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9</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10"/>
        <w:tabs>
          <w:tab w:val="right" w:leader="dot" w:pos="8306"/>
        </w:tabs>
        <w:rPr>
          <w:rFonts w:ascii="Times New Roman" w:hAnsi="Times New Roman" w:eastAsia="仿宋_GB2312"/>
          <w:sz w:val="30"/>
          <w:szCs w:val="30"/>
          <w:u w:val="none"/>
        </w:rPr>
      </w:pPr>
      <w:r>
        <w:rPr>
          <w:rFonts w:ascii="Times New Roman" w:hAnsi="Times New Roman"/>
          <w:u w:val="none"/>
        </w:rPr>
        <w:fldChar w:fldCharType="begin"/>
      </w:r>
      <w:r>
        <w:rPr>
          <w:rFonts w:ascii="Times New Roman" w:hAnsi="Times New Roman"/>
          <w:u w:val="none"/>
        </w:rPr>
        <w:instrText xml:space="preserve"> HYPERLINK \l "_Toc15949" </w:instrText>
      </w:r>
      <w:r>
        <w:rPr>
          <w:rFonts w:ascii="Times New Roman" w:hAnsi="Times New Roman"/>
          <w:u w:val="none"/>
        </w:rPr>
        <w:fldChar w:fldCharType="separate"/>
      </w:r>
      <w:r>
        <w:rPr>
          <w:rFonts w:hint="eastAsia" w:ascii="Times New Roman" w:hAnsi="Times New Roman" w:eastAsia="仿宋_GB2312"/>
          <w:sz w:val="30"/>
          <w:szCs w:val="30"/>
          <w:u w:val="none"/>
        </w:rPr>
        <w:t>十四、教育、医疗卫生、社会保障和就业、住房保障、涉农补贴等民生支出情况说明</w:t>
      </w:r>
      <w:r>
        <w:rPr>
          <w:rFonts w:hint="eastAsia" w:ascii="Times New Roman" w:hAnsi="Times New Roman" w:eastAsia="仿宋_GB2312"/>
          <w:sz w:val="30"/>
          <w:szCs w:val="30"/>
          <w:u w:val="none"/>
        </w:rPr>
        <w:tab/>
      </w:r>
      <w:r>
        <w:rPr>
          <w:rFonts w:hint="eastAsia" w:ascii="Times New Roman" w:hAnsi="Times New Roman" w:eastAsia="仿宋_GB2312"/>
          <w:sz w:val="30"/>
          <w:szCs w:val="30"/>
          <w:u w:val="none"/>
        </w:rPr>
        <w:fldChar w:fldCharType="begin"/>
      </w:r>
      <w:r>
        <w:rPr>
          <w:rFonts w:hint="eastAsia" w:ascii="Times New Roman" w:hAnsi="Times New Roman" w:eastAsia="仿宋_GB2312"/>
          <w:sz w:val="30"/>
          <w:szCs w:val="30"/>
          <w:u w:val="none"/>
        </w:rPr>
        <w:instrText xml:space="preserve"> PAGEREF _Toc15949 \h </w:instrText>
      </w:r>
      <w:r>
        <w:rPr>
          <w:rFonts w:hint="eastAsia" w:ascii="Times New Roman" w:hAnsi="Times New Roman" w:eastAsia="仿宋_GB2312"/>
          <w:sz w:val="30"/>
          <w:szCs w:val="30"/>
          <w:u w:val="none"/>
        </w:rPr>
        <w:fldChar w:fldCharType="separate"/>
      </w:r>
      <w:r>
        <w:rPr>
          <w:rFonts w:hint="eastAsia" w:ascii="Times New Roman" w:hAnsi="Times New Roman" w:eastAsia="仿宋_GB2312"/>
          <w:sz w:val="30"/>
          <w:szCs w:val="30"/>
          <w:u w:val="none"/>
        </w:rPr>
        <w:t>10</w:t>
      </w:r>
      <w:r>
        <w:rPr>
          <w:rFonts w:hint="eastAsia" w:ascii="Times New Roman" w:hAnsi="Times New Roman" w:eastAsia="仿宋_GB2312"/>
          <w:sz w:val="30"/>
          <w:szCs w:val="30"/>
          <w:u w:val="none"/>
        </w:rPr>
        <w:fldChar w:fldCharType="end"/>
      </w:r>
      <w:r>
        <w:rPr>
          <w:rFonts w:hint="eastAsia" w:ascii="Times New Roman" w:hAnsi="Times New Roman" w:eastAsia="仿宋_GB2312"/>
          <w:sz w:val="30"/>
          <w:szCs w:val="30"/>
          <w:u w:val="none"/>
        </w:rPr>
        <w:fldChar w:fldCharType="end"/>
      </w:r>
    </w:p>
    <w:p>
      <w:pPr>
        <w:pStyle w:val="9"/>
        <w:tabs>
          <w:tab w:val="right" w:leader="dot" w:pos="8306"/>
          <w:tab w:val="clear" w:pos="8296"/>
        </w:tabs>
        <w:rPr>
          <w:rFonts w:ascii="Times New Roman" w:hAnsi="Times New Roman" w:eastAsia="仿宋_GB2312" w:cs="Times New Roman"/>
          <w:sz w:val="30"/>
          <w:szCs w:val="30"/>
          <w:u w:val="none"/>
        </w:rPr>
      </w:pPr>
      <w:r>
        <w:rPr>
          <w:rFonts w:ascii="Times New Roman" w:hAnsi="Times New Roman"/>
          <w:u w:val="none"/>
        </w:rPr>
        <w:fldChar w:fldCharType="begin"/>
      </w:r>
      <w:r>
        <w:rPr>
          <w:rFonts w:ascii="Times New Roman" w:hAnsi="Times New Roman"/>
          <w:u w:val="none"/>
        </w:rPr>
        <w:instrText xml:space="preserve"> HYPERLINK \l "_Toc30612" </w:instrText>
      </w:r>
      <w:r>
        <w:rPr>
          <w:rFonts w:ascii="Times New Roman" w:hAnsi="Times New Roman"/>
          <w:u w:val="none"/>
        </w:rPr>
        <w:fldChar w:fldCharType="separate"/>
      </w:r>
      <w:r>
        <w:rPr>
          <w:rFonts w:hint="eastAsia" w:ascii="Times New Roman" w:hAnsi="Times New Roman" w:eastAsia="仿宋_GB2312" w:cs="Times New Roman"/>
          <w:sz w:val="30"/>
          <w:szCs w:val="30"/>
          <w:u w:val="none"/>
        </w:rPr>
        <w:t>第四部分  名词解释</w:t>
      </w:r>
      <w:r>
        <w:rPr>
          <w:rFonts w:hint="eastAsia" w:ascii="Times New Roman" w:hAnsi="Times New Roman" w:eastAsia="仿宋_GB2312" w:cs="Times New Roman"/>
          <w:sz w:val="30"/>
          <w:szCs w:val="30"/>
          <w:u w:val="none"/>
        </w:rPr>
        <w:tab/>
      </w:r>
      <w:r>
        <w:rPr>
          <w:rFonts w:hint="eastAsia" w:ascii="Times New Roman" w:hAnsi="Times New Roman" w:eastAsia="仿宋_GB2312" w:cs="Times New Roman"/>
          <w:sz w:val="30"/>
          <w:szCs w:val="30"/>
          <w:u w:val="none"/>
        </w:rPr>
        <w:fldChar w:fldCharType="begin"/>
      </w:r>
      <w:r>
        <w:rPr>
          <w:rFonts w:hint="eastAsia" w:ascii="Times New Roman" w:hAnsi="Times New Roman" w:eastAsia="仿宋_GB2312" w:cs="Times New Roman"/>
          <w:sz w:val="30"/>
          <w:szCs w:val="30"/>
          <w:u w:val="none"/>
        </w:rPr>
        <w:instrText xml:space="preserve"> PAGEREF _Toc30612 \h </w:instrText>
      </w:r>
      <w:r>
        <w:rPr>
          <w:rFonts w:hint="eastAsia" w:ascii="Times New Roman" w:hAnsi="Times New Roman" w:eastAsia="仿宋_GB2312" w:cs="Times New Roman"/>
          <w:sz w:val="30"/>
          <w:szCs w:val="30"/>
          <w:u w:val="none"/>
        </w:rPr>
        <w:fldChar w:fldCharType="separate"/>
      </w:r>
      <w:r>
        <w:rPr>
          <w:rFonts w:hint="eastAsia" w:ascii="Times New Roman" w:hAnsi="Times New Roman" w:eastAsia="仿宋_GB2312" w:cs="Times New Roman"/>
          <w:sz w:val="30"/>
          <w:szCs w:val="30"/>
          <w:u w:val="none"/>
        </w:rPr>
        <w:t>11</w:t>
      </w:r>
      <w:r>
        <w:rPr>
          <w:rFonts w:hint="eastAsia" w:ascii="Times New Roman" w:hAnsi="Times New Roman" w:eastAsia="仿宋_GB2312" w:cs="Times New Roman"/>
          <w:sz w:val="30"/>
          <w:szCs w:val="30"/>
          <w:u w:val="none"/>
        </w:rPr>
        <w:fldChar w:fldCharType="end"/>
      </w:r>
      <w:r>
        <w:rPr>
          <w:rFonts w:hint="eastAsia" w:ascii="Times New Roman" w:hAnsi="Times New Roman" w:eastAsia="仿宋_GB2312" w:cs="Times New Roman"/>
          <w:sz w:val="30"/>
          <w:szCs w:val="30"/>
          <w:u w:val="none"/>
        </w:rPr>
        <w:fldChar w:fldCharType="end"/>
      </w:r>
    </w:p>
    <w:p>
      <w:pPr>
        <w:pStyle w:val="10"/>
        <w:tabs>
          <w:tab w:val="right" w:leader="dot" w:pos="8296"/>
        </w:tabs>
        <w:spacing w:after="0" w:line="600" w:lineRule="exact"/>
        <w:rPr>
          <w:rFonts w:ascii="Times New Roman" w:hAnsi="Times New Roman" w:eastAsia="仿宋_GB2312"/>
          <w:sz w:val="32"/>
          <w:szCs w:val="32"/>
          <w:u w:val="none"/>
        </w:rPr>
        <w:sectPr>
          <w:footerReference r:id="rId5" w:type="default"/>
          <w:pgSz w:w="11906" w:h="16838"/>
          <w:pgMar w:top="1440" w:right="1800" w:bottom="1440" w:left="1800" w:header="851" w:footer="992" w:gutter="0"/>
          <w:pgNumType w:start="1"/>
          <w:cols w:space="720" w:num="1"/>
          <w:docGrid w:type="lines" w:linePitch="312" w:charSpace="0"/>
        </w:sectPr>
      </w:pPr>
      <w:r>
        <w:rPr>
          <w:rFonts w:hint="eastAsia" w:ascii="Times New Roman" w:hAnsi="Times New Roman" w:eastAsia="仿宋_GB2312"/>
          <w:sz w:val="30"/>
          <w:szCs w:val="30"/>
          <w:u w:val="none"/>
        </w:rPr>
        <w:fldChar w:fldCharType="end"/>
      </w:r>
    </w:p>
    <w:p>
      <w:pPr>
        <w:rPr>
          <w:rFonts w:ascii="Times New Roman" w:hAnsi="Times New Roman"/>
          <w:u w:val="none"/>
        </w:rPr>
      </w:pPr>
    </w:p>
    <w:p>
      <w:pPr>
        <w:pStyle w:val="2"/>
        <w:spacing w:before="0" w:after="0" w:line="600" w:lineRule="exact"/>
        <w:jc w:val="center"/>
        <w:rPr>
          <w:rFonts w:ascii="Times New Roman" w:hAnsi="Times New Roman" w:eastAsia="方正小标宋简体" w:cs="方正小标宋简体"/>
          <w:b w:val="0"/>
          <w:sz w:val="48"/>
          <w:szCs w:val="48"/>
          <w:u w:val="none"/>
        </w:rPr>
      </w:pPr>
    </w:p>
    <w:p>
      <w:pPr>
        <w:pStyle w:val="2"/>
        <w:spacing w:before="0" w:after="0" w:line="600" w:lineRule="exact"/>
        <w:jc w:val="center"/>
        <w:rPr>
          <w:rFonts w:ascii="Times New Roman" w:hAnsi="Times New Roman" w:eastAsia="方正小标宋简体" w:cs="方正小标宋简体"/>
          <w:b w:val="0"/>
          <w:u w:val="none"/>
        </w:rPr>
      </w:pPr>
      <w:bookmarkStart w:id="0" w:name="_Toc859"/>
      <w:r>
        <w:rPr>
          <w:rFonts w:hint="eastAsia" w:ascii="Times New Roman" w:hAnsi="Times New Roman" w:eastAsia="方正小标宋简体" w:cs="方正小标宋简体"/>
          <w:b w:val="0"/>
          <w:u w:val="none"/>
        </w:rPr>
        <w:t>第一部分  概 况</w:t>
      </w:r>
      <w:bookmarkEnd w:id="0"/>
    </w:p>
    <w:p>
      <w:pPr>
        <w:spacing w:line="600" w:lineRule="exact"/>
        <w:rPr>
          <w:rFonts w:ascii="Times New Roman" w:hAnsi="Times New Roman"/>
          <w:u w:val="none"/>
        </w:rPr>
      </w:pPr>
    </w:p>
    <w:p>
      <w:pPr>
        <w:pStyle w:val="3"/>
        <w:spacing w:before="0" w:after="0" w:line="600" w:lineRule="exact"/>
        <w:ind w:firstLine="600" w:firstLineChars="200"/>
        <w:rPr>
          <w:rFonts w:ascii="Times New Roman" w:hAnsi="Times New Roman" w:eastAsia="黑体"/>
          <w:b w:val="0"/>
          <w:bCs w:val="0"/>
          <w:sz w:val="30"/>
          <w:szCs w:val="30"/>
          <w:u w:val="none"/>
        </w:rPr>
      </w:pPr>
      <w:bookmarkStart w:id="1" w:name="_Toc21919"/>
      <w:r>
        <w:rPr>
          <w:rFonts w:hint="eastAsia" w:ascii="Times New Roman" w:hAnsi="Times New Roman" w:eastAsia="黑体"/>
          <w:b w:val="0"/>
          <w:bCs w:val="0"/>
          <w:sz w:val="30"/>
          <w:szCs w:val="30"/>
          <w:u w:val="none"/>
        </w:rPr>
        <w:t>一、主要职责</w:t>
      </w:r>
      <w:bookmarkEnd w:id="1"/>
    </w:p>
    <w:p>
      <w:pPr>
        <w:spacing w:line="600" w:lineRule="exact"/>
        <w:ind w:firstLine="600" w:firstLineChars="200"/>
        <w:rPr>
          <w:rFonts w:hint="eastAsia" w:ascii="Times New Roman" w:hAnsi="Times New Roman" w:eastAsia="仿宋_GB2312" w:cs="仿宋_GB2312"/>
          <w:sz w:val="30"/>
          <w:szCs w:val="30"/>
          <w:u w:val="none"/>
        </w:rPr>
      </w:pPr>
      <w:bookmarkStart w:id="2" w:name="_Toc17388"/>
      <w:r>
        <w:rPr>
          <w:rFonts w:hint="eastAsia" w:ascii="Times New Roman" w:hAnsi="Times New Roman" w:eastAsia="仿宋_GB2312" w:cs="仿宋_GB2312"/>
          <w:sz w:val="30"/>
          <w:szCs w:val="30"/>
          <w:u w:val="none"/>
        </w:rPr>
        <w:t>（一）负责相关涉农事务的服务保障工作。</w:t>
      </w:r>
    </w:p>
    <w:p>
      <w:pPr>
        <w:spacing w:line="600" w:lineRule="exact"/>
        <w:ind w:firstLine="600" w:firstLineChars="200"/>
        <w:rPr>
          <w:rFonts w:hint="eastAsia" w:ascii="Times New Roman" w:hAnsi="Times New Roman" w:eastAsia="仿宋_GB2312" w:cs="仿宋_GB2312"/>
          <w:sz w:val="30"/>
          <w:szCs w:val="30"/>
          <w:u w:val="none"/>
          <w:lang w:eastAsia="zh-CN"/>
        </w:rPr>
      </w:pPr>
      <w:r>
        <w:rPr>
          <w:rFonts w:hint="eastAsia" w:ascii="Times New Roman" w:hAnsi="Times New Roman" w:eastAsia="仿宋_GB2312" w:cs="仿宋_GB2312"/>
          <w:sz w:val="30"/>
          <w:szCs w:val="30"/>
          <w:u w:val="none"/>
        </w:rPr>
        <w:t>（</w:t>
      </w:r>
      <w:r>
        <w:rPr>
          <w:rFonts w:hint="eastAsia" w:ascii="Times New Roman" w:hAnsi="Times New Roman" w:eastAsia="仿宋_GB2312" w:cs="仿宋_GB2312"/>
          <w:sz w:val="30"/>
          <w:szCs w:val="30"/>
          <w:u w:val="none"/>
          <w:lang w:eastAsia="zh-CN"/>
        </w:rPr>
        <w:t>二</w:t>
      </w:r>
      <w:r>
        <w:rPr>
          <w:rFonts w:hint="eastAsia" w:ascii="Times New Roman" w:hAnsi="Times New Roman" w:eastAsia="仿宋_GB2312" w:cs="仿宋_GB2312"/>
          <w:sz w:val="30"/>
          <w:szCs w:val="30"/>
          <w:u w:val="none"/>
        </w:rPr>
        <w:t>）负责都市型现代农业发展以及种植业、水产业、林业、水务、农机、畜牧产业等农业农村管理</w:t>
      </w:r>
      <w:r>
        <w:rPr>
          <w:rFonts w:hint="eastAsia" w:ascii="Times New Roman" w:hAnsi="Times New Roman" w:eastAsia="仿宋_GB2312" w:cs="仿宋_GB2312"/>
          <w:sz w:val="30"/>
          <w:szCs w:val="30"/>
          <w:u w:val="none"/>
          <w:lang w:eastAsia="zh-CN"/>
        </w:rPr>
        <w:t>。</w:t>
      </w:r>
    </w:p>
    <w:p>
      <w:pPr>
        <w:spacing w:line="600" w:lineRule="exact"/>
        <w:ind w:firstLine="600" w:firstLineChars="200"/>
        <w:rPr>
          <w:rFonts w:hint="eastAsia" w:ascii="Times New Roman" w:hAnsi="Times New Roman" w:eastAsia="仿宋_GB2312" w:cs="仿宋_GB2312"/>
          <w:sz w:val="30"/>
          <w:szCs w:val="30"/>
          <w:u w:val="none"/>
          <w:lang w:eastAsia="zh-CN"/>
        </w:rPr>
      </w:pPr>
      <w:r>
        <w:rPr>
          <w:rFonts w:hint="eastAsia" w:ascii="Times New Roman" w:hAnsi="Times New Roman" w:eastAsia="仿宋_GB2312" w:cs="仿宋_GB2312"/>
          <w:sz w:val="30"/>
          <w:szCs w:val="30"/>
          <w:u w:val="none"/>
        </w:rPr>
        <w:t>（</w:t>
      </w:r>
      <w:r>
        <w:rPr>
          <w:rFonts w:hint="eastAsia" w:ascii="Times New Roman" w:hAnsi="Times New Roman" w:eastAsia="仿宋_GB2312" w:cs="仿宋_GB2312"/>
          <w:sz w:val="30"/>
          <w:szCs w:val="30"/>
          <w:u w:val="none"/>
          <w:lang w:eastAsia="zh-CN"/>
        </w:rPr>
        <w:t>三</w:t>
      </w:r>
      <w:r>
        <w:rPr>
          <w:rFonts w:hint="eastAsia" w:ascii="Times New Roman" w:hAnsi="Times New Roman" w:eastAsia="仿宋_GB2312" w:cs="仿宋_GB2312"/>
          <w:sz w:val="30"/>
          <w:szCs w:val="30"/>
          <w:u w:val="none"/>
        </w:rPr>
        <w:t>）负责做好病虫害和动植物疫情的预测预报和防治工作</w:t>
      </w:r>
      <w:r>
        <w:rPr>
          <w:rFonts w:hint="eastAsia" w:ascii="Times New Roman" w:hAnsi="Times New Roman" w:eastAsia="仿宋_GB2312" w:cs="仿宋_GB2312"/>
          <w:sz w:val="30"/>
          <w:szCs w:val="30"/>
          <w:u w:val="none"/>
          <w:lang w:eastAsia="zh-CN"/>
        </w:rPr>
        <w:t>。</w:t>
      </w:r>
    </w:p>
    <w:p>
      <w:pPr>
        <w:spacing w:line="600" w:lineRule="exact"/>
        <w:ind w:firstLine="600" w:firstLineChars="200"/>
        <w:rPr>
          <w:rFonts w:hint="eastAsia" w:ascii="Times New Roman" w:hAnsi="Times New Roman" w:eastAsia="仿宋_GB2312" w:cs="仿宋_GB2312"/>
          <w:sz w:val="30"/>
          <w:szCs w:val="30"/>
          <w:u w:val="none"/>
          <w:lang w:eastAsia="zh-CN"/>
        </w:rPr>
      </w:pPr>
      <w:r>
        <w:rPr>
          <w:rFonts w:hint="eastAsia" w:ascii="Times New Roman" w:hAnsi="Times New Roman" w:eastAsia="仿宋_GB2312" w:cs="仿宋_GB2312"/>
          <w:sz w:val="30"/>
          <w:szCs w:val="30"/>
          <w:u w:val="none"/>
        </w:rPr>
        <w:t>（</w:t>
      </w:r>
      <w:r>
        <w:rPr>
          <w:rFonts w:hint="eastAsia" w:ascii="Times New Roman" w:hAnsi="Times New Roman" w:eastAsia="仿宋_GB2312" w:cs="仿宋_GB2312"/>
          <w:sz w:val="30"/>
          <w:szCs w:val="30"/>
          <w:u w:val="none"/>
          <w:lang w:eastAsia="zh-CN"/>
        </w:rPr>
        <w:t>四</w:t>
      </w:r>
      <w:r>
        <w:rPr>
          <w:rFonts w:hint="eastAsia" w:ascii="Times New Roman" w:hAnsi="Times New Roman" w:eastAsia="仿宋_GB2312" w:cs="仿宋_GB2312"/>
          <w:sz w:val="30"/>
          <w:szCs w:val="30"/>
          <w:u w:val="none"/>
        </w:rPr>
        <w:t>）负责农村土地承包及合同管理、土地流转管理、土地承包纠纷调解工作</w:t>
      </w:r>
      <w:r>
        <w:rPr>
          <w:rFonts w:hint="eastAsia" w:ascii="Times New Roman" w:hAnsi="Times New Roman" w:eastAsia="仿宋_GB2312" w:cs="仿宋_GB2312"/>
          <w:sz w:val="30"/>
          <w:szCs w:val="30"/>
          <w:u w:val="none"/>
          <w:lang w:eastAsia="zh-CN"/>
        </w:rPr>
        <w:t>。</w:t>
      </w:r>
    </w:p>
    <w:p>
      <w:pPr>
        <w:spacing w:line="600" w:lineRule="exact"/>
        <w:ind w:firstLine="600" w:firstLineChars="200"/>
        <w:rPr>
          <w:rFonts w:hint="eastAsia" w:ascii="Times New Roman" w:hAnsi="Times New Roman" w:eastAsia="仿宋_GB2312" w:cs="仿宋_GB2312"/>
          <w:sz w:val="30"/>
          <w:szCs w:val="30"/>
          <w:u w:val="none"/>
          <w:lang w:val="en-US" w:eastAsia="zh-CN"/>
        </w:rPr>
      </w:pPr>
      <w:r>
        <w:rPr>
          <w:rFonts w:hint="eastAsia" w:ascii="Times New Roman" w:hAnsi="Times New Roman" w:eastAsia="仿宋_GB2312" w:cs="仿宋_GB2312"/>
          <w:sz w:val="30"/>
          <w:szCs w:val="30"/>
          <w:u w:val="none"/>
        </w:rPr>
        <w:t>（</w:t>
      </w:r>
      <w:r>
        <w:rPr>
          <w:rFonts w:hint="eastAsia" w:ascii="Times New Roman" w:hAnsi="Times New Roman" w:eastAsia="仿宋_GB2312" w:cs="仿宋_GB2312"/>
          <w:sz w:val="30"/>
          <w:szCs w:val="30"/>
          <w:u w:val="none"/>
          <w:lang w:eastAsia="zh-CN"/>
        </w:rPr>
        <w:t>五</w:t>
      </w:r>
      <w:r>
        <w:rPr>
          <w:rFonts w:hint="eastAsia" w:ascii="Times New Roman" w:hAnsi="Times New Roman" w:eastAsia="仿宋_GB2312" w:cs="仿宋_GB2312"/>
          <w:sz w:val="30"/>
          <w:szCs w:val="30"/>
          <w:u w:val="none"/>
        </w:rPr>
        <w:t>）负责减轻农民负担监督管理</w:t>
      </w:r>
      <w:r>
        <w:rPr>
          <w:rFonts w:hint="eastAsia" w:ascii="Times New Roman" w:hAnsi="Times New Roman" w:eastAsia="仿宋_GB2312" w:cs="仿宋_GB2312"/>
          <w:sz w:val="30"/>
          <w:szCs w:val="30"/>
          <w:u w:val="none"/>
          <w:lang w:eastAsia="zh-CN"/>
        </w:rPr>
        <w:t>。</w:t>
      </w:r>
    </w:p>
    <w:p>
      <w:pPr>
        <w:spacing w:line="600" w:lineRule="exact"/>
        <w:ind w:firstLine="600" w:firstLineChars="200"/>
        <w:rPr>
          <w:rFonts w:hint="eastAsia" w:ascii="Times New Roman" w:hAnsi="Times New Roman" w:eastAsia="仿宋_GB2312" w:cs="仿宋_GB2312"/>
          <w:sz w:val="30"/>
          <w:szCs w:val="30"/>
          <w:u w:val="none"/>
        </w:rPr>
      </w:pPr>
      <w:r>
        <w:rPr>
          <w:rFonts w:hint="eastAsia" w:ascii="Times New Roman" w:hAnsi="Times New Roman" w:eastAsia="仿宋_GB2312" w:cs="仿宋_GB2312"/>
          <w:sz w:val="30"/>
          <w:szCs w:val="30"/>
          <w:u w:val="none"/>
        </w:rPr>
        <w:t>（</w:t>
      </w:r>
      <w:r>
        <w:rPr>
          <w:rFonts w:hint="eastAsia" w:ascii="Times New Roman" w:hAnsi="Times New Roman" w:eastAsia="仿宋_GB2312" w:cs="仿宋_GB2312"/>
          <w:sz w:val="30"/>
          <w:szCs w:val="30"/>
          <w:u w:val="none"/>
          <w:lang w:eastAsia="zh-CN"/>
        </w:rPr>
        <w:t>六</w:t>
      </w:r>
      <w:r>
        <w:rPr>
          <w:rFonts w:hint="eastAsia" w:ascii="Times New Roman" w:hAnsi="Times New Roman" w:eastAsia="仿宋_GB2312" w:cs="仿宋_GB2312"/>
          <w:sz w:val="30"/>
          <w:szCs w:val="30"/>
          <w:u w:val="none"/>
        </w:rPr>
        <w:t>）负责辖区内防汛抗旱、节水、饮水安全、农村水利建设、调解水事纠纷、水环境维护、农业安全管理、信息服务、普法教育、科技推广培训</w:t>
      </w:r>
      <w:r>
        <w:rPr>
          <w:rFonts w:hint="eastAsia" w:ascii="Times New Roman" w:hAnsi="Times New Roman" w:eastAsia="仿宋_GB2312" w:cs="仿宋_GB2312"/>
          <w:sz w:val="30"/>
          <w:szCs w:val="30"/>
          <w:u w:val="none"/>
          <w:lang w:eastAsia="zh-CN"/>
        </w:rPr>
        <w:t>。</w:t>
      </w:r>
    </w:p>
    <w:p>
      <w:pPr>
        <w:spacing w:line="600" w:lineRule="exact"/>
        <w:ind w:firstLine="600" w:firstLineChars="200"/>
        <w:rPr>
          <w:rFonts w:hint="eastAsia" w:ascii="Times New Roman" w:hAnsi="Times New Roman" w:eastAsia="仿宋_GB2312" w:cs="仿宋_GB2312"/>
          <w:sz w:val="30"/>
          <w:szCs w:val="30"/>
          <w:u w:val="none"/>
          <w:lang w:eastAsia="zh-CN"/>
        </w:rPr>
      </w:pPr>
      <w:r>
        <w:rPr>
          <w:rFonts w:hint="eastAsia" w:ascii="Times New Roman" w:hAnsi="Times New Roman" w:eastAsia="仿宋_GB2312" w:cs="仿宋_GB2312"/>
          <w:sz w:val="30"/>
          <w:szCs w:val="30"/>
          <w:u w:val="none"/>
        </w:rPr>
        <w:t>（</w:t>
      </w:r>
      <w:r>
        <w:rPr>
          <w:rFonts w:hint="eastAsia" w:ascii="Times New Roman" w:hAnsi="Times New Roman" w:eastAsia="仿宋_GB2312" w:cs="仿宋_GB2312"/>
          <w:sz w:val="30"/>
          <w:szCs w:val="30"/>
          <w:u w:val="none"/>
          <w:lang w:eastAsia="zh-CN"/>
        </w:rPr>
        <w:t>七</w:t>
      </w:r>
      <w:r>
        <w:rPr>
          <w:rFonts w:hint="eastAsia" w:ascii="Times New Roman" w:hAnsi="Times New Roman" w:eastAsia="仿宋_GB2312" w:cs="仿宋_GB2312"/>
          <w:sz w:val="30"/>
          <w:szCs w:val="30"/>
          <w:u w:val="none"/>
        </w:rPr>
        <w:t>）负责本镇河（湖）长制、保障绿色生态屏障建设工作等。</w:t>
      </w:r>
    </w:p>
    <w:p>
      <w:pPr>
        <w:pStyle w:val="3"/>
        <w:spacing w:before="0" w:after="0" w:line="600" w:lineRule="exact"/>
        <w:ind w:firstLine="600" w:firstLineChars="200"/>
        <w:rPr>
          <w:rFonts w:ascii="Times New Roman" w:hAnsi="Times New Roman" w:eastAsia="黑体"/>
          <w:b w:val="0"/>
          <w:bCs w:val="0"/>
          <w:sz w:val="30"/>
          <w:szCs w:val="30"/>
          <w:u w:val="none"/>
        </w:rPr>
      </w:pPr>
      <w:r>
        <w:rPr>
          <w:rFonts w:hint="eastAsia" w:ascii="Times New Roman" w:hAnsi="Times New Roman" w:eastAsia="黑体"/>
          <w:b w:val="0"/>
          <w:bCs w:val="0"/>
          <w:sz w:val="30"/>
          <w:szCs w:val="30"/>
          <w:u w:val="none"/>
        </w:rPr>
        <w:t>二、机构设置</w:t>
      </w:r>
      <w:bookmarkEnd w:id="2"/>
    </w:p>
    <w:p>
      <w:pPr>
        <w:spacing w:line="600" w:lineRule="exact"/>
        <w:ind w:firstLine="600" w:firstLineChars="200"/>
        <w:rPr>
          <w:rFonts w:hint="eastAsia" w:ascii="仿宋_GB2312" w:hAnsi="仿宋_GB2312" w:eastAsia="仿宋_GB2312" w:cs="仿宋_GB2312"/>
          <w:sz w:val="30"/>
          <w:szCs w:val="30"/>
          <w:u w:val="none"/>
        </w:rPr>
      </w:pPr>
      <w:r>
        <w:rPr>
          <w:rFonts w:hint="eastAsia" w:ascii="仿宋_GB2312" w:hAnsi="仿宋_GB2312" w:eastAsia="仿宋_GB2312" w:cs="仿宋_GB2312"/>
          <w:sz w:val="30"/>
          <w:szCs w:val="30"/>
          <w:u w:val="none"/>
        </w:rPr>
        <w:t>天津市津南区北闸口镇农业农村事务服务中心部门内设</w:t>
      </w:r>
      <w:r>
        <w:rPr>
          <w:rFonts w:hint="eastAsia" w:ascii="仿宋_GB2312" w:hAnsi="仿宋_GB2312" w:eastAsia="仿宋_GB2312" w:cs="仿宋_GB2312"/>
          <w:sz w:val="30"/>
          <w:szCs w:val="30"/>
          <w:u w:val="none"/>
          <w:lang w:val="en-US" w:eastAsia="zh-CN"/>
        </w:rPr>
        <w:t>1</w:t>
      </w:r>
      <w:r>
        <w:rPr>
          <w:rFonts w:hint="eastAsia" w:ascii="仿宋_GB2312" w:hAnsi="仿宋_GB2312" w:eastAsia="仿宋_GB2312" w:cs="仿宋_GB2312"/>
          <w:sz w:val="30"/>
          <w:szCs w:val="30"/>
          <w:u w:val="none"/>
        </w:rPr>
        <w:t>个职能处室。</w:t>
      </w:r>
    </w:p>
    <w:p>
      <w:pPr>
        <w:spacing w:line="600" w:lineRule="exact"/>
        <w:ind w:firstLine="600" w:firstLineChars="200"/>
        <w:rPr>
          <w:rFonts w:ascii="Times New Roman" w:hAnsi="Times New Roman" w:eastAsia="楷体_GB2312"/>
          <w:b/>
          <w:sz w:val="30"/>
          <w:szCs w:val="30"/>
          <w:u w:val="none"/>
        </w:rPr>
        <w:sectPr>
          <w:footerReference r:id="rId6" w:type="default"/>
          <w:pgSz w:w="11906" w:h="16838"/>
          <w:pgMar w:top="1440" w:right="1800" w:bottom="1440" w:left="1800" w:header="851" w:footer="992" w:gutter="0"/>
          <w:pgNumType w:start="1"/>
          <w:cols w:space="720" w:num="1"/>
          <w:docGrid w:type="lines" w:linePitch="312" w:charSpace="0"/>
        </w:sectPr>
      </w:pPr>
      <w:r>
        <w:rPr>
          <w:rFonts w:hint="eastAsia" w:ascii="Times New Roman" w:hAnsi="Times New Roman" w:eastAsia="仿宋_GB2312" w:cs="仿宋_GB2312"/>
          <w:sz w:val="30"/>
          <w:szCs w:val="30"/>
          <w:u w:val="none"/>
        </w:rPr>
        <w:br w:type="textWrapping"/>
      </w:r>
    </w:p>
    <w:p>
      <w:pPr>
        <w:spacing w:line="600" w:lineRule="exact"/>
        <w:rPr>
          <w:rFonts w:ascii="Times New Roman" w:hAnsi="Times New Roman" w:eastAsia="楷体_GB2312"/>
          <w:b/>
          <w:sz w:val="30"/>
          <w:szCs w:val="30"/>
          <w:u w:val="none"/>
        </w:rPr>
      </w:pPr>
    </w:p>
    <w:p>
      <w:pPr>
        <w:pStyle w:val="2"/>
        <w:spacing w:before="0" w:after="0" w:line="600" w:lineRule="exact"/>
        <w:jc w:val="center"/>
        <w:rPr>
          <w:rFonts w:ascii="Times New Roman" w:hAnsi="Times New Roman" w:eastAsia="方正小标宋简体" w:cs="方正小标宋简体"/>
          <w:b w:val="0"/>
          <w:u w:val="none"/>
        </w:rPr>
      </w:pPr>
      <w:bookmarkStart w:id="3" w:name="_Toc24747"/>
      <w:r>
        <w:rPr>
          <w:rFonts w:ascii="Times New Roman" w:hAnsi="Times New Roman" w:eastAsia="方正小标宋简体" w:cs="方正小标宋简体"/>
          <w:b w:val="0"/>
          <w:u w:val="none"/>
        </w:rPr>
        <w:t>第</w:t>
      </w:r>
      <w:r>
        <w:rPr>
          <w:rFonts w:hint="eastAsia" w:ascii="Times New Roman" w:hAnsi="Times New Roman" w:eastAsia="方正小标宋简体" w:cs="方正小标宋简体"/>
          <w:b w:val="0"/>
          <w:u w:val="none"/>
        </w:rPr>
        <w:t>二</w:t>
      </w:r>
      <w:r>
        <w:rPr>
          <w:rFonts w:ascii="Times New Roman" w:hAnsi="Times New Roman" w:eastAsia="方正小标宋简体" w:cs="方正小标宋简体"/>
          <w:b w:val="0"/>
          <w:u w:val="none"/>
        </w:rPr>
        <w:t xml:space="preserve">部分  </w:t>
      </w:r>
      <w:r>
        <w:rPr>
          <w:rFonts w:hint="eastAsia" w:ascii="Times New Roman" w:hAnsi="Times New Roman" w:eastAsia="方正小标宋简体" w:cs="方正小标宋简体"/>
          <w:b w:val="0"/>
          <w:u w:val="none"/>
        </w:rPr>
        <w:t>2022</w:t>
      </w:r>
      <w:r>
        <w:rPr>
          <w:rFonts w:ascii="Times New Roman" w:hAnsi="Times New Roman" w:eastAsia="方正小标宋简体" w:cs="方正小标宋简体"/>
          <w:b w:val="0"/>
          <w:u w:val="none"/>
        </w:rPr>
        <w:t>年度部门决算</w:t>
      </w:r>
      <w:r>
        <w:rPr>
          <w:rFonts w:hint="eastAsia" w:ascii="Times New Roman" w:hAnsi="Times New Roman" w:eastAsia="方正小标宋简体" w:cs="方正小标宋简体"/>
          <w:b w:val="0"/>
          <w:u w:val="none"/>
        </w:rPr>
        <w:t>表</w:t>
      </w:r>
      <w:bookmarkEnd w:id="3"/>
    </w:p>
    <w:p>
      <w:pPr>
        <w:spacing w:line="600" w:lineRule="exact"/>
        <w:rPr>
          <w:rFonts w:ascii="Times New Roman" w:hAnsi="Times New Roman"/>
          <w:u w:val="none"/>
        </w:rPr>
      </w:pPr>
    </w:p>
    <w:p>
      <w:pPr>
        <w:pStyle w:val="3"/>
        <w:spacing w:before="0" w:after="0" w:line="800" w:lineRule="exact"/>
        <w:ind w:firstLine="600" w:firstLineChars="200"/>
        <w:rPr>
          <w:rFonts w:ascii="Times New Roman" w:hAnsi="Times New Roman" w:eastAsia="黑体"/>
          <w:b w:val="0"/>
          <w:sz w:val="30"/>
          <w:szCs w:val="30"/>
          <w:u w:val="none"/>
        </w:rPr>
      </w:pPr>
      <w:bookmarkStart w:id="4" w:name="_Toc20142"/>
      <w:r>
        <w:rPr>
          <w:rFonts w:ascii="Times New Roman" w:hAnsi="Times New Roman" w:eastAsia="黑体"/>
          <w:b w:val="0"/>
          <w:sz w:val="30"/>
          <w:szCs w:val="30"/>
          <w:u w:val="none"/>
        </w:rPr>
        <w:t>一</w:t>
      </w:r>
      <w:r>
        <w:rPr>
          <w:rFonts w:hint="eastAsia" w:ascii="Times New Roman" w:hAnsi="Times New Roman" w:eastAsia="黑体"/>
          <w:b w:val="0"/>
          <w:sz w:val="30"/>
          <w:szCs w:val="30"/>
          <w:u w:val="none"/>
        </w:rPr>
        <w:t>、</w:t>
      </w:r>
      <w:r>
        <w:rPr>
          <w:rFonts w:ascii="Times New Roman" w:hAnsi="Times New Roman" w:eastAsia="黑体"/>
          <w:b w:val="0"/>
          <w:sz w:val="30"/>
          <w:szCs w:val="30"/>
          <w:u w:val="none"/>
        </w:rPr>
        <w:t>《</w:t>
      </w:r>
      <w:r>
        <w:rPr>
          <w:rFonts w:hint="eastAsia" w:ascii="Times New Roman" w:hAnsi="Times New Roman" w:eastAsia="黑体"/>
          <w:b w:val="0"/>
          <w:sz w:val="30"/>
          <w:szCs w:val="30"/>
          <w:u w:val="none"/>
        </w:rPr>
        <w:t>收入</w:t>
      </w:r>
      <w:r>
        <w:rPr>
          <w:rFonts w:ascii="Times New Roman" w:hAnsi="Times New Roman" w:eastAsia="黑体"/>
          <w:b w:val="0"/>
          <w:sz w:val="30"/>
          <w:szCs w:val="30"/>
          <w:u w:val="none"/>
        </w:rPr>
        <w:t>支出</w:t>
      </w:r>
      <w:r>
        <w:rPr>
          <w:rFonts w:hint="eastAsia" w:ascii="Times New Roman" w:hAnsi="Times New Roman" w:eastAsia="黑体"/>
          <w:b w:val="0"/>
          <w:sz w:val="30"/>
          <w:szCs w:val="30"/>
          <w:u w:val="none"/>
        </w:rPr>
        <w:t>决算总</w:t>
      </w:r>
      <w:r>
        <w:rPr>
          <w:rFonts w:ascii="Times New Roman" w:hAnsi="Times New Roman" w:eastAsia="黑体"/>
          <w:b w:val="0"/>
          <w:sz w:val="30"/>
          <w:szCs w:val="30"/>
          <w:u w:val="none"/>
        </w:rPr>
        <w:t>表》</w:t>
      </w:r>
      <w:bookmarkEnd w:id="4"/>
    </w:p>
    <w:p>
      <w:pPr>
        <w:pStyle w:val="3"/>
        <w:spacing w:before="0" w:after="0" w:line="800" w:lineRule="exact"/>
        <w:ind w:firstLine="600" w:firstLineChars="200"/>
        <w:rPr>
          <w:rFonts w:ascii="Times New Roman" w:hAnsi="Times New Roman" w:eastAsia="黑体"/>
          <w:b w:val="0"/>
          <w:sz w:val="30"/>
          <w:szCs w:val="30"/>
          <w:u w:val="none"/>
        </w:rPr>
      </w:pPr>
      <w:bookmarkStart w:id="5" w:name="_Toc1616"/>
      <w:r>
        <w:rPr>
          <w:rFonts w:ascii="Times New Roman" w:hAnsi="Times New Roman" w:eastAsia="黑体"/>
          <w:b w:val="0"/>
          <w:sz w:val="30"/>
          <w:szCs w:val="30"/>
          <w:u w:val="none"/>
        </w:rPr>
        <w:t>二、《收入</w:t>
      </w:r>
      <w:r>
        <w:rPr>
          <w:rFonts w:hint="eastAsia" w:ascii="Times New Roman" w:hAnsi="Times New Roman" w:eastAsia="黑体"/>
          <w:b w:val="0"/>
          <w:sz w:val="30"/>
          <w:szCs w:val="30"/>
          <w:u w:val="none"/>
        </w:rPr>
        <w:t>决算</w:t>
      </w:r>
      <w:r>
        <w:rPr>
          <w:rFonts w:ascii="Times New Roman" w:hAnsi="Times New Roman" w:eastAsia="黑体"/>
          <w:b w:val="0"/>
          <w:sz w:val="30"/>
          <w:szCs w:val="30"/>
          <w:u w:val="none"/>
        </w:rPr>
        <w:t>表</w:t>
      </w:r>
      <w:r>
        <w:rPr>
          <w:rFonts w:hint="eastAsia" w:ascii="Times New Roman" w:hAnsi="Times New Roman" w:eastAsia="黑体"/>
          <w:b w:val="0"/>
          <w:sz w:val="30"/>
          <w:szCs w:val="30"/>
          <w:u w:val="none"/>
        </w:rPr>
        <w:t>（按功能分类列示）</w:t>
      </w:r>
      <w:r>
        <w:rPr>
          <w:rFonts w:ascii="Times New Roman" w:hAnsi="Times New Roman" w:eastAsia="黑体"/>
          <w:b w:val="0"/>
          <w:sz w:val="30"/>
          <w:szCs w:val="30"/>
          <w:u w:val="none"/>
        </w:rPr>
        <w:t>》</w:t>
      </w:r>
      <w:bookmarkEnd w:id="5"/>
    </w:p>
    <w:p>
      <w:pPr>
        <w:pStyle w:val="3"/>
        <w:spacing w:before="0" w:after="0" w:line="800" w:lineRule="exact"/>
        <w:ind w:firstLine="600" w:firstLineChars="200"/>
        <w:rPr>
          <w:rFonts w:ascii="Times New Roman" w:hAnsi="Times New Roman" w:eastAsia="黑体"/>
          <w:b w:val="0"/>
          <w:sz w:val="30"/>
          <w:szCs w:val="30"/>
          <w:u w:val="none"/>
        </w:rPr>
      </w:pPr>
      <w:bookmarkStart w:id="6" w:name="_Toc12050"/>
      <w:r>
        <w:rPr>
          <w:rFonts w:hint="eastAsia" w:ascii="Times New Roman" w:hAnsi="Times New Roman" w:eastAsia="黑体"/>
          <w:b w:val="0"/>
          <w:sz w:val="30"/>
          <w:szCs w:val="30"/>
          <w:u w:val="none"/>
        </w:rPr>
        <w:t>三</w:t>
      </w:r>
      <w:r>
        <w:rPr>
          <w:rFonts w:ascii="Times New Roman" w:hAnsi="Times New Roman" w:eastAsia="黑体"/>
          <w:b w:val="0"/>
          <w:sz w:val="30"/>
          <w:szCs w:val="30"/>
          <w:u w:val="none"/>
        </w:rPr>
        <w:t>、《收入</w:t>
      </w:r>
      <w:r>
        <w:rPr>
          <w:rFonts w:hint="eastAsia" w:ascii="Times New Roman" w:hAnsi="Times New Roman" w:eastAsia="黑体"/>
          <w:b w:val="0"/>
          <w:sz w:val="30"/>
          <w:szCs w:val="30"/>
          <w:u w:val="none"/>
        </w:rPr>
        <w:t>决算</w:t>
      </w:r>
      <w:r>
        <w:rPr>
          <w:rFonts w:ascii="Times New Roman" w:hAnsi="Times New Roman" w:eastAsia="黑体"/>
          <w:b w:val="0"/>
          <w:sz w:val="30"/>
          <w:szCs w:val="30"/>
          <w:u w:val="none"/>
        </w:rPr>
        <w:t>表</w:t>
      </w:r>
      <w:r>
        <w:rPr>
          <w:rFonts w:hint="eastAsia" w:ascii="Times New Roman" w:hAnsi="Times New Roman" w:eastAsia="黑体"/>
          <w:b w:val="0"/>
          <w:sz w:val="30"/>
          <w:szCs w:val="30"/>
          <w:u w:val="none"/>
        </w:rPr>
        <w:t>（按单位列示）</w:t>
      </w:r>
      <w:r>
        <w:rPr>
          <w:rFonts w:ascii="Times New Roman" w:hAnsi="Times New Roman" w:eastAsia="黑体"/>
          <w:b w:val="0"/>
          <w:sz w:val="30"/>
          <w:szCs w:val="30"/>
          <w:u w:val="none"/>
        </w:rPr>
        <w:t>》</w:t>
      </w:r>
      <w:bookmarkEnd w:id="6"/>
    </w:p>
    <w:p>
      <w:pPr>
        <w:pStyle w:val="3"/>
        <w:spacing w:before="0" w:after="0" w:line="800" w:lineRule="exact"/>
        <w:ind w:firstLine="600" w:firstLineChars="200"/>
        <w:rPr>
          <w:rFonts w:ascii="Times New Roman" w:hAnsi="Times New Roman" w:eastAsia="黑体"/>
          <w:b w:val="0"/>
          <w:sz w:val="30"/>
          <w:szCs w:val="30"/>
          <w:u w:val="none"/>
        </w:rPr>
      </w:pPr>
      <w:bookmarkStart w:id="7" w:name="_Toc1989"/>
      <w:r>
        <w:rPr>
          <w:rFonts w:hint="eastAsia" w:ascii="Times New Roman" w:hAnsi="Times New Roman" w:eastAsia="黑体"/>
          <w:b w:val="0"/>
          <w:sz w:val="30"/>
          <w:szCs w:val="30"/>
          <w:u w:val="none"/>
        </w:rPr>
        <w:t>四、</w:t>
      </w:r>
      <w:r>
        <w:rPr>
          <w:rFonts w:ascii="Times New Roman" w:hAnsi="Times New Roman" w:eastAsia="黑体"/>
          <w:b w:val="0"/>
          <w:sz w:val="30"/>
          <w:szCs w:val="30"/>
          <w:u w:val="none"/>
        </w:rPr>
        <w:t>《支出</w:t>
      </w:r>
      <w:r>
        <w:rPr>
          <w:rFonts w:hint="eastAsia" w:ascii="Times New Roman" w:hAnsi="Times New Roman" w:eastAsia="黑体"/>
          <w:b w:val="0"/>
          <w:sz w:val="30"/>
          <w:szCs w:val="30"/>
          <w:u w:val="none"/>
        </w:rPr>
        <w:t>决算</w:t>
      </w:r>
      <w:r>
        <w:rPr>
          <w:rFonts w:ascii="Times New Roman" w:hAnsi="Times New Roman" w:eastAsia="黑体"/>
          <w:b w:val="0"/>
          <w:sz w:val="30"/>
          <w:szCs w:val="30"/>
          <w:u w:val="none"/>
        </w:rPr>
        <w:t>表》</w:t>
      </w:r>
      <w:bookmarkEnd w:id="7"/>
    </w:p>
    <w:p>
      <w:pPr>
        <w:pStyle w:val="3"/>
        <w:spacing w:before="0" w:after="0" w:line="800" w:lineRule="exact"/>
        <w:ind w:firstLine="600" w:firstLineChars="200"/>
        <w:rPr>
          <w:rFonts w:ascii="Times New Roman" w:hAnsi="Times New Roman" w:eastAsia="黑体"/>
          <w:b w:val="0"/>
          <w:sz w:val="30"/>
          <w:szCs w:val="30"/>
          <w:u w:val="none"/>
        </w:rPr>
      </w:pPr>
      <w:bookmarkStart w:id="8" w:name="_Toc32498"/>
      <w:r>
        <w:rPr>
          <w:rFonts w:ascii="Times New Roman" w:hAnsi="Times New Roman" w:eastAsia="黑体"/>
          <w:b w:val="0"/>
          <w:sz w:val="30"/>
          <w:szCs w:val="30"/>
          <w:u w:val="none"/>
        </w:rPr>
        <w:t>五</w:t>
      </w:r>
      <w:r>
        <w:rPr>
          <w:rFonts w:hint="eastAsia" w:ascii="Times New Roman" w:hAnsi="Times New Roman" w:eastAsia="黑体"/>
          <w:b w:val="0"/>
          <w:sz w:val="30"/>
          <w:szCs w:val="30"/>
          <w:u w:val="none"/>
        </w:rPr>
        <w:t>、</w:t>
      </w:r>
      <w:r>
        <w:rPr>
          <w:rFonts w:ascii="Times New Roman" w:hAnsi="Times New Roman" w:eastAsia="黑体"/>
          <w:b w:val="0"/>
          <w:sz w:val="30"/>
          <w:szCs w:val="30"/>
          <w:u w:val="none"/>
        </w:rPr>
        <w:t>《财政拨款</w:t>
      </w:r>
      <w:r>
        <w:rPr>
          <w:rFonts w:hint="eastAsia" w:ascii="Times New Roman" w:hAnsi="Times New Roman" w:eastAsia="黑体"/>
          <w:b w:val="0"/>
          <w:sz w:val="30"/>
          <w:szCs w:val="30"/>
          <w:u w:val="none"/>
        </w:rPr>
        <w:t>收入</w:t>
      </w:r>
      <w:r>
        <w:rPr>
          <w:rFonts w:ascii="Times New Roman" w:hAnsi="Times New Roman" w:eastAsia="黑体"/>
          <w:b w:val="0"/>
          <w:sz w:val="30"/>
          <w:szCs w:val="30"/>
          <w:u w:val="none"/>
        </w:rPr>
        <w:t>支出</w:t>
      </w:r>
      <w:r>
        <w:rPr>
          <w:rFonts w:hint="eastAsia" w:ascii="Times New Roman" w:hAnsi="Times New Roman" w:eastAsia="黑体"/>
          <w:b w:val="0"/>
          <w:sz w:val="30"/>
          <w:szCs w:val="30"/>
          <w:u w:val="none"/>
        </w:rPr>
        <w:t>决算总</w:t>
      </w:r>
      <w:r>
        <w:rPr>
          <w:rFonts w:ascii="Times New Roman" w:hAnsi="Times New Roman" w:eastAsia="黑体"/>
          <w:b w:val="0"/>
          <w:sz w:val="30"/>
          <w:szCs w:val="30"/>
          <w:u w:val="none"/>
        </w:rPr>
        <w:t>表》</w:t>
      </w:r>
      <w:bookmarkEnd w:id="8"/>
    </w:p>
    <w:p>
      <w:pPr>
        <w:pStyle w:val="3"/>
        <w:spacing w:before="0" w:after="0" w:line="800" w:lineRule="exact"/>
        <w:ind w:firstLine="600" w:firstLineChars="200"/>
        <w:rPr>
          <w:rFonts w:ascii="Times New Roman" w:hAnsi="Times New Roman" w:eastAsia="黑体"/>
          <w:b w:val="0"/>
          <w:sz w:val="30"/>
          <w:szCs w:val="30"/>
          <w:u w:val="none"/>
        </w:rPr>
      </w:pPr>
      <w:bookmarkStart w:id="9" w:name="_Toc26379"/>
      <w:r>
        <w:rPr>
          <w:rFonts w:ascii="Times New Roman" w:hAnsi="Times New Roman" w:eastAsia="黑体"/>
          <w:b w:val="0"/>
          <w:sz w:val="30"/>
          <w:szCs w:val="30"/>
          <w:u w:val="none"/>
        </w:rPr>
        <w:t>六</w:t>
      </w:r>
      <w:r>
        <w:rPr>
          <w:rFonts w:hint="eastAsia" w:ascii="Times New Roman" w:hAnsi="Times New Roman" w:eastAsia="黑体"/>
          <w:b w:val="0"/>
          <w:sz w:val="30"/>
          <w:szCs w:val="30"/>
          <w:u w:val="none"/>
        </w:rPr>
        <w:t>、</w:t>
      </w:r>
      <w:r>
        <w:rPr>
          <w:rFonts w:ascii="Times New Roman" w:hAnsi="Times New Roman" w:eastAsia="黑体"/>
          <w:b w:val="0"/>
          <w:sz w:val="30"/>
          <w:szCs w:val="30"/>
          <w:u w:val="none"/>
        </w:rPr>
        <w:t>《一般公共预算财政拨款支出</w:t>
      </w:r>
      <w:r>
        <w:rPr>
          <w:rFonts w:hint="eastAsia" w:ascii="Times New Roman" w:hAnsi="Times New Roman" w:eastAsia="黑体"/>
          <w:b w:val="0"/>
          <w:sz w:val="30"/>
          <w:szCs w:val="30"/>
          <w:u w:val="none"/>
        </w:rPr>
        <w:t>决算</w:t>
      </w:r>
      <w:r>
        <w:rPr>
          <w:rFonts w:ascii="Times New Roman" w:hAnsi="Times New Roman" w:eastAsia="黑体"/>
          <w:b w:val="0"/>
          <w:sz w:val="30"/>
          <w:szCs w:val="30"/>
          <w:u w:val="none"/>
        </w:rPr>
        <w:t>表》</w:t>
      </w:r>
      <w:bookmarkEnd w:id="9"/>
    </w:p>
    <w:p>
      <w:pPr>
        <w:pStyle w:val="3"/>
        <w:spacing w:before="0" w:after="0" w:line="800" w:lineRule="exact"/>
        <w:ind w:firstLine="600" w:firstLineChars="200"/>
        <w:rPr>
          <w:rFonts w:ascii="Times New Roman" w:hAnsi="Times New Roman" w:eastAsia="黑体"/>
          <w:b w:val="0"/>
          <w:sz w:val="30"/>
          <w:szCs w:val="30"/>
          <w:u w:val="none"/>
        </w:rPr>
      </w:pPr>
      <w:bookmarkStart w:id="10" w:name="_Toc4498"/>
      <w:r>
        <w:rPr>
          <w:rFonts w:ascii="Times New Roman" w:hAnsi="Times New Roman" w:eastAsia="黑体"/>
          <w:b w:val="0"/>
          <w:sz w:val="30"/>
          <w:szCs w:val="30"/>
          <w:u w:val="none"/>
        </w:rPr>
        <w:t>七</w:t>
      </w:r>
      <w:r>
        <w:rPr>
          <w:rFonts w:hint="eastAsia" w:ascii="Times New Roman" w:hAnsi="Times New Roman" w:eastAsia="黑体"/>
          <w:b w:val="0"/>
          <w:sz w:val="30"/>
          <w:szCs w:val="30"/>
          <w:u w:val="none"/>
        </w:rPr>
        <w:t>、</w:t>
      </w:r>
      <w:r>
        <w:rPr>
          <w:rFonts w:ascii="Times New Roman" w:hAnsi="Times New Roman" w:eastAsia="黑体"/>
          <w:b w:val="0"/>
          <w:sz w:val="30"/>
          <w:szCs w:val="30"/>
          <w:u w:val="none"/>
        </w:rPr>
        <w:t>《一般公共预算财政拨款基本支出</w:t>
      </w:r>
      <w:r>
        <w:rPr>
          <w:rFonts w:hint="eastAsia" w:ascii="Times New Roman" w:hAnsi="Times New Roman" w:eastAsia="黑体"/>
          <w:b w:val="0"/>
          <w:sz w:val="30"/>
          <w:szCs w:val="30"/>
          <w:u w:val="none"/>
        </w:rPr>
        <w:t>决算</w:t>
      </w:r>
      <w:r>
        <w:rPr>
          <w:rFonts w:ascii="Times New Roman" w:hAnsi="Times New Roman" w:eastAsia="黑体"/>
          <w:b w:val="0"/>
          <w:sz w:val="30"/>
          <w:szCs w:val="30"/>
          <w:u w:val="none"/>
        </w:rPr>
        <w:t>表》</w:t>
      </w:r>
      <w:bookmarkEnd w:id="10"/>
    </w:p>
    <w:p>
      <w:pPr>
        <w:pStyle w:val="3"/>
        <w:spacing w:before="0" w:after="0" w:line="800" w:lineRule="exact"/>
        <w:ind w:firstLine="600" w:firstLineChars="200"/>
        <w:rPr>
          <w:rFonts w:ascii="Times New Roman" w:hAnsi="Times New Roman" w:eastAsia="黑体"/>
          <w:b w:val="0"/>
          <w:sz w:val="30"/>
          <w:szCs w:val="30"/>
          <w:u w:val="none"/>
        </w:rPr>
      </w:pPr>
      <w:bookmarkStart w:id="11" w:name="_Toc18038"/>
      <w:r>
        <w:rPr>
          <w:rFonts w:hint="eastAsia" w:ascii="Times New Roman" w:hAnsi="Times New Roman" w:eastAsia="黑体"/>
          <w:b w:val="0"/>
          <w:sz w:val="30"/>
          <w:szCs w:val="30"/>
          <w:u w:val="none"/>
        </w:rPr>
        <w:t>八、</w:t>
      </w:r>
      <w:r>
        <w:rPr>
          <w:rFonts w:ascii="Times New Roman" w:hAnsi="Times New Roman" w:eastAsia="黑体"/>
          <w:b w:val="0"/>
          <w:sz w:val="30"/>
          <w:szCs w:val="30"/>
          <w:u w:val="none"/>
        </w:rPr>
        <w:t>《政府性基金预算财政拨款</w:t>
      </w:r>
      <w:r>
        <w:rPr>
          <w:rFonts w:hint="eastAsia" w:ascii="Times New Roman" w:hAnsi="Times New Roman" w:eastAsia="黑体"/>
          <w:b w:val="0"/>
          <w:sz w:val="30"/>
          <w:szCs w:val="30"/>
          <w:u w:val="none"/>
        </w:rPr>
        <w:t>收入</w:t>
      </w:r>
      <w:r>
        <w:rPr>
          <w:rFonts w:ascii="Times New Roman" w:hAnsi="Times New Roman" w:eastAsia="黑体"/>
          <w:b w:val="0"/>
          <w:sz w:val="30"/>
          <w:szCs w:val="30"/>
          <w:u w:val="none"/>
        </w:rPr>
        <w:t>支出</w:t>
      </w:r>
      <w:r>
        <w:rPr>
          <w:rFonts w:hint="eastAsia" w:ascii="Times New Roman" w:hAnsi="Times New Roman" w:eastAsia="黑体"/>
          <w:b w:val="0"/>
          <w:sz w:val="30"/>
          <w:szCs w:val="30"/>
          <w:u w:val="none"/>
        </w:rPr>
        <w:t>决算</w:t>
      </w:r>
      <w:r>
        <w:rPr>
          <w:rFonts w:ascii="Times New Roman" w:hAnsi="Times New Roman" w:eastAsia="黑体"/>
          <w:b w:val="0"/>
          <w:sz w:val="30"/>
          <w:szCs w:val="30"/>
          <w:u w:val="none"/>
        </w:rPr>
        <w:t>表》</w:t>
      </w:r>
      <w:bookmarkEnd w:id="11"/>
    </w:p>
    <w:p>
      <w:pPr>
        <w:pStyle w:val="3"/>
        <w:spacing w:before="0" w:after="0" w:line="800" w:lineRule="exact"/>
        <w:ind w:firstLine="600" w:firstLineChars="200"/>
        <w:rPr>
          <w:rFonts w:ascii="Times New Roman" w:hAnsi="Times New Roman" w:eastAsia="黑体"/>
          <w:b w:val="0"/>
          <w:sz w:val="30"/>
          <w:szCs w:val="30"/>
          <w:u w:val="none"/>
        </w:rPr>
      </w:pPr>
      <w:bookmarkStart w:id="12" w:name="_Toc13200"/>
      <w:r>
        <w:rPr>
          <w:rFonts w:hint="eastAsia" w:ascii="Times New Roman" w:hAnsi="Times New Roman" w:eastAsia="黑体"/>
          <w:b w:val="0"/>
          <w:sz w:val="30"/>
          <w:szCs w:val="30"/>
          <w:u w:val="none"/>
        </w:rPr>
        <w:t>九、</w:t>
      </w:r>
      <w:r>
        <w:rPr>
          <w:rFonts w:ascii="Times New Roman" w:hAnsi="Times New Roman" w:eastAsia="黑体"/>
          <w:b w:val="0"/>
          <w:sz w:val="30"/>
          <w:szCs w:val="30"/>
          <w:u w:val="none"/>
        </w:rPr>
        <w:t>《国有资本经营预算财政拨款</w:t>
      </w:r>
      <w:r>
        <w:rPr>
          <w:rFonts w:hint="eastAsia" w:ascii="Times New Roman" w:hAnsi="Times New Roman" w:eastAsia="黑体"/>
          <w:b w:val="0"/>
          <w:sz w:val="30"/>
          <w:szCs w:val="30"/>
          <w:u w:val="none"/>
        </w:rPr>
        <w:t>收入支出决算</w:t>
      </w:r>
      <w:r>
        <w:rPr>
          <w:rFonts w:ascii="Times New Roman" w:hAnsi="Times New Roman" w:eastAsia="黑体"/>
          <w:b w:val="0"/>
          <w:sz w:val="30"/>
          <w:szCs w:val="30"/>
          <w:u w:val="none"/>
        </w:rPr>
        <w:t>表》</w:t>
      </w:r>
      <w:bookmarkEnd w:id="12"/>
    </w:p>
    <w:p>
      <w:pPr>
        <w:pStyle w:val="3"/>
        <w:spacing w:before="0" w:after="0" w:line="800" w:lineRule="exact"/>
        <w:ind w:firstLine="600" w:firstLineChars="200"/>
        <w:rPr>
          <w:rFonts w:ascii="Times New Roman" w:hAnsi="Times New Roman" w:eastAsia="黑体"/>
          <w:b w:val="0"/>
          <w:sz w:val="30"/>
          <w:szCs w:val="30"/>
          <w:u w:val="none"/>
        </w:rPr>
      </w:pPr>
      <w:bookmarkStart w:id="13" w:name="_Toc3423"/>
      <w:r>
        <w:rPr>
          <w:rFonts w:hint="eastAsia" w:ascii="Times New Roman" w:hAnsi="Times New Roman" w:eastAsia="黑体"/>
          <w:b w:val="0"/>
          <w:sz w:val="30"/>
          <w:szCs w:val="30"/>
          <w:u w:val="none"/>
        </w:rPr>
        <w:t>十、</w:t>
      </w:r>
      <w:r>
        <w:rPr>
          <w:rFonts w:ascii="Times New Roman" w:hAnsi="Times New Roman" w:eastAsia="黑体"/>
          <w:b w:val="0"/>
          <w:sz w:val="30"/>
          <w:szCs w:val="30"/>
          <w:u w:val="none"/>
        </w:rPr>
        <w:t>《一般公共预算财政拨款“三公”经费支出</w:t>
      </w:r>
      <w:r>
        <w:rPr>
          <w:rFonts w:hint="eastAsia" w:ascii="Times New Roman" w:hAnsi="Times New Roman" w:eastAsia="黑体"/>
          <w:b w:val="0"/>
          <w:sz w:val="30"/>
          <w:szCs w:val="30"/>
          <w:u w:val="none"/>
        </w:rPr>
        <w:t>决算</w:t>
      </w:r>
      <w:r>
        <w:rPr>
          <w:rFonts w:ascii="Times New Roman" w:hAnsi="Times New Roman" w:eastAsia="黑体"/>
          <w:b w:val="0"/>
          <w:sz w:val="30"/>
          <w:szCs w:val="30"/>
          <w:u w:val="none"/>
        </w:rPr>
        <w:t>表》</w:t>
      </w:r>
      <w:bookmarkEnd w:id="13"/>
    </w:p>
    <w:p>
      <w:pPr>
        <w:pStyle w:val="3"/>
        <w:spacing w:before="0" w:after="0" w:line="800" w:lineRule="exact"/>
        <w:ind w:firstLine="600" w:firstLineChars="200"/>
        <w:rPr>
          <w:rFonts w:ascii="Times New Roman" w:hAnsi="Times New Roman" w:eastAsia="黑体"/>
          <w:b w:val="0"/>
          <w:sz w:val="30"/>
          <w:szCs w:val="30"/>
          <w:u w:val="none"/>
        </w:rPr>
      </w:pPr>
      <w:bookmarkStart w:id="14" w:name="_Toc3915"/>
      <w:r>
        <w:rPr>
          <w:rFonts w:ascii="Times New Roman" w:hAnsi="Times New Roman" w:eastAsia="黑体"/>
          <w:b w:val="0"/>
          <w:sz w:val="30"/>
          <w:szCs w:val="30"/>
          <w:u w:val="none"/>
        </w:rPr>
        <w:t>十</w:t>
      </w:r>
      <w:r>
        <w:rPr>
          <w:rFonts w:hint="eastAsia" w:ascii="Times New Roman" w:hAnsi="Times New Roman" w:eastAsia="黑体"/>
          <w:b w:val="0"/>
          <w:sz w:val="30"/>
          <w:szCs w:val="30"/>
          <w:u w:val="none"/>
        </w:rPr>
        <w:t>一、</w:t>
      </w:r>
      <w:r>
        <w:rPr>
          <w:rFonts w:ascii="Times New Roman" w:hAnsi="Times New Roman" w:eastAsia="黑体"/>
          <w:b w:val="0"/>
          <w:sz w:val="30"/>
          <w:szCs w:val="30"/>
          <w:u w:val="none"/>
        </w:rPr>
        <w:t>《项目支出决算表》</w:t>
      </w:r>
      <w:bookmarkEnd w:id="14"/>
    </w:p>
    <w:p>
      <w:pPr>
        <w:spacing w:line="800" w:lineRule="exact"/>
        <w:rPr>
          <w:rFonts w:ascii="Times New Roman" w:hAnsi="Times New Roman"/>
          <w:u w:val="none"/>
        </w:rPr>
      </w:pPr>
      <w:r>
        <w:rPr>
          <w:rFonts w:hint="eastAsia" w:ascii="Times New Roman" w:hAnsi="Times New Roman" w:eastAsia="楷体"/>
          <w:sz w:val="30"/>
          <w:szCs w:val="30"/>
          <w:u w:val="none"/>
        </w:rPr>
        <w:t>注：以上决算公开表均作为附表，附于决算公开说明文档后。</w:t>
      </w:r>
    </w:p>
    <w:p>
      <w:pPr>
        <w:pStyle w:val="3"/>
        <w:numPr>
          <w:ilvl w:val="0"/>
          <w:numId w:val="1"/>
        </w:numPr>
        <w:spacing w:before="0" w:after="0" w:line="800" w:lineRule="exact"/>
        <w:ind w:firstLine="600" w:firstLineChars="200"/>
        <w:rPr>
          <w:rFonts w:hint="eastAsia" w:ascii="Times New Roman" w:hAnsi="Times New Roman" w:eastAsia="仿宋_GB2312" w:cs="仿宋_GB2312"/>
          <w:sz w:val="30"/>
          <w:szCs w:val="30"/>
          <w:u w:val="none"/>
        </w:rPr>
      </w:pPr>
      <w:bookmarkStart w:id="15" w:name="_Toc17260"/>
      <w:r>
        <w:rPr>
          <w:rFonts w:hint="eastAsia" w:ascii="Times New Roman" w:hAnsi="Times New Roman" w:eastAsia="黑体"/>
          <w:b w:val="0"/>
          <w:bCs w:val="0"/>
          <w:sz w:val="30"/>
          <w:szCs w:val="30"/>
          <w:u w:val="none"/>
        </w:rPr>
        <w:t>关于空表的说明</w:t>
      </w:r>
      <w:bookmarkEnd w:id="15"/>
    </w:p>
    <w:p>
      <w:pPr>
        <w:spacing w:line="600" w:lineRule="exact"/>
        <w:rPr>
          <w:rFonts w:hint="eastAsia" w:ascii="仿宋_GB2312" w:hAnsi="仿宋_GB2312" w:eastAsia="仿宋_GB2312" w:cs="仿宋_GB2312"/>
          <w:sz w:val="30"/>
          <w:szCs w:val="30"/>
          <w:u w:val="none"/>
        </w:rPr>
        <w:sectPr>
          <w:pgSz w:w="11906" w:h="16838"/>
          <w:pgMar w:top="1440" w:right="1800" w:bottom="1440" w:left="1800" w:header="851" w:footer="992" w:gutter="0"/>
          <w:cols w:space="720" w:num="1"/>
          <w:docGrid w:type="lines" w:linePitch="312" w:charSpace="0"/>
        </w:sectPr>
      </w:pPr>
      <w:r>
        <w:rPr>
          <w:rFonts w:hint="eastAsia" w:ascii="Times New Roman" w:hAnsi="Times New Roman" w:eastAsia="仿宋_GB2312" w:cs="仿宋_GB2312"/>
          <w:sz w:val="30"/>
          <w:szCs w:val="30"/>
          <w:u w:val="none"/>
        </w:rPr>
        <w:t xml:space="preserve">    </w:t>
      </w:r>
      <w:r>
        <w:rPr>
          <w:rFonts w:hint="eastAsia" w:ascii="仿宋_GB2312" w:hAnsi="仿宋_GB2312" w:eastAsia="仿宋_GB2312" w:cs="仿宋_GB2312"/>
          <w:sz w:val="30"/>
          <w:szCs w:val="30"/>
          <w:u w:val="none"/>
        </w:rPr>
        <w:t>天津市津南区北闸口镇农业农村事务服务中心2022年度国有资本经营预算财政拨款收入支出决算表为空表。</w:t>
      </w:r>
    </w:p>
    <w:p>
      <w:pPr>
        <w:spacing w:line="600" w:lineRule="exact"/>
        <w:rPr>
          <w:rFonts w:ascii="Times New Roman" w:hAnsi="Times New Roman" w:eastAsia="仿宋_GB2312" w:cs="仿宋_GB2312"/>
          <w:sz w:val="30"/>
          <w:szCs w:val="30"/>
          <w:u w:val="none"/>
        </w:rPr>
      </w:pPr>
    </w:p>
    <w:p>
      <w:pPr>
        <w:pStyle w:val="2"/>
        <w:spacing w:before="0" w:after="0" w:line="600" w:lineRule="exact"/>
        <w:jc w:val="center"/>
        <w:rPr>
          <w:rFonts w:ascii="Times New Roman" w:hAnsi="Times New Roman" w:eastAsia="方正小标宋简体" w:cs="方正小标宋简体"/>
          <w:b w:val="0"/>
          <w:u w:val="none"/>
        </w:rPr>
      </w:pPr>
      <w:bookmarkStart w:id="16" w:name="_Toc396"/>
      <w:r>
        <w:rPr>
          <w:rFonts w:ascii="Times New Roman" w:hAnsi="Times New Roman" w:eastAsia="方正小标宋简体" w:cs="方正小标宋简体"/>
          <w:b w:val="0"/>
          <w:u w:val="none"/>
        </w:rPr>
        <w:t>第</w:t>
      </w:r>
      <w:r>
        <w:rPr>
          <w:rFonts w:hint="eastAsia" w:ascii="Times New Roman" w:hAnsi="Times New Roman" w:eastAsia="方正小标宋简体" w:cs="方正小标宋简体"/>
          <w:b w:val="0"/>
          <w:u w:val="none"/>
        </w:rPr>
        <w:t>三</w:t>
      </w:r>
      <w:r>
        <w:rPr>
          <w:rFonts w:ascii="Times New Roman" w:hAnsi="Times New Roman" w:eastAsia="方正小标宋简体" w:cs="方正小标宋简体"/>
          <w:b w:val="0"/>
          <w:u w:val="none"/>
        </w:rPr>
        <w:t xml:space="preserve">部分  </w:t>
      </w:r>
      <w:r>
        <w:rPr>
          <w:rFonts w:hint="eastAsia" w:ascii="Times New Roman" w:hAnsi="Times New Roman" w:eastAsia="方正小标宋简体" w:cs="方正小标宋简体"/>
          <w:b w:val="0"/>
          <w:u w:val="none"/>
        </w:rPr>
        <w:t>2022</w:t>
      </w:r>
      <w:r>
        <w:rPr>
          <w:rFonts w:ascii="Times New Roman" w:hAnsi="Times New Roman" w:eastAsia="方正小标宋简体" w:cs="方正小标宋简体"/>
          <w:b w:val="0"/>
          <w:u w:val="none"/>
        </w:rPr>
        <w:t>年度部门决算</w:t>
      </w:r>
      <w:r>
        <w:rPr>
          <w:rFonts w:hint="eastAsia" w:ascii="Times New Roman" w:hAnsi="Times New Roman" w:eastAsia="方正小标宋简体" w:cs="方正小标宋简体"/>
          <w:b w:val="0"/>
          <w:u w:val="none"/>
        </w:rPr>
        <w:t>情况</w:t>
      </w:r>
      <w:r>
        <w:rPr>
          <w:rFonts w:ascii="Times New Roman" w:hAnsi="Times New Roman" w:eastAsia="方正小标宋简体" w:cs="方正小标宋简体"/>
          <w:b w:val="0"/>
          <w:u w:val="none"/>
        </w:rPr>
        <w:t>说明</w:t>
      </w:r>
      <w:bookmarkEnd w:id="16"/>
    </w:p>
    <w:p>
      <w:pPr>
        <w:spacing w:line="600" w:lineRule="exact"/>
        <w:ind w:firstLine="600" w:firstLineChars="200"/>
        <w:rPr>
          <w:rFonts w:ascii="Times New Roman" w:hAnsi="Times New Roman" w:eastAsia="黑体"/>
          <w:sz w:val="30"/>
          <w:szCs w:val="30"/>
          <w:u w:val="none"/>
        </w:rPr>
      </w:pPr>
    </w:p>
    <w:p>
      <w:pPr>
        <w:pStyle w:val="3"/>
        <w:spacing w:before="0" w:after="0" w:line="600" w:lineRule="exact"/>
        <w:ind w:firstLine="600" w:firstLineChars="200"/>
        <w:rPr>
          <w:rFonts w:ascii="Times New Roman" w:hAnsi="Times New Roman" w:eastAsia="黑体"/>
          <w:b w:val="0"/>
          <w:sz w:val="30"/>
          <w:szCs w:val="30"/>
          <w:u w:val="none"/>
        </w:rPr>
      </w:pPr>
      <w:bookmarkStart w:id="17" w:name="_Toc24340"/>
      <w:r>
        <w:rPr>
          <w:rFonts w:hint="eastAsia" w:ascii="Times New Roman" w:hAnsi="Times New Roman" w:eastAsia="黑体"/>
          <w:b w:val="0"/>
          <w:sz w:val="30"/>
          <w:szCs w:val="30"/>
          <w:u w:val="none"/>
        </w:rPr>
        <w:t>一、收入支出决算总体情况说明</w:t>
      </w:r>
      <w:bookmarkEnd w:id="17"/>
    </w:p>
    <w:p>
      <w:pPr>
        <w:spacing w:line="600" w:lineRule="exact"/>
        <w:rPr>
          <w:rFonts w:hint="eastAsia" w:ascii="仿宋_GB2312" w:hAnsi="仿宋_GB2312" w:eastAsia="仿宋_GB2312" w:cs="仿宋_GB2312"/>
          <w:sz w:val="30"/>
          <w:szCs w:val="30"/>
          <w:u w:val="none"/>
        </w:rPr>
      </w:pPr>
      <w:r>
        <w:rPr>
          <w:rFonts w:hint="eastAsia" w:ascii="Times New Roman" w:hAnsi="Times New Roman" w:eastAsia="仿宋_GB2312"/>
          <w:sz w:val="30"/>
          <w:szCs w:val="30"/>
          <w:u w:val="none"/>
        </w:rPr>
        <w:t xml:space="preserve">   </w:t>
      </w:r>
      <w:r>
        <w:rPr>
          <w:rFonts w:hint="eastAsia" w:ascii="Times New Roman" w:hAnsi="Times New Roman" w:eastAsia="仿宋_GB2312" w:cs="仿宋_GB2312"/>
          <w:sz w:val="30"/>
          <w:szCs w:val="30"/>
          <w:u w:val="none"/>
        </w:rPr>
        <w:t xml:space="preserve"> </w:t>
      </w:r>
      <w:r>
        <w:rPr>
          <w:rFonts w:hint="eastAsia" w:ascii="仿宋_GB2312" w:hAnsi="仿宋_GB2312" w:eastAsia="仿宋_GB2312" w:cs="仿宋_GB2312"/>
          <w:sz w:val="30"/>
          <w:szCs w:val="30"/>
          <w:u w:val="none"/>
        </w:rPr>
        <w:t>天津市津南区北闸口镇农业农村事务服务中心2022年度收入、支出决算总计8816185.01元。与2021年度相比，收、支总计各减少62238503.22元，下降87.59%，主要原因是</w:t>
      </w:r>
      <w:r>
        <w:rPr>
          <w:rFonts w:hint="eastAsia" w:ascii="仿宋_GB2312" w:hAnsi="仿宋_GB2312" w:eastAsia="仿宋_GB2312" w:cs="仿宋_GB2312"/>
          <w:sz w:val="30"/>
          <w:szCs w:val="30"/>
          <w:u w:val="none"/>
          <w:lang w:val="en-US" w:eastAsia="zh-CN"/>
        </w:rPr>
        <w:t>上年</w:t>
      </w:r>
      <w:r>
        <w:rPr>
          <w:rFonts w:hint="eastAsia" w:ascii="仿宋_GB2312" w:hAnsi="仿宋_GB2312" w:eastAsia="仿宋_GB2312" w:cs="仿宋_GB2312"/>
          <w:sz w:val="30"/>
          <w:szCs w:val="30"/>
          <w:u w:val="none"/>
        </w:rPr>
        <w:t>预算项目土地开发资金（坑塘治理）67406805</w:t>
      </w:r>
      <w:r>
        <w:rPr>
          <w:rFonts w:hint="eastAsia" w:ascii="仿宋_GB2312" w:hAnsi="仿宋_GB2312" w:eastAsia="仿宋_GB2312" w:cs="仿宋_GB2312"/>
          <w:sz w:val="30"/>
          <w:szCs w:val="30"/>
          <w:u w:val="none"/>
          <w:lang w:val="en-US" w:eastAsia="zh-CN"/>
        </w:rPr>
        <w:t>.00</w:t>
      </w:r>
      <w:r>
        <w:rPr>
          <w:rFonts w:hint="eastAsia" w:ascii="仿宋_GB2312" w:hAnsi="仿宋_GB2312" w:eastAsia="仿宋_GB2312" w:cs="仿宋_GB2312"/>
          <w:sz w:val="30"/>
          <w:szCs w:val="30"/>
          <w:u w:val="none"/>
        </w:rPr>
        <w:t>元</w:t>
      </w:r>
      <w:r>
        <w:rPr>
          <w:rFonts w:hint="eastAsia" w:ascii="仿宋_GB2312" w:hAnsi="仿宋_GB2312" w:eastAsia="仿宋_GB2312" w:cs="仿宋_GB2312"/>
          <w:sz w:val="30"/>
          <w:szCs w:val="30"/>
          <w:u w:val="none"/>
          <w:lang w:eastAsia="zh-CN"/>
        </w:rPr>
        <w:t>已完成，</w:t>
      </w:r>
      <w:r>
        <w:rPr>
          <w:rFonts w:hint="eastAsia" w:ascii="仿宋_GB2312" w:hAnsi="仿宋_GB2312" w:eastAsia="仿宋_GB2312" w:cs="仿宋_GB2312"/>
          <w:sz w:val="30"/>
          <w:szCs w:val="30"/>
          <w:u w:val="none"/>
          <w:lang w:val="en-US" w:eastAsia="zh-CN"/>
        </w:rPr>
        <w:t>2022年</w:t>
      </w:r>
      <w:r>
        <w:rPr>
          <w:rFonts w:hint="eastAsia" w:ascii="仿宋_GB2312" w:hAnsi="仿宋_GB2312" w:eastAsia="仿宋_GB2312" w:cs="仿宋_GB2312"/>
          <w:sz w:val="30"/>
          <w:szCs w:val="30"/>
          <w:u w:val="none"/>
          <w:lang w:eastAsia="zh-CN"/>
        </w:rPr>
        <w:t>不再发生支付</w:t>
      </w:r>
      <w:r>
        <w:rPr>
          <w:rFonts w:hint="eastAsia" w:ascii="仿宋_GB2312" w:hAnsi="仿宋_GB2312" w:eastAsia="仿宋_GB2312" w:cs="仿宋_GB2312"/>
          <w:sz w:val="30"/>
          <w:szCs w:val="30"/>
          <w:u w:val="none"/>
        </w:rPr>
        <w:t>。</w:t>
      </w:r>
    </w:p>
    <w:p>
      <w:pPr>
        <w:pStyle w:val="3"/>
        <w:spacing w:before="0" w:after="0" w:line="600" w:lineRule="exact"/>
        <w:ind w:firstLine="600" w:firstLineChars="200"/>
        <w:rPr>
          <w:rFonts w:ascii="Times New Roman" w:hAnsi="Times New Roman" w:eastAsia="黑体" w:cs="仿宋_GB2312"/>
          <w:b w:val="0"/>
          <w:sz w:val="30"/>
          <w:szCs w:val="30"/>
          <w:u w:val="none"/>
        </w:rPr>
      </w:pPr>
      <w:bookmarkStart w:id="18" w:name="_Toc18552"/>
      <w:r>
        <w:rPr>
          <w:rFonts w:hint="eastAsia" w:ascii="Times New Roman" w:hAnsi="Times New Roman" w:eastAsia="黑体" w:cs="仿宋_GB2312"/>
          <w:b w:val="0"/>
          <w:sz w:val="30"/>
          <w:szCs w:val="30"/>
          <w:u w:val="none"/>
        </w:rPr>
        <w:t>二、收入决算情况说明</w:t>
      </w:r>
      <w:bookmarkEnd w:id="18"/>
    </w:p>
    <w:p>
      <w:pPr>
        <w:spacing w:line="600" w:lineRule="exact"/>
        <w:ind w:firstLine="600" w:firstLineChars="200"/>
        <w:rPr>
          <w:rFonts w:hint="eastAsia" w:ascii="仿宋_GB2312" w:hAnsi="仿宋_GB2312" w:eastAsia="仿宋_GB2312" w:cs="仿宋_GB2312"/>
          <w:sz w:val="30"/>
          <w:szCs w:val="30"/>
          <w:u w:val="none"/>
        </w:rPr>
      </w:pPr>
      <w:r>
        <w:rPr>
          <w:rFonts w:hint="eastAsia" w:ascii="Times New Roman" w:hAnsi="Times New Roman" w:eastAsia="仿宋_GB2312" w:cs="仿宋_GB2312"/>
          <w:sz w:val="30"/>
          <w:szCs w:val="30"/>
          <w:u w:val="none"/>
        </w:rPr>
        <w:t>天津市津南区北闸口镇农业农村事务服</w:t>
      </w:r>
      <w:r>
        <w:rPr>
          <w:rFonts w:hint="eastAsia" w:ascii="仿宋_GB2312" w:hAnsi="仿宋_GB2312" w:eastAsia="仿宋_GB2312" w:cs="仿宋_GB2312"/>
          <w:sz w:val="30"/>
          <w:szCs w:val="30"/>
          <w:u w:val="none"/>
        </w:rPr>
        <w:t>务中心2022年度本年收入合计8816185.01元，与2021年度相比减少61191877.22元，主要原因是</w:t>
      </w:r>
      <w:r>
        <w:rPr>
          <w:rFonts w:hint="eastAsia" w:ascii="仿宋_GB2312" w:hAnsi="仿宋_GB2312" w:eastAsia="仿宋_GB2312" w:cs="仿宋_GB2312"/>
          <w:sz w:val="30"/>
          <w:szCs w:val="30"/>
          <w:u w:val="none"/>
          <w:lang w:val="en-US" w:eastAsia="zh-CN"/>
        </w:rPr>
        <w:t>上年</w:t>
      </w:r>
      <w:r>
        <w:rPr>
          <w:rFonts w:hint="eastAsia" w:ascii="仿宋_GB2312" w:hAnsi="仿宋_GB2312" w:eastAsia="仿宋_GB2312" w:cs="仿宋_GB2312"/>
          <w:sz w:val="30"/>
          <w:szCs w:val="30"/>
          <w:u w:val="none"/>
        </w:rPr>
        <w:t>预算项目土地开发资金（坑塘治理）67406805</w:t>
      </w:r>
      <w:r>
        <w:rPr>
          <w:rFonts w:hint="eastAsia" w:ascii="仿宋_GB2312" w:hAnsi="仿宋_GB2312" w:eastAsia="仿宋_GB2312" w:cs="仿宋_GB2312"/>
          <w:sz w:val="30"/>
          <w:szCs w:val="30"/>
          <w:u w:val="none"/>
          <w:lang w:val="en-US" w:eastAsia="zh-CN"/>
        </w:rPr>
        <w:t>.00</w:t>
      </w:r>
      <w:r>
        <w:rPr>
          <w:rFonts w:hint="eastAsia" w:ascii="仿宋_GB2312" w:hAnsi="仿宋_GB2312" w:eastAsia="仿宋_GB2312" w:cs="仿宋_GB2312"/>
          <w:sz w:val="30"/>
          <w:szCs w:val="30"/>
          <w:u w:val="none"/>
        </w:rPr>
        <w:t>元</w:t>
      </w:r>
      <w:r>
        <w:rPr>
          <w:rFonts w:hint="eastAsia" w:ascii="仿宋_GB2312" w:hAnsi="仿宋_GB2312" w:eastAsia="仿宋_GB2312" w:cs="仿宋_GB2312"/>
          <w:sz w:val="30"/>
          <w:szCs w:val="30"/>
          <w:u w:val="none"/>
          <w:lang w:eastAsia="zh-CN"/>
        </w:rPr>
        <w:t>已完成，</w:t>
      </w:r>
      <w:r>
        <w:rPr>
          <w:rFonts w:hint="eastAsia" w:ascii="仿宋_GB2312" w:hAnsi="仿宋_GB2312" w:eastAsia="仿宋_GB2312" w:cs="仿宋_GB2312"/>
          <w:sz w:val="30"/>
          <w:szCs w:val="30"/>
          <w:u w:val="none"/>
          <w:lang w:val="en-US" w:eastAsia="zh-CN"/>
        </w:rPr>
        <w:t>2022年</w:t>
      </w:r>
      <w:r>
        <w:rPr>
          <w:rFonts w:hint="eastAsia" w:ascii="仿宋_GB2312" w:hAnsi="仿宋_GB2312" w:eastAsia="仿宋_GB2312" w:cs="仿宋_GB2312"/>
          <w:sz w:val="30"/>
          <w:szCs w:val="30"/>
          <w:u w:val="none"/>
          <w:lang w:eastAsia="zh-CN"/>
        </w:rPr>
        <w:t>不再发生支付</w:t>
      </w:r>
      <w:r>
        <w:rPr>
          <w:rFonts w:hint="eastAsia" w:ascii="仿宋_GB2312" w:hAnsi="仿宋_GB2312" w:eastAsia="仿宋_GB2312" w:cs="仿宋_GB2312"/>
          <w:sz w:val="30"/>
          <w:szCs w:val="30"/>
          <w:u w:val="none"/>
        </w:rPr>
        <w:t>。其中：一般公共预算财政拨款收入4194987.59元，占47.58%；政府性基金预算财政拨款收入1330000.00元，占15.09%；其他收入3291197.42元，占37.33%。</w:t>
      </w:r>
    </w:p>
    <w:p>
      <w:pPr>
        <w:pStyle w:val="3"/>
        <w:spacing w:before="0" w:after="0" w:line="600" w:lineRule="exact"/>
        <w:ind w:firstLine="600" w:firstLineChars="200"/>
        <w:rPr>
          <w:rFonts w:ascii="Times New Roman" w:hAnsi="Times New Roman" w:eastAsia="黑体" w:cs="仿宋_GB2312"/>
          <w:b w:val="0"/>
          <w:sz w:val="30"/>
          <w:szCs w:val="30"/>
          <w:u w:val="none"/>
        </w:rPr>
      </w:pPr>
      <w:bookmarkStart w:id="19" w:name="_Toc26952"/>
      <w:r>
        <w:rPr>
          <w:rFonts w:hint="eastAsia" w:ascii="Times New Roman" w:hAnsi="Times New Roman" w:eastAsia="黑体" w:cs="仿宋_GB2312"/>
          <w:b w:val="0"/>
          <w:sz w:val="30"/>
          <w:szCs w:val="30"/>
          <w:u w:val="none"/>
        </w:rPr>
        <w:t>三、</w:t>
      </w:r>
      <w:r>
        <w:rPr>
          <w:rFonts w:ascii="Times New Roman" w:hAnsi="Times New Roman" w:eastAsia="黑体" w:cs="仿宋_GB2312"/>
          <w:b w:val="0"/>
          <w:sz w:val="30"/>
          <w:szCs w:val="30"/>
          <w:u w:val="none"/>
        </w:rPr>
        <w:t>支出</w:t>
      </w:r>
      <w:r>
        <w:rPr>
          <w:rFonts w:hint="eastAsia" w:ascii="Times New Roman" w:hAnsi="Times New Roman" w:eastAsia="黑体" w:cs="仿宋_GB2312"/>
          <w:b w:val="0"/>
          <w:sz w:val="30"/>
          <w:szCs w:val="30"/>
          <w:u w:val="none"/>
        </w:rPr>
        <w:t>决算</w:t>
      </w:r>
      <w:r>
        <w:rPr>
          <w:rFonts w:ascii="Times New Roman" w:hAnsi="Times New Roman" w:eastAsia="黑体" w:cs="仿宋_GB2312"/>
          <w:b w:val="0"/>
          <w:sz w:val="30"/>
          <w:szCs w:val="30"/>
          <w:u w:val="none"/>
        </w:rPr>
        <w:t>情况</w:t>
      </w:r>
      <w:r>
        <w:rPr>
          <w:rFonts w:hint="eastAsia" w:ascii="Times New Roman" w:hAnsi="Times New Roman" w:eastAsia="黑体" w:cs="仿宋_GB2312"/>
          <w:b w:val="0"/>
          <w:sz w:val="30"/>
          <w:szCs w:val="30"/>
          <w:u w:val="none"/>
        </w:rPr>
        <w:t>说明</w:t>
      </w:r>
      <w:bookmarkEnd w:id="19"/>
    </w:p>
    <w:p>
      <w:pPr>
        <w:spacing w:line="600" w:lineRule="exact"/>
        <w:ind w:firstLine="600" w:firstLineChars="200"/>
        <w:rPr>
          <w:rFonts w:hint="eastAsia" w:ascii="仿宋_GB2312" w:hAnsi="仿宋_GB2312" w:eastAsia="仿宋_GB2312" w:cs="仿宋_GB2312"/>
          <w:sz w:val="30"/>
          <w:szCs w:val="30"/>
          <w:u w:val="none"/>
          <w:lang w:val="en-US" w:eastAsia="zh-CN"/>
        </w:rPr>
      </w:pPr>
      <w:r>
        <w:rPr>
          <w:rFonts w:hint="eastAsia" w:ascii="Times New Roman" w:hAnsi="Times New Roman" w:eastAsia="仿宋_GB2312" w:cs="仿宋_GB2312"/>
          <w:sz w:val="30"/>
          <w:szCs w:val="30"/>
          <w:u w:val="none"/>
        </w:rPr>
        <w:t>天津市津南区北闸</w:t>
      </w:r>
      <w:r>
        <w:rPr>
          <w:rFonts w:hint="eastAsia" w:ascii="仿宋_GB2312" w:hAnsi="仿宋_GB2312" w:eastAsia="仿宋_GB2312" w:cs="仿宋_GB2312"/>
          <w:sz w:val="30"/>
          <w:szCs w:val="30"/>
          <w:u w:val="none"/>
        </w:rPr>
        <w:t>口镇农业农村事务服务中心2022年度本年支出合计5908987.59元，与2021年度相比减少65101668.45元，主要原因是</w:t>
      </w:r>
      <w:r>
        <w:rPr>
          <w:rFonts w:hint="eastAsia" w:ascii="仿宋_GB2312" w:hAnsi="仿宋_GB2312" w:eastAsia="仿宋_GB2312" w:cs="仿宋_GB2312"/>
          <w:sz w:val="30"/>
          <w:szCs w:val="30"/>
          <w:u w:val="none"/>
          <w:lang w:val="en-US" w:eastAsia="zh-CN"/>
        </w:rPr>
        <w:t>上年</w:t>
      </w:r>
      <w:r>
        <w:rPr>
          <w:rFonts w:hint="eastAsia" w:ascii="仿宋_GB2312" w:hAnsi="仿宋_GB2312" w:eastAsia="仿宋_GB2312" w:cs="仿宋_GB2312"/>
          <w:sz w:val="30"/>
          <w:szCs w:val="30"/>
          <w:u w:val="none"/>
        </w:rPr>
        <w:t>预算项目土地开发资金（坑塘治理）67406805</w:t>
      </w:r>
      <w:r>
        <w:rPr>
          <w:rFonts w:hint="eastAsia" w:ascii="仿宋_GB2312" w:hAnsi="仿宋_GB2312" w:eastAsia="仿宋_GB2312" w:cs="仿宋_GB2312"/>
          <w:sz w:val="30"/>
          <w:szCs w:val="30"/>
          <w:u w:val="none"/>
          <w:lang w:val="en-US" w:eastAsia="zh-CN"/>
        </w:rPr>
        <w:t>.00</w:t>
      </w:r>
      <w:r>
        <w:rPr>
          <w:rFonts w:hint="eastAsia" w:ascii="仿宋_GB2312" w:hAnsi="仿宋_GB2312" w:eastAsia="仿宋_GB2312" w:cs="仿宋_GB2312"/>
          <w:sz w:val="30"/>
          <w:szCs w:val="30"/>
          <w:u w:val="none"/>
        </w:rPr>
        <w:t>元</w:t>
      </w:r>
      <w:r>
        <w:rPr>
          <w:rFonts w:hint="eastAsia" w:ascii="仿宋_GB2312" w:hAnsi="仿宋_GB2312" w:eastAsia="仿宋_GB2312" w:cs="仿宋_GB2312"/>
          <w:sz w:val="30"/>
          <w:szCs w:val="30"/>
          <w:u w:val="none"/>
          <w:lang w:eastAsia="zh-CN"/>
        </w:rPr>
        <w:t>已完成，</w:t>
      </w:r>
      <w:r>
        <w:rPr>
          <w:rFonts w:hint="eastAsia" w:ascii="仿宋_GB2312" w:hAnsi="仿宋_GB2312" w:eastAsia="仿宋_GB2312" w:cs="仿宋_GB2312"/>
          <w:sz w:val="30"/>
          <w:szCs w:val="30"/>
          <w:u w:val="none"/>
          <w:lang w:val="en-US" w:eastAsia="zh-CN"/>
        </w:rPr>
        <w:t>2022年</w:t>
      </w:r>
      <w:r>
        <w:rPr>
          <w:rFonts w:hint="eastAsia" w:ascii="仿宋_GB2312" w:hAnsi="仿宋_GB2312" w:eastAsia="仿宋_GB2312" w:cs="仿宋_GB2312"/>
          <w:sz w:val="30"/>
          <w:szCs w:val="30"/>
          <w:u w:val="none"/>
          <w:lang w:eastAsia="zh-CN"/>
        </w:rPr>
        <w:t>不再发生支付</w:t>
      </w:r>
      <w:r>
        <w:rPr>
          <w:rFonts w:hint="eastAsia" w:ascii="仿宋_GB2312" w:hAnsi="仿宋_GB2312" w:eastAsia="仿宋_GB2312" w:cs="仿宋_GB2312"/>
          <w:sz w:val="30"/>
          <w:szCs w:val="30"/>
          <w:u w:val="none"/>
        </w:rPr>
        <w:t>。其中：基本支出38178.89元，占0.65%；项目支出5870808.70元，占99.35%。</w:t>
      </w:r>
    </w:p>
    <w:p>
      <w:pPr>
        <w:spacing w:line="600" w:lineRule="exact"/>
        <w:rPr>
          <w:rFonts w:hint="eastAsia" w:ascii="Times New Roman" w:hAnsi="Times New Roman" w:eastAsia="仿宋_GB2312" w:cs="仿宋_GB2312"/>
          <w:sz w:val="30"/>
          <w:szCs w:val="30"/>
          <w:u w:val="none"/>
          <w:lang w:val="en-US" w:eastAsia="zh-CN"/>
        </w:rPr>
      </w:pPr>
    </w:p>
    <w:p>
      <w:pPr>
        <w:pStyle w:val="3"/>
        <w:spacing w:before="0" w:after="0" w:line="600" w:lineRule="exact"/>
        <w:ind w:firstLine="600" w:firstLineChars="200"/>
        <w:rPr>
          <w:rFonts w:ascii="Times New Roman" w:hAnsi="Times New Roman" w:eastAsia="黑体"/>
          <w:b w:val="0"/>
          <w:sz w:val="30"/>
          <w:szCs w:val="30"/>
          <w:u w:val="none"/>
        </w:rPr>
      </w:pPr>
      <w:bookmarkStart w:id="20" w:name="_Toc1812"/>
      <w:r>
        <w:rPr>
          <w:rFonts w:hint="eastAsia" w:ascii="Times New Roman" w:hAnsi="Times New Roman" w:eastAsia="黑体"/>
          <w:b w:val="0"/>
          <w:sz w:val="30"/>
          <w:szCs w:val="30"/>
          <w:u w:val="none"/>
        </w:rPr>
        <w:t>四、财政拨款收支决算总体情况说明</w:t>
      </w:r>
      <w:bookmarkEnd w:id="20"/>
    </w:p>
    <w:p>
      <w:pPr>
        <w:spacing w:line="600" w:lineRule="exact"/>
        <w:rPr>
          <w:rFonts w:ascii="Times New Roman" w:hAnsi="Times New Roman" w:eastAsia="楷体_GB2312"/>
          <w:b/>
          <w:sz w:val="30"/>
          <w:szCs w:val="30"/>
          <w:u w:val="none"/>
        </w:rPr>
      </w:pPr>
      <w:r>
        <w:rPr>
          <w:rFonts w:hint="eastAsia" w:ascii="Times New Roman" w:hAnsi="Times New Roman" w:eastAsia="仿宋_GB2312"/>
          <w:sz w:val="30"/>
          <w:szCs w:val="30"/>
          <w:u w:val="none"/>
        </w:rPr>
        <w:t xml:space="preserve">    </w:t>
      </w:r>
      <w:r>
        <w:rPr>
          <w:rFonts w:hint="eastAsia" w:ascii="Times New Roman" w:hAnsi="Times New Roman" w:eastAsia="仿宋_GB2312" w:cs="仿宋_GB2312"/>
          <w:sz w:val="30"/>
          <w:szCs w:val="30"/>
          <w:u w:val="none"/>
        </w:rPr>
        <w:t>天津市津南区北闸口镇</w:t>
      </w:r>
      <w:r>
        <w:rPr>
          <w:rFonts w:hint="eastAsia" w:ascii="仿宋_GB2312" w:hAnsi="仿宋_GB2312" w:eastAsia="仿宋_GB2312" w:cs="仿宋_GB2312"/>
          <w:sz w:val="30"/>
          <w:szCs w:val="30"/>
          <w:u w:val="none"/>
        </w:rPr>
        <w:t>农业农村事务服务中心2022年度财政拨款收入、支出决算总计5524987.59元。与2021年度相比，财政拨款收、支总计各减少53379382.45元，下降90.62%，主要原因是</w:t>
      </w:r>
      <w:r>
        <w:rPr>
          <w:rFonts w:hint="eastAsia" w:ascii="仿宋_GB2312" w:hAnsi="仿宋_GB2312" w:eastAsia="仿宋_GB2312" w:cs="仿宋_GB2312"/>
          <w:sz w:val="30"/>
          <w:szCs w:val="30"/>
          <w:u w:val="none"/>
          <w:lang w:val="en-US" w:eastAsia="zh-CN"/>
        </w:rPr>
        <w:t>上年</w:t>
      </w:r>
      <w:r>
        <w:rPr>
          <w:rFonts w:hint="eastAsia" w:ascii="仿宋_GB2312" w:hAnsi="仿宋_GB2312" w:eastAsia="仿宋_GB2312" w:cs="仿宋_GB2312"/>
          <w:sz w:val="30"/>
          <w:szCs w:val="30"/>
          <w:u w:val="none"/>
        </w:rPr>
        <w:t>预算项目土地开发资金（坑塘治理）67406805</w:t>
      </w:r>
      <w:r>
        <w:rPr>
          <w:rFonts w:hint="eastAsia" w:ascii="仿宋_GB2312" w:hAnsi="仿宋_GB2312" w:eastAsia="仿宋_GB2312" w:cs="仿宋_GB2312"/>
          <w:sz w:val="30"/>
          <w:szCs w:val="30"/>
          <w:u w:val="none"/>
          <w:lang w:val="en-US" w:eastAsia="zh-CN"/>
        </w:rPr>
        <w:t>.00</w:t>
      </w:r>
      <w:r>
        <w:rPr>
          <w:rFonts w:hint="eastAsia" w:ascii="仿宋_GB2312" w:hAnsi="仿宋_GB2312" w:eastAsia="仿宋_GB2312" w:cs="仿宋_GB2312"/>
          <w:sz w:val="30"/>
          <w:szCs w:val="30"/>
          <w:u w:val="none"/>
        </w:rPr>
        <w:t>元</w:t>
      </w:r>
      <w:r>
        <w:rPr>
          <w:rFonts w:hint="eastAsia" w:ascii="仿宋_GB2312" w:hAnsi="仿宋_GB2312" w:eastAsia="仿宋_GB2312" w:cs="仿宋_GB2312"/>
          <w:sz w:val="30"/>
          <w:szCs w:val="30"/>
          <w:u w:val="none"/>
          <w:lang w:eastAsia="zh-CN"/>
        </w:rPr>
        <w:t>已完成，</w:t>
      </w:r>
      <w:r>
        <w:rPr>
          <w:rFonts w:hint="eastAsia" w:ascii="仿宋_GB2312" w:hAnsi="仿宋_GB2312" w:eastAsia="仿宋_GB2312" w:cs="仿宋_GB2312"/>
          <w:sz w:val="30"/>
          <w:szCs w:val="30"/>
          <w:u w:val="none"/>
          <w:lang w:val="en-US" w:eastAsia="zh-CN"/>
        </w:rPr>
        <w:t>2022年</w:t>
      </w:r>
      <w:r>
        <w:rPr>
          <w:rFonts w:hint="eastAsia" w:ascii="仿宋_GB2312" w:hAnsi="仿宋_GB2312" w:eastAsia="仿宋_GB2312" w:cs="仿宋_GB2312"/>
          <w:sz w:val="30"/>
          <w:szCs w:val="30"/>
          <w:u w:val="none"/>
          <w:lang w:eastAsia="zh-CN"/>
        </w:rPr>
        <w:t>不再发生支付</w:t>
      </w:r>
      <w:r>
        <w:rPr>
          <w:rFonts w:hint="eastAsia" w:ascii="仿宋_GB2312" w:hAnsi="仿宋_GB2312" w:eastAsia="仿宋_GB2312" w:cs="仿宋_GB2312"/>
          <w:sz w:val="30"/>
          <w:szCs w:val="30"/>
          <w:u w:val="none"/>
        </w:rPr>
        <w:t>。</w:t>
      </w:r>
    </w:p>
    <w:p>
      <w:pPr>
        <w:pStyle w:val="3"/>
        <w:spacing w:before="0" w:after="0" w:line="600" w:lineRule="exact"/>
        <w:ind w:firstLine="600" w:firstLineChars="200"/>
        <w:rPr>
          <w:rFonts w:ascii="Times New Roman" w:hAnsi="Times New Roman" w:eastAsia="黑体"/>
          <w:b w:val="0"/>
          <w:sz w:val="30"/>
          <w:szCs w:val="30"/>
          <w:u w:val="none"/>
        </w:rPr>
      </w:pPr>
      <w:bookmarkStart w:id="21" w:name="_Toc10091"/>
      <w:r>
        <w:rPr>
          <w:rFonts w:ascii="Times New Roman" w:hAnsi="Times New Roman" w:eastAsia="黑体"/>
          <w:b w:val="0"/>
          <w:sz w:val="30"/>
          <w:szCs w:val="30"/>
          <w:u w:val="none"/>
        </w:rPr>
        <w:t>五</w:t>
      </w:r>
      <w:r>
        <w:rPr>
          <w:rFonts w:hint="eastAsia" w:ascii="Times New Roman" w:hAnsi="Times New Roman" w:eastAsia="黑体"/>
          <w:b w:val="0"/>
          <w:sz w:val="30"/>
          <w:szCs w:val="30"/>
          <w:u w:val="none"/>
        </w:rPr>
        <w:t>、</w:t>
      </w:r>
      <w:r>
        <w:rPr>
          <w:rFonts w:ascii="Times New Roman" w:hAnsi="Times New Roman" w:eastAsia="黑体"/>
          <w:b w:val="0"/>
          <w:sz w:val="30"/>
          <w:szCs w:val="30"/>
          <w:u w:val="none"/>
        </w:rPr>
        <w:t>一般公共预算财政拨款支出决算情况</w:t>
      </w:r>
      <w:r>
        <w:rPr>
          <w:rFonts w:hint="eastAsia" w:ascii="Times New Roman" w:hAnsi="Times New Roman" w:eastAsia="黑体"/>
          <w:b w:val="0"/>
          <w:sz w:val="30"/>
          <w:szCs w:val="30"/>
          <w:u w:val="none"/>
        </w:rPr>
        <w:t>说明</w:t>
      </w:r>
      <w:bookmarkEnd w:id="21"/>
    </w:p>
    <w:p>
      <w:pPr>
        <w:spacing w:line="600" w:lineRule="exact"/>
        <w:ind w:left="480" w:leftChars="200"/>
        <w:rPr>
          <w:rFonts w:ascii="Times New Roman" w:hAnsi="Times New Roman" w:eastAsia="楷体" w:cs="仿宋_GB2312"/>
          <w:b/>
          <w:sz w:val="30"/>
          <w:szCs w:val="30"/>
          <w:u w:val="none"/>
        </w:rPr>
      </w:pPr>
      <w:r>
        <w:rPr>
          <w:rFonts w:hint="eastAsia" w:ascii="Times New Roman" w:hAnsi="Times New Roman" w:eastAsia="楷体" w:cs="仿宋_GB2312"/>
          <w:b/>
          <w:sz w:val="30"/>
          <w:szCs w:val="30"/>
          <w:u w:val="none"/>
        </w:rPr>
        <w:t>（一）总体情况</w:t>
      </w:r>
    </w:p>
    <w:p>
      <w:pPr>
        <w:spacing w:line="600" w:lineRule="exact"/>
        <w:ind w:firstLine="600" w:firstLineChars="200"/>
        <w:rPr>
          <w:rFonts w:ascii="Times New Roman" w:hAnsi="Times New Roman" w:eastAsia="仿宋_GB2312"/>
          <w:sz w:val="30"/>
          <w:szCs w:val="30"/>
          <w:u w:val="none"/>
        </w:rPr>
      </w:pPr>
      <w:r>
        <w:rPr>
          <w:rFonts w:hint="eastAsia" w:ascii="Times New Roman" w:hAnsi="Times New Roman" w:eastAsia="仿宋_GB2312" w:cs="仿宋_GB2312"/>
          <w:sz w:val="30"/>
          <w:szCs w:val="30"/>
          <w:u w:val="none"/>
        </w:rPr>
        <w:t>天津市津南</w:t>
      </w:r>
      <w:r>
        <w:rPr>
          <w:rFonts w:hint="eastAsia" w:ascii="仿宋_GB2312" w:hAnsi="仿宋_GB2312" w:eastAsia="仿宋_GB2312" w:cs="仿宋_GB2312"/>
          <w:sz w:val="30"/>
          <w:szCs w:val="30"/>
          <w:u w:val="none"/>
        </w:rPr>
        <w:t>区北闸口镇农业农村事务服务中心2022年度一般公共预算财政拨款支出合计</w:t>
      </w:r>
      <w:r>
        <w:rPr>
          <w:rFonts w:hint="eastAsia" w:ascii="仿宋_GB2312" w:hAnsi="仿宋_GB2312" w:eastAsia="仿宋_GB2312" w:cs="仿宋_GB2312"/>
          <w:sz w:val="30"/>
          <w:szCs w:val="30"/>
          <w:u w:val="none"/>
          <w:lang w:val="en-US" w:eastAsia="zh-CN"/>
        </w:rPr>
        <w:t>4194987.59</w:t>
      </w:r>
      <w:r>
        <w:rPr>
          <w:rFonts w:hint="eastAsia" w:ascii="仿宋_GB2312" w:hAnsi="仿宋_GB2312" w:eastAsia="仿宋_GB2312" w:cs="仿宋_GB2312"/>
          <w:sz w:val="30"/>
          <w:szCs w:val="30"/>
          <w:u w:val="none"/>
        </w:rPr>
        <w:t>元，占本年支出合计的</w:t>
      </w:r>
      <w:r>
        <w:rPr>
          <w:rFonts w:hint="eastAsia" w:ascii="仿宋_GB2312" w:hAnsi="仿宋_GB2312" w:eastAsia="仿宋_GB2312" w:cs="仿宋_GB2312"/>
          <w:sz w:val="30"/>
          <w:szCs w:val="30"/>
          <w:u w:val="none"/>
          <w:lang w:val="en-US" w:eastAsia="zh-CN"/>
        </w:rPr>
        <w:t>70.99</w:t>
      </w:r>
      <w:r>
        <w:rPr>
          <w:rFonts w:hint="eastAsia" w:ascii="仿宋_GB2312" w:hAnsi="仿宋_GB2312" w:eastAsia="仿宋_GB2312" w:cs="仿宋_GB2312"/>
          <w:sz w:val="30"/>
          <w:szCs w:val="30"/>
          <w:u w:val="none"/>
        </w:rPr>
        <w:t>%。与2021年度相比，一般公共预算财政拨款支出减少54709382.45元，下降92.88%，主要原因是</w:t>
      </w:r>
      <w:r>
        <w:rPr>
          <w:rFonts w:hint="eastAsia" w:ascii="仿宋_GB2312" w:hAnsi="仿宋_GB2312" w:eastAsia="仿宋_GB2312" w:cs="仿宋_GB2312"/>
          <w:sz w:val="30"/>
          <w:szCs w:val="30"/>
          <w:u w:val="none"/>
          <w:lang w:val="en-US" w:eastAsia="zh-CN"/>
        </w:rPr>
        <w:t>上年</w:t>
      </w:r>
      <w:r>
        <w:rPr>
          <w:rFonts w:hint="eastAsia" w:ascii="仿宋_GB2312" w:hAnsi="仿宋_GB2312" w:eastAsia="仿宋_GB2312" w:cs="仿宋_GB2312"/>
          <w:sz w:val="30"/>
          <w:szCs w:val="30"/>
          <w:u w:val="none"/>
        </w:rPr>
        <w:t>预算项目土地开发资金（坑塘治理）67406805</w:t>
      </w:r>
      <w:r>
        <w:rPr>
          <w:rFonts w:hint="eastAsia" w:ascii="仿宋_GB2312" w:hAnsi="仿宋_GB2312" w:eastAsia="仿宋_GB2312" w:cs="仿宋_GB2312"/>
          <w:sz w:val="30"/>
          <w:szCs w:val="30"/>
          <w:u w:val="none"/>
          <w:lang w:val="en-US" w:eastAsia="zh-CN"/>
        </w:rPr>
        <w:t>.00</w:t>
      </w:r>
      <w:r>
        <w:rPr>
          <w:rFonts w:hint="eastAsia" w:ascii="仿宋_GB2312" w:hAnsi="仿宋_GB2312" w:eastAsia="仿宋_GB2312" w:cs="仿宋_GB2312"/>
          <w:sz w:val="30"/>
          <w:szCs w:val="30"/>
          <w:u w:val="none"/>
        </w:rPr>
        <w:t>元</w:t>
      </w:r>
      <w:r>
        <w:rPr>
          <w:rFonts w:hint="eastAsia" w:ascii="仿宋_GB2312" w:hAnsi="仿宋_GB2312" w:eastAsia="仿宋_GB2312" w:cs="仿宋_GB2312"/>
          <w:sz w:val="30"/>
          <w:szCs w:val="30"/>
          <w:u w:val="none"/>
          <w:lang w:eastAsia="zh-CN"/>
        </w:rPr>
        <w:t>已完成，</w:t>
      </w:r>
      <w:r>
        <w:rPr>
          <w:rFonts w:hint="eastAsia" w:ascii="仿宋_GB2312" w:hAnsi="仿宋_GB2312" w:eastAsia="仿宋_GB2312" w:cs="仿宋_GB2312"/>
          <w:sz w:val="30"/>
          <w:szCs w:val="30"/>
          <w:u w:val="none"/>
          <w:lang w:val="en-US" w:eastAsia="zh-CN"/>
        </w:rPr>
        <w:t>2022年</w:t>
      </w:r>
      <w:r>
        <w:rPr>
          <w:rFonts w:hint="eastAsia" w:ascii="仿宋_GB2312" w:hAnsi="仿宋_GB2312" w:eastAsia="仿宋_GB2312" w:cs="仿宋_GB2312"/>
          <w:sz w:val="30"/>
          <w:szCs w:val="30"/>
          <w:u w:val="none"/>
          <w:lang w:eastAsia="zh-CN"/>
        </w:rPr>
        <w:t>不再发生支付</w:t>
      </w:r>
      <w:r>
        <w:rPr>
          <w:rFonts w:hint="eastAsia" w:ascii="仿宋_GB2312" w:hAnsi="仿宋_GB2312" w:eastAsia="仿宋_GB2312" w:cs="仿宋_GB2312"/>
          <w:sz w:val="30"/>
          <w:szCs w:val="30"/>
          <w:u w:val="none"/>
        </w:rPr>
        <w:t>。</w:t>
      </w:r>
    </w:p>
    <w:p>
      <w:pPr>
        <w:spacing w:line="600" w:lineRule="exact"/>
        <w:ind w:firstLine="602" w:firstLineChars="200"/>
        <w:rPr>
          <w:rFonts w:ascii="Times New Roman" w:hAnsi="Times New Roman" w:eastAsia="楷体" w:cs="仿宋_GB2312"/>
          <w:b/>
          <w:sz w:val="30"/>
          <w:szCs w:val="30"/>
          <w:u w:val="none"/>
        </w:rPr>
      </w:pPr>
      <w:r>
        <w:rPr>
          <w:rFonts w:hint="eastAsia" w:ascii="Times New Roman" w:hAnsi="Times New Roman" w:eastAsia="楷体" w:cs="仿宋_GB2312"/>
          <w:b/>
          <w:sz w:val="30"/>
          <w:szCs w:val="30"/>
          <w:u w:val="none"/>
        </w:rPr>
        <w:t>（二）支出结构情况</w:t>
      </w:r>
    </w:p>
    <w:p>
      <w:pPr>
        <w:spacing w:line="600" w:lineRule="exact"/>
        <w:ind w:firstLine="645"/>
        <w:jc w:val="both"/>
        <w:rPr>
          <w:rFonts w:hint="eastAsia" w:ascii="仿宋_GB2312" w:hAnsi="仿宋_GB2312" w:eastAsia="仿宋_GB2312" w:cs="仿宋_GB2312"/>
          <w:sz w:val="30"/>
          <w:szCs w:val="30"/>
          <w:u w:val="none"/>
        </w:rPr>
      </w:pPr>
      <w:r>
        <w:rPr>
          <w:rFonts w:hint="eastAsia" w:ascii="仿宋_GB2312" w:hAnsi="仿宋_GB2312" w:eastAsia="仿宋_GB2312" w:cs="仿宋_GB2312"/>
          <w:sz w:val="30"/>
          <w:szCs w:val="30"/>
          <w:u w:val="none"/>
        </w:rPr>
        <w:t>2022年度一般公共预算财政拨款支出4194987.59元，主要用于以下方面：</w:t>
      </w:r>
      <w:r>
        <w:rPr>
          <w:rFonts w:hint="eastAsia" w:ascii="仿宋_GB2312" w:hAnsi="仿宋_GB2312" w:eastAsia="仿宋_GB2312" w:cs="仿宋_GB2312"/>
          <w:sz w:val="30"/>
          <w:szCs w:val="30"/>
          <w:u w:val="none"/>
        </w:rPr>
        <w:br w:type="textWrapping"/>
      </w:r>
      <w:r>
        <w:rPr>
          <w:rFonts w:hint="eastAsia" w:ascii="仿宋_GB2312" w:hAnsi="仿宋_GB2312" w:eastAsia="仿宋_GB2312" w:cs="仿宋_GB2312"/>
          <w:sz w:val="30"/>
          <w:szCs w:val="30"/>
          <w:u w:val="none"/>
        </w:rPr>
        <w:t xml:space="preserve">    一般公共服务支出（类）支出38178.89元，占0.91%；</w:t>
      </w:r>
      <w:r>
        <w:rPr>
          <w:rFonts w:hint="eastAsia" w:ascii="仿宋_GB2312" w:hAnsi="仿宋_GB2312" w:eastAsia="仿宋_GB2312" w:cs="仿宋_GB2312"/>
          <w:sz w:val="30"/>
          <w:szCs w:val="30"/>
          <w:u w:val="none"/>
        </w:rPr>
        <w:br w:type="textWrapping"/>
      </w:r>
      <w:r>
        <w:rPr>
          <w:rFonts w:hint="eastAsia" w:ascii="仿宋_GB2312" w:hAnsi="仿宋_GB2312" w:eastAsia="仿宋_GB2312" w:cs="仿宋_GB2312"/>
          <w:sz w:val="30"/>
          <w:szCs w:val="30"/>
          <w:u w:val="none"/>
        </w:rPr>
        <w:t xml:space="preserve">    城乡社区支出（类）支出831836.20元，占19.83%；</w:t>
      </w:r>
      <w:r>
        <w:rPr>
          <w:rFonts w:hint="eastAsia" w:ascii="仿宋_GB2312" w:hAnsi="仿宋_GB2312" w:eastAsia="仿宋_GB2312" w:cs="仿宋_GB2312"/>
          <w:sz w:val="30"/>
          <w:szCs w:val="30"/>
          <w:u w:val="none"/>
        </w:rPr>
        <w:br w:type="textWrapping"/>
      </w:r>
      <w:r>
        <w:rPr>
          <w:rFonts w:hint="eastAsia" w:ascii="仿宋_GB2312" w:hAnsi="仿宋_GB2312" w:eastAsia="仿宋_GB2312" w:cs="仿宋_GB2312"/>
          <w:sz w:val="30"/>
          <w:szCs w:val="30"/>
          <w:u w:val="none"/>
        </w:rPr>
        <w:t xml:space="preserve">    农林水支出（类）支出3324972.50元，占79.26%。</w:t>
      </w:r>
    </w:p>
    <w:p>
      <w:pPr>
        <w:numPr>
          <w:ilvl w:val="0"/>
          <w:numId w:val="2"/>
        </w:numPr>
        <w:spacing w:line="600" w:lineRule="exact"/>
        <w:ind w:firstLine="602" w:firstLineChars="200"/>
        <w:rPr>
          <w:rFonts w:ascii="Times New Roman" w:hAnsi="Times New Roman" w:eastAsia="楷体" w:cs="仿宋_GB2312"/>
          <w:b/>
          <w:sz w:val="30"/>
          <w:szCs w:val="30"/>
          <w:u w:val="none"/>
        </w:rPr>
      </w:pPr>
      <w:r>
        <w:rPr>
          <w:rFonts w:ascii="Times New Roman" w:hAnsi="Times New Roman" w:eastAsia="楷体" w:cs="仿宋_GB2312"/>
          <w:b/>
          <w:sz w:val="30"/>
          <w:szCs w:val="30"/>
          <w:u w:val="none"/>
        </w:rPr>
        <w:t>具体情况</w:t>
      </w:r>
    </w:p>
    <w:p>
      <w:pPr>
        <w:spacing w:line="600" w:lineRule="exact"/>
        <w:ind w:firstLine="645"/>
        <w:jc w:val="both"/>
        <w:rPr>
          <w:rFonts w:hint="eastAsia" w:ascii="仿宋_GB2312" w:hAnsi="仿宋_GB2312" w:eastAsia="仿宋_GB2312" w:cs="仿宋_GB2312"/>
          <w:sz w:val="30"/>
          <w:szCs w:val="30"/>
          <w:u w:val="none"/>
          <w:lang w:val="en-US" w:eastAsia="zh-CN"/>
        </w:rPr>
      </w:pPr>
      <w:r>
        <w:rPr>
          <w:rFonts w:hint="eastAsia" w:ascii="仿宋_GB2312" w:hAnsi="仿宋_GB2312" w:eastAsia="仿宋_GB2312" w:cs="仿宋_GB2312"/>
          <w:sz w:val="30"/>
          <w:szCs w:val="30"/>
          <w:u w:val="none"/>
        </w:rPr>
        <w:t>2022年度一般公共预算财政拨款支出年初预算为16538896.00元，支出决算为4194987.59元，完成年初预算的25.36%。其中：</w:t>
      </w:r>
      <w:r>
        <w:rPr>
          <w:rFonts w:hint="eastAsia" w:ascii="仿宋_GB2312" w:hAnsi="仿宋_GB2312" w:eastAsia="仿宋_GB2312" w:cs="仿宋_GB2312"/>
          <w:sz w:val="30"/>
          <w:szCs w:val="30"/>
          <w:u w:val="none"/>
        </w:rPr>
        <w:br w:type="textWrapping"/>
      </w:r>
      <w:r>
        <w:rPr>
          <w:rFonts w:hint="eastAsia" w:ascii="仿宋_GB2312" w:hAnsi="仿宋_GB2312" w:eastAsia="仿宋_GB2312" w:cs="仿宋_GB2312"/>
          <w:sz w:val="30"/>
          <w:szCs w:val="30"/>
          <w:u w:val="none"/>
        </w:rPr>
        <w:t xml:space="preserve">    一般公共服务支出（类）政府办公厅（室）及相关机构事务（款）事业运行（项）年初预算为</w:t>
      </w:r>
      <w:r>
        <w:rPr>
          <w:rFonts w:hint="eastAsia" w:ascii="仿宋_GB2312" w:hAnsi="仿宋_GB2312" w:eastAsia="仿宋_GB2312" w:cs="仿宋_GB2312"/>
          <w:sz w:val="30"/>
          <w:szCs w:val="30"/>
          <w:u w:val="none"/>
          <w:lang w:val="en-US" w:eastAsia="zh-CN"/>
        </w:rPr>
        <w:t>82000.00</w:t>
      </w:r>
      <w:r>
        <w:rPr>
          <w:rFonts w:hint="eastAsia" w:ascii="仿宋_GB2312" w:hAnsi="仿宋_GB2312" w:eastAsia="仿宋_GB2312" w:cs="仿宋_GB2312"/>
          <w:sz w:val="30"/>
          <w:szCs w:val="30"/>
          <w:u w:val="none"/>
        </w:rPr>
        <w:t>元，支出决算为38178.89元，完成年初预算数的</w:t>
      </w:r>
      <w:r>
        <w:rPr>
          <w:rFonts w:hint="eastAsia" w:ascii="仿宋_GB2312" w:hAnsi="仿宋_GB2312" w:eastAsia="仿宋_GB2312" w:cs="仿宋_GB2312"/>
          <w:sz w:val="30"/>
          <w:szCs w:val="30"/>
          <w:u w:val="none"/>
          <w:lang w:val="en-US" w:eastAsia="zh-CN"/>
        </w:rPr>
        <w:t>46.56</w:t>
      </w:r>
      <w:r>
        <w:rPr>
          <w:rFonts w:hint="eastAsia" w:ascii="仿宋_GB2312" w:hAnsi="仿宋_GB2312" w:eastAsia="仿宋_GB2312" w:cs="仿宋_GB2312"/>
          <w:sz w:val="30"/>
          <w:szCs w:val="30"/>
          <w:u w:val="none"/>
        </w:rPr>
        <w:t>%，决算数小于年初预算数的主要原因是</w:t>
      </w:r>
      <w:r>
        <w:rPr>
          <w:rFonts w:hint="eastAsia" w:ascii="仿宋_GB2312" w:hAnsi="仿宋_GB2312" w:eastAsia="仿宋_GB2312" w:cs="仿宋_GB2312"/>
          <w:sz w:val="30"/>
          <w:szCs w:val="30"/>
          <w:u w:val="none"/>
          <w:lang w:eastAsia="zh-CN"/>
        </w:rPr>
        <w:t>部门整体缩减开支</w:t>
      </w:r>
      <w:r>
        <w:rPr>
          <w:rFonts w:hint="eastAsia" w:ascii="仿宋_GB2312" w:hAnsi="仿宋_GB2312" w:eastAsia="仿宋_GB2312" w:cs="仿宋_GB2312"/>
          <w:sz w:val="30"/>
          <w:szCs w:val="30"/>
          <w:u w:val="none"/>
        </w:rPr>
        <w:t>。</w:t>
      </w:r>
      <w:r>
        <w:rPr>
          <w:rFonts w:hint="eastAsia" w:ascii="仿宋_GB2312" w:hAnsi="仿宋_GB2312" w:eastAsia="仿宋_GB2312" w:cs="仿宋_GB2312"/>
          <w:sz w:val="30"/>
          <w:szCs w:val="30"/>
          <w:u w:val="none"/>
        </w:rPr>
        <w:br w:type="textWrapping"/>
      </w:r>
      <w:r>
        <w:rPr>
          <w:rFonts w:hint="eastAsia" w:ascii="仿宋_GB2312" w:hAnsi="仿宋_GB2312" w:eastAsia="仿宋_GB2312" w:cs="仿宋_GB2312"/>
          <w:sz w:val="30"/>
          <w:szCs w:val="30"/>
          <w:u w:val="none"/>
        </w:rPr>
        <w:t xml:space="preserve">    城乡社区支出（类）城乡社区环境卫生（款）城乡社区环境卫生（项）年初预算为</w:t>
      </w:r>
      <w:r>
        <w:rPr>
          <w:rFonts w:hint="eastAsia" w:ascii="仿宋_GB2312" w:hAnsi="仿宋_GB2312" w:eastAsia="仿宋_GB2312" w:cs="仿宋_GB2312"/>
          <w:sz w:val="30"/>
          <w:szCs w:val="30"/>
          <w:u w:val="none"/>
          <w:lang w:val="en-US" w:eastAsia="zh-CN"/>
        </w:rPr>
        <w:t>4880000.00</w:t>
      </w:r>
      <w:r>
        <w:rPr>
          <w:rFonts w:hint="eastAsia" w:ascii="仿宋_GB2312" w:hAnsi="仿宋_GB2312" w:eastAsia="仿宋_GB2312" w:cs="仿宋_GB2312"/>
          <w:sz w:val="30"/>
          <w:szCs w:val="30"/>
          <w:u w:val="none"/>
        </w:rPr>
        <w:t>元，支出决算为693747.00元，完成年初预算数的</w:t>
      </w:r>
      <w:r>
        <w:rPr>
          <w:rFonts w:hint="eastAsia" w:ascii="仿宋_GB2312" w:hAnsi="仿宋_GB2312" w:eastAsia="仿宋_GB2312" w:cs="仿宋_GB2312"/>
          <w:sz w:val="30"/>
          <w:szCs w:val="30"/>
          <w:u w:val="none"/>
          <w:lang w:val="en-US" w:eastAsia="zh-CN"/>
        </w:rPr>
        <w:t>14.22</w:t>
      </w:r>
      <w:r>
        <w:rPr>
          <w:rFonts w:hint="eastAsia" w:ascii="仿宋_GB2312" w:hAnsi="仿宋_GB2312" w:eastAsia="仿宋_GB2312" w:cs="仿宋_GB2312"/>
          <w:sz w:val="30"/>
          <w:szCs w:val="30"/>
          <w:u w:val="none"/>
        </w:rPr>
        <w:t>%，决算数小于年初预算数的主要原因是</w:t>
      </w:r>
      <w:r>
        <w:rPr>
          <w:rFonts w:hint="eastAsia" w:ascii="仿宋_GB2312" w:hAnsi="仿宋_GB2312" w:eastAsia="仿宋_GB2312" w:cs="仿宋_GB2312"/>
          <w:sz w:val="30"/>
          <w:szCs w:val="30"/>
          <w:u w:val="none"/>
          <w:lang w:eastAsia="zh-CN"/>
        </w:rPr>
        <w:t>按实际发生支付，部门整体缩减开支</w:t>
      </w:r>
      <w:r>
        <w:rPr>
          <w:rFonts w:hint="eastAsia" w:ascii="仿宋_GB2312" w:hAnsi="仿宋_GB2312" w:eastAsia="仿宋_GB2312" w:cs="仿宋_GB2312"/>
          <w:sz w:val="30"/>
          <w:szCs w:val="30"/>
          <w:u w:val="none"/>
        </w:rPr>
        <w:t>。</w:t>
      </w:r>
      <w:r>
        <w:rPr>
          <w:rFonts w:hint="eastAsia" w:ascii="仿宋_GB2312" w:hAnsi="仿宋_GB2312" w:eastAsia="仿宋_GB2312" w:cs="仿宋_GB2312"/>
          <w:sz w:val="30"/>
          <w:szCs w:val="30"/>
          <w:u w:val="none"/>
        </w:rPr>
        <w:br w:type="textWrapping"/>
      </w:r>
      <w:r>
        <w:rPr>
          <w:rFonts w:hint="eastAsia" w:ascii="仿宋_GB2312" w:hAnsi="仿宋_GB2312" w:eastAsia="仿宋_GB2312" w:cs="仿宋_GB2312"/>
          <w:sz w:val="30"/>
          <w:szCs w:val="30"/>
          <w:u w:val="none"/>
        </w:rPr>
        <w:t xml:space="preserve">    城乡社区支出（类）其他城乡社区支出（款）其他城乡社区支出（项）年初预算为</w:t>
      </w:r>
      <w:r>
        <w:rPr>
          <w:rFonts w:hint="eastAsia" w:ascii="仿宋_GB2312" w:hAnsi="仿宋_GB2312" w:eastAsia="仿宋_GB2312" w:cs="仿宋_GB2312"/>
          <w:sz w:val="30"/>
          <w:szCs w:val="30"/>
          <w:u w:val="none"/>
          <w:lang w:val="en-US" w:eastAsia="zh-CN"/>
        </w:rPr>
        <w:t>183500.00</w:t>
      </w:r>
      <w:r>
        <w:rPr>
          <w:rFonts w:hint="eastAsia" w:ascii="仿宋_GB2312" w:hAnsi="仿宋_GB2312" w:eastAsia="仿宋_GB2312" w:cs="仿宋_GB2312"/>
          <w:sz w:val="30"/>
          <w:szCs w:val="30"/>
          <w:u w:val="none"/>
        </w:rPr>
        <w:t>元，支出决算为138089.20元，完成年初预算数的</w:t>
      </w:r>
      <w:r>
        <w:rPr>
          <w:rFonts w:hint="eastAsia" w:ascii="仿宋_GB2312" w:hAnsi="仿宋_GB2312" w:eastAsia="仿宋_GB2312" w:cs="仿宋_GB2312"/>
          <w:sz w:val="30"/>
          <w:szCs w:val="30"/>
          <w:u w:val="none"/>
          <w:lang w:val="en-US" w:eastAsia="zh-CN"/>
        </w:rPr>
        <w:t>75.25</w:t>
      </w:r>
      <w:r>
        <w:rPr>
          <w:rFonts w:hint="eastAsia" w:ascii="仿宋_GB2312" w:hAnsi="仿宋_GB2312" w:eastAsia="仿宋_GB2312" w:cs="仿宋_GB2312"/>
          <w:sz w:val="30"/>
          <w:szCs w:val="30"/>
          <w:u w:val="none"/>
        </w:rPr>
        <w:t>%，决算数小于年初预算数的主要原因是</w:t>
      </w:r>
      <w:r>
        <w:rPr>
          <w:rFonts w:hint="eastAsia" w:ascii="仿宋_GB2312" w:hAnsi="仿宋_GB2312" w:eastAsia="仿宋_GB2312" w:cs="仿宋_GB2312"/>
          <w:sz w:val="30"/>
          <w:szCs w:val="30"/>
          <w:u w:val="none"/>
          <w:lang w:eastAsia="zh-CN"/>
        </w:rPr>
        <w:t>按实际发生支付，部门整体缩减开支</w:t>
      </w:r>
      <w:r>
        <w:rPr>
          <w:rFonts w:hint="eastAsia" w:ascii="仿宋_GB2312" w:hAnsi="仿宋_GB2312" w:eastAsia="仿宋_GB2312" w:cs="仿宋_GB2312"/>
          <w:sz w:val="30"/>
          <w:szCs w:val="30"/>
          <w:u w:val="none"/>
        </w:rPr>
        <w:t>。</w:t>
      </w:r>
      <w:r>
        <w:rPr>
          <w:rFonts w:hint="eastAsia" w:ascii="仿宋_GB2312" w:hAnsi="仿宋_GB2312" w:eastAsia="仿宋_GB2312" w:cs="仿宋_GB2312"/>
          <w:sz w:val="30"/>
          <w:szCs w:val="30"/>
          <w:u w:val="none"/>
        </w:rPr>
        <w:br w:type="textWrapping"/>
      </w:r>
      <w:r>
        <w:rPr>
          <w:rFonts w:hint="eastAsia" w:ascii="仿宋_GB2312" w:hAnsi="仿宋_GB2312" w:eastAsia="仿宋_GB2312" w:cs="仿宋_GB2312"/>
          <w:sz w:val="30"/>
          <w:szCs w:val="30"/>
          <w:u w:val="none"/>
        </w:rPr>
        <w:t xml:space="preserve">    农林水支出（类）农业农村（款）事业运行（项）年初预算为</w:t>
      </w:r>
      <w:r>
        <w:rPr>
          <w:rFonts w:hint="eastAsia" w:ascii="仿宋_GB2312" w:hAnsi="仿宋_GB2312" w:eastAsia="仿宋_GB2312" w:cs="仿宋_GB2312"/>
          <w:sz w:val="30"/>
          <w:szCs w:val="30"/>
          <w:u w:val="none"/>
          <w:lang w:val="en-US" w:eastAsia="zh-CN"/>
        </w:rPr>
        <w:t>4140000.00</w:t>
      </w:r>
      <w:r>
        <w:rPr>
          <w:rFonts w:hint="eastAsia" w:ascii="仿宋_GB2312" w:hAnsi="仿宋_GB2312" w:eastAsia="仿宋_GB2312" w:cs="仿宋_GB2312"/>
          <w:sz w:val="30"/>
          <w:szCs w:val="30"/>
          <w:u w:val="none"/>
        </w:rPr>
        <w:t>元，支出决算为1380971.00元，完成年初预算数的</w:t>
      </w:r>
      <w:r>
        <w:rPr>
          <w:rFonts w:hint="eastAsia" w:ascii="仿宋_GB2312" w:hAnsi="仿宋_GB2312" w:eastAsia="仿宋_GB2312" w:cs="仿宋_GB2312"/>
          <w:sz w:val="30"/>
          <w:szCs w:val="30"/>
          <w:u w:val="none"/>
          <w:lang w:val="en-US" w:eastAsia="zh-CN"/>
        </w:rPr>
        <w:t>33.36</w:t>
      </w:r>
      <w:r>
        <w:rPr>
          <w:rFonts w:hint="eastAsia" w:ascii="仿宋_GB2312" w:hAnsi="仿宋_GB2312" w:eastAsia="仿宋_GB2312" w:cs="仿宋_GB2312"/>
          <w:sz w:val="30"/>
          <w:szCs w:val="30"/>
          <w:u w:val="none"/>
        </w:rPr>
        <w:t>%，决算数小于年初预算数的主要原因是</w:t>
      </w:r>
      <w:r>
        <w:rPr>
          <w:rFonts w:hint="eastAsia" w:ascii="仿宋_GB2312" w:hAnsi="仿宋_GB2312" w:eastAsia="仿宋_GB2312" w:cs="仿宋_GB2312"/>
          <w:sz w:val="30"/>
          <w:szCs w:val="30"/>
          <w:u w:val="none"/>
          <w:lang w:eastAsia="zh-CN"/>
        </w:rPr>
        <w:t>按实际发生支付，部门整体缩减开支</w:t>
      </w:r>
      <w:r>
        <w:rPr>
          <w:rFonts w:hint="eastAsia" w:ascii="仿宋_GB2312" w:hAnsi="仿宋_GB2312" w:eastAsia="仿宋_GB2312" w:cs="仿宋_GB2312"/>
          <w:sz w:val="30"/>
          <w:szCs w:val="30"/>
          <w:u w:val="none"/>
        </w:rPr>
        <w:t>。</w:t>
      </w:r>
      <w:r>
        <w:rPr>
          <w:rFonts w:hint="eastAsia" w:ascii="仿宋_GB2312" w:hAnsi="仿宋_GB2312" w:eastAsia="仿宋_GB2312" w:cs="仿宋_GB2312"/>
          <w:sz w:val="30"/>
          <w:szCs w:val="30"/>
          <w:u w:val="none"/>
        </w:rPr>
        <w:br w:type="textWrapping"/>
      </w:r>
      <w:r>
        <w:rPr>
          <w:rFonts w:hint="eastAsia" w:ascii="仿宋_GB2312" w:hAnsi="仿宋_GB2312" w:eastAsia="仿宋_GB2312" w:cs="仿宋_GB2312"/>
          <w:sz w:val="30"/>
          <w:szCs w:val="30"/>
          <w:u w:val="none"/>
        </w:rPr>
        <w:t xml:space="preserve">    农林水支出（类）农业农村（款）农垦运行（项）年初预算为</w:t>
      </w:r>
      <w:r>
        <w:rPr>
          <w:rFonts w:hint="eastAsia" w:ascii="仿宋_GB2312" w:hAnsi="仿宋_GB2312" w:eastAsia="仿宋_GB2312" w:cs="仿宋_GB2312"/>
          <w:sz w:val="30"/>
          <w:szCs w:val="30"/>
          <w:u w:val="none"/>
          <w:lang w:val="en-US" w:eastAsia="zh-CN"/>
        </w:rPr>
        <w:t>1500000.00</w:t>
      </w:r>
      <w:r>
        <w:rPr>
          <w:rFonts w:hint="eastAsia" w:ascii="仿宋_GB2312" w:hAnsi="仿宋_GB2312" w:eastAsia="仿宋_GB2312" w:cs="仿宋_GB2312"/>
          <w:sz w:val="30"/>
          <w:szCs w:val="30"/>
          <w:u w:val="none"/>
        </w:rPr>
        <w:t>元，支出决算为803212.00元，完成年初预算数的</w:t>
      </w:r>
      <w:r>
        <w:rPr>
          <w:rFonts w:hint="eastAsia" w:ascii="仿宋_GB2312" w:hAnsi="仿宋_GB2312" w:eastAsia="仿宋_GB2312" w:cs="仿宋_GB2312"/>
          <w:sz w:val="30"/>
          <w:szCs w:val="30"/>
          <w:u w:val="none"/>
          <w:lang w:val="en-US" w:eastAsia="zh-CN"/>
        </w:rPr>
        <w:t>53.55</w:t>
      </w:r>
      <w:r>
        <w:rPr>
          <w:rFonts w:hint="eastAsia" w:ascii="仿宋_GB2312" w:hAnsi="仿宋_GB2312" w:eastAsia="仿宋_GB2312" w:cs="仿宋_GB2312"/>
          <w:sz w:val="30"/>
          <w:szCs w:val="30"/>
          <w:u w:val="none"/>
        </w:rPr>
        <w:t>%，决算数小于年初预算数的主要原因是</w:t>
      </w:r>
      <w:r>
        <w:rPr>
          <w:rFonts w:hint="eastAsia" w:ascii="仿宋_GB2312" w:hAnsi="仿宋_GB2312" w:eastAsia="仿宋_GB2312" w:cs="仿宋_GB2312"/>
          <w:sz w:val="30"/>
          <w:szCs w:val="30"/>
          <w:u w:val="none"/>
          <w:lang w:eastAsia="zh-CN"/>
        </w:rPr>
        <w:t>按实际发生支付，部门整体缩减开支</w:t>
      </w:r>
      <w:r>
        <w:rPr>
          <w:rFonts w:hint="eastAsia" w:ascii="仿宋_GB2312" w:hAnsi="仿宋_GB2312" w:eastAsia="仿宋_GB2312" w:cs="仿宋_GB2312"/>
          <w:sz w:val="30"/>
          <w:szCs w:val="30"/>
          <w:u w:val="none"/>
        </w:rPr>
        <w:t>。</w:t>
      </w:r>
      <w:r>
        <w:rPr>
          <w:rFonts w:hint="eastAsia" w:ascii="仿宋_GB2312" w:hAnsi="仿宋_GB2312" w:eastAsia="仿宋_GB2312" w:cs="仿宋_GB2312"/>
          <w:sz w:val="30"/>
          <w:szCs w:val="30"/>
          <w:u w:val="none"/>
        </w:rPr>
        <w:br w:type="textWrapping"/>
      </w:r>
      <w:r>
        <w:rPr>
          <w:rFonts w:hint="eastAsia" w:ascii="仿宋_GB2312" w:hAnsi="仿宋_GB2312" w:eastAsia="仿宋_GB2312" w:cs="仿宋_GB2312"/>
          <w:sz w:val="30"/>
          <w:szCs w:val="30"/>
          <w:u w:val="none"/>
        </w:rPr>
        <w:t xml:space="preserve">    农林水支出（类）农业农村（款）农业资源保护修复与利用（项）年初预算为</w:t>
      </w:r>
      <w:r>
        <w:rPr>
          <w:rFonts w:hint="eastAsia" w:ascii="仿宋_GB2312" w:hAnsi="仿宋_GB2312" w:eastAsia="仿宋_GB2312" w:cs="仿宋_GB2312"/>
          <w:sz w:val="30"/>
          <w:szCs w:val="30"/>
          <w:u w:val="none"/>
          <w:lang w:val="en-US" w:eastAsia="zh-CN"/>
        </w:rPr>
        <w:t>148000.00</w:t>
      </w:r>
      <w:r>
        <w:rPr>
          <w:rFonts w:hint="eastAsia" w:ascii="仿宋_GB2312" w:hAnsi="仿宋_GB2312" w:eastAsia="仿宋_GB2312" w:cs="仿宋_GB2312"/>
          <w:sz w:val="30"/>
          <w:szCs w:val="30"/>
          <w:u w:val="none"/>
        </w:rPr>
        <w:t>元，支出决算为130189.50元，完成年初预算数的</w:t>
      </w:r>
      <w:r>
        <w:rPr>
          <w:rFonts w:hint="eastAsia" w:ascii="仿宋_GB2312" w:hAnsi="仿宋_GB2312" w:eastAsia="仿宋_GB2312" w:cs="仿宋_GB2312"/>
          <w:sz w:val="30"/>
          <w:szCs w:val="30"/>
          <w:u w:val="none"/>
          <w:lang w:val="en-US" w:eastAsia="zh-CN"/>
        </w:rPr>
        <w:t>87.97</w:t>
      </w:r>
      <w:r>
        <w:rPr>
          <w:rFonts w:hint="eastAsia" w:ascii="仿宋_GB2312" w:hAnsi="仿宋_GB2312" w:eastAsia="仿宋_GB2312" w:cs="仿宋_GB2312"/>
          <w:sz w:val="30"/>
          <w:szCs w:val="30"/>
          <w:u w:val="none"/>
        </w:rPr>
        <w:t>%，决算数小于年初预算数的主要原因是</w:t>
      </w:r>
      <w:r>
        <w:rPr>
          <w:rFonts w:hint="eastAsia" w:ascii="仿宋_GB2312" w:hAnsi="仿宋_GB2312" w:eastAsia="仿宋_GB2312" w:cs="仿宋_GB2312"/>
          <w:sz w:val="30"/>
          <w:szCs w:val="30"/>
          <w:u w:val="none"/>
          <w:lang w:eastAsia="zh-CN"/>
        </w:rPr>
        <w:t>秸秆补贴的发放要根据当年实际秸秆面积进行发放</w:t>
      </w:r>
      <w:r>
        <w:rPr>
          <w:rFonts w:hint="eastAsia" w:ascii="仿宋_GB2312" w:hAnsi="仿宋_GB2312" w:eastAsia="仿宋_GB2312" w:cs="仿宋_GB2312"/>
          <w:sz w:val="30"/>
          <w:szCs w:val="30"/>
          <w:u w:val="none"/>
        </w:rPr>
        <w:t>。</w:t>
      </w:r>
      <w:r>
        <w:rPr>
          <w:rFonts w:hint="eastAsia" w:ascii="仿宋_GB2312" w:hAnsi="仿宋_GB2312" w:eastAsia="仿宋_GB2312" w:cs="仿宋_GB2312"/>
          <w:sz w:val="30"/>
          <w:szCs w:val="30"/>
          <w:u w:val="none"/>
        </w:rPr>
        <w:br w:type="textWrapping"/>
      </w:r>
      <w:r>
        <w:rPr>
          <w:rFonts w:hint="eastAsia" w:ascii="仿宋_GB2312" w:hAnsi="仿宋_GB2312" w:eastAsia="仿宋_GB2312" w:cs="仿宋_GB2312"/>
          <w:sz w:val="30"/>
          <w:szCs w:val="30"/>
          <w:u w:val="none"/>
        </w:rPr>
        <w:t xml:space="preserve">    农林水支出（类）农业农村（款）其他农业农村支出（项）年初预算为</w:t>
      </w:r>
      <w:r>
        <w:rPr>
          <w:rFonts w:hint="eastAsia" w:ascii="仿宋_GB2312" w:hAnsi="仿宋_GB2312" w:eastAsia="仿宋_GB2312" w:cs="仿宋_GB2312"/>
          <w:sz w:val="30"/>
          <w:szCs w:val="30"/>
          <w:u w:val="none"/>
          <w:lang w:val="en-US" w:eastAsia="zh-CN"/>
        </w:rPr>
        <w:t>61900.00</w:t>
      </w:r>
      <w:r>
        <w:rPr>
          <w:rFonts w:hint="eastAsia" w:ascii="仿宋_GB2312" w:hAnsi="仿宋_GB2312" w:eastAsia="仿宋_GB2312" w:cs="仿宋_GB2312"/>
          <w:sz w:val="30"/>
          <w:szCs w:val="30"/>
          <w:u w:val="none"/>
        </w:rPr>
        <w:t>元，支出决算为15000.00元，完成年初预算数的</w:t>
      </w:r>
      <w:r>
        <w:rPr>
          <w:rFonts w:hint="eastAsia" w:ascii="仿宋_GB2312" w:hAnsi="仿宋_GB2312" w:eastAsia="仿宋_GB2312" w:cs="仿宋_GB2312"/>
          <w:sz w:val="30"/>
          <w:szCs w:val="30"/>
          <w:u w:val="none"/>
          <w:lang w:val="en-US" w:eastAsia="zh-CN"/>
        </w:rPr>
        <w:t>24.23</w:t>
      </w:r>
      <w:r>
        <w:rPr>
          <w:rFonts w:hint="eastAsia" w:ascii="仿宋_GB2312" w:hAnsi="仿宋_GB2312" w:eastAsia="仿宋_GB2312" w:cs="仿宋_GB2312"/>
          <w:sz w:val="30"/>
          <w:szCs w:val="30"/>
          <w:u w:val="none"/>
        </w:rPr>
        <w:t>%，决算数小于年初预算数的主要原因是</w:t>
      </w:r>
      <w:r>
        <w:rPr>
          <w:rFonts w:hint="eastAsia" w:ascii="仿宋_GB2312" w:hAnsi="仿宋_GB2312" w:eastAsia="仿宋_GB2312" w:cs="仿宋_GB2312"/>
          <w:sz w:val="30"/>
          <w:szCs w:val="30"/>
          <w:u w:val="none"/>
          <w:lang w:eastAsia="zh-CN"/>
        </w:rPr>
        <w:t>按实际发生支付，部门整体缩减开支</w:t>
      </w:r>
      <w:r>
        <w:rPr>
          <w:rFonts w:hint="eastAsia" w:ascii="仿宋_GB2312" w:hAnsi="仿宋_GB2312" w:eastAsia="仿宋_GB2312" w:cs="仿宋_GB2312"/>
          <w:sz w:val="30"/>
          <w:szCs w:val="30"/>
          <w:u w:val="none"/>
        </w:rPr>
        <w:t>。</w:t>
      </w:r>
      <w:r>
        <w:rPr>
          <w:rFonts w:hint="eastAsia" w:ascii="仿宋_GB2312" w:hAnsi="仿宋_GB2312" w:eastAsia="仿宋_GB2312" w:cs="仿宋_GB2312"/>
          <w:sz w:val="30"/>
          <w:szCs w:val="30"/>
          <w:u w:val="none"/>
        </w:rPr>
        <w:br w:type="textWrapping"/>
      </w:r>
      <w:r>
        <w:rPr>
          <w:rFonts w:hint="eastAsia" w:ascii="仿宋_GB2312" w:hAnsi="仿宋_GB2312" w:eastAsia="仿宋_GB2312" w:cs="仿宋_GB2312"/>
          <w:sz w:val="30"/>
          <w:szCs w:val="30"/>
          <w:u w:val="none"/>
        </w:rPr>
        <w:t xml:space="preserve">    农林水支出（类）水利（款）其他水利支出（项）年初预算为</w:t>
      </w:r>
      <w:r>
        <w:rPr>
          <w:rFonts w:hint="eastAsia" w:ascii="仿宋_GB2312" w:hAnsi="仿宋_GB2312" w:eastAsia="仿宋_GB2312" w:cs="仿宋_GB2312"/>
          <w:sz w:val="30"/>
          <w:szCs w:val="30"/>
          <w:u w:val="none"/>
          <w:lang w:val="en-US" w:eastAsia="zh-CN"/>
        </w:rPr>
        <w:t>391200.00</w:t>
      </w:r>
      <w:r>
        <w:rPr>
          <w:rFonts w:hint="eastAsia" w:ascii="仿宋_GB2312" w:hAnsi="仿宋_GB2312" w:eastAsia="仿宋_GB2312" w:cs="仿宋_GB2312"/>
          <w:sz w:val="30"/>
          <w:szCs w:val="30"/>
          <w:u w:val="none"/>
        </w:rPr>
        <w:t>元，支出决算为195600.00元，完成年初预算数的</w:t>
      </w:r>
      <w:r>
        <w:rPr>
          <w:rFonts w:hint="eastAsia" w:ascii="仿宋_GB2312" w:hAnsi="仿宋_GB2312" w:eastAsia="仿宋_GB2312" w:cs="仿宋_GB2312"/>
          <w:sz w:val="30"/>
          <w:szCs w:val="30"/>
          <w:u w:val="none"/>
          <w:lang w:val="en-US" w:eastAsia="zh-CN"/>
        </w:rPr>
        <w:t>50</w:t>
      </w:r>
      <w:r>
        <w:rPr>
          <w:rFonts w:hint="eastAsia" w:ascii="仿宋_GB2312" w:hAnsi="仿宋_GB2312" w:eastAsia="仿宋_GB2312" w:cs="仿宋_GB2312"/>
          <w:sz w:val="30"/>
          <w:szCs w:val="30"/>
          <w:u w:val="none"/>
        </w:rPr>
        <w:t>%，决算数小于年初预算数的主要原因是</w:t>
      </w:r>
      <w:r>
        <w:rPr>
          <w:rFonts w:hint="eastAsia" w:ascii="仿宋_GB2312" w:hAnsi="仿宋_GB2312" w:eastAsia="仿宋_GB2312" w:cs="仿宋_GB2312"/>
          <w:sz w:val="30"/>
          <w:szCs w:val="30"/>
          <w:u w:val="none"/>
          <w:lang w:eastAsia="zh-CN"/>
        </w:rPr>
        <w:t>预算项目</w:t>
      </w:r>
      <w:r>
        <w:rPr>
          <w:rFonts w:hint="eastAsia" w:ascii="仿宋_GB2312" w:hAnsi="仿宋_GB2312" w:eastAsia="仿宋_GB2312" w:cs="仿宋_GB2312"/>
          <w:sz w:val="30"/>
          <w:szCs w:val="30"/>
          <w:u w:val="none"/>
        </w:rPr>
        <w:t>2021年第4季度-2022年1-3季度河（湖）长制以奖代补资金（二级以上河道）（区级）</w:t>
      </w:r>
      <w:r>
        <w:rPr>
          <w:rFonts w:hint="eastAsia" w:ascii="仿宋_GB2312" w:hAnsi="仿宋_GB2312" w:eastAsia="仿宋_GB2312" w:cs="仿宋_GB2312"/>
          <w:sz w:val="30"/>
          <w:szCs w:val="30"/>
          <w:u w:val="none"/>
          <w:lang w:val="en-US" w:eastAsia="zh-CN"/>
        </w:rPr>
        <w:t>2022年剩余部分结转至2023年继续发放</w:t>
      </w:r>
      <w:r>
        <w:rPr>
          <w:rFonts w:hint="eastAsia" w:ascii="仿宋_GB2312" w:hAnsi="仿宋_GB2312" w:eastAsia="仿宋_GB2312" w:cs="仿宋_GB2312"/>
          <w:sz w:val="30"/>
          <w:szCs w:val="30"/>
          <w:u w:val="none"/>
        </w:rPr>
        <w:t>。</w:t>
      </w:r>
      <w:r>
        <w:rPr>
          <w:rFonts w:hint="eastAsia" w:ascii="仿宋_GB2312" w:hAnsi="仿宋_GB2312" w:eastAsia="仿宋_GB2312" w:cs="仿宋_GB2312"/>
          <w:sz w:val="30"/>
          <w:szCs w:val="30"/>
          <w:u w:val="none"/>
        </w:rPr>
        <w:br w:type="textWrapping"/>
      </w:r>
      <w:r>
        <w:rPr>
          <w:rFonts w:hint="eastAsia" w:ascii="仿宋_GB2312" w:hAnsi="仿宋_GB2312" w:eastAsia="仿宋_GB2312" w:cs="仿宋_GB2312"/>
          <w:sz w:val="30"/>
          <w:szCs w:val="30"/>
          <w:u w:val="none"/>
        </w:rPr>
        <w:t xml:space="preserve">    农林水支出（类）农村综合改革（款）对村民委员会和村党支部的补助（项）年初预算为</w:t>
      </w:r>
      <w:r>
        <w:rPr>
          <w:rFonts w:hint="eastAsia" w:ascii="仿宋_GB2312" w:hAnsi="仿宋_GB2312" w:eastAsia="仿宋_GB2312" w:cs="仿宋_GB2312"/>
          <w:sz w:val="30"/>
          <w:szCs w:val="30"/>
          <w:u w:val="none"/>
          <w:lang w:val="en-US" w:eastAsia="zh-CN"/>
        </w:rPr>
        <w:t>800000.00</w:t>
      </w:r>
      <w:r>
        <w:rPr>
          <w:rFonts w:hint="eastAsia" w:ascii="仿宋_GB2312" w:hAnsi="仿宋_GB2312" w:eastAsia="仿宋_GB2312" w:cs="仿宋_GB2312"/>
          <w:sz w:val="30"/>
          <w:szCs w:val="30"/>
          <w:u w:val="none"/>
        </w:rPr>
        <w:t>元，支出决算为800000.00元，完成年初预算数的</w:t>
      </w:r>
      <w:r>
        <w:rPr>
          <w:rFonts w:hint="eastAsia" w:ascii="仿宋_GB2312" w:hAnsi="仿宋_GB2312" w:eastAsia="仿宋_GB2312" w:cs="仿宋_GB2312"/>
          <w:sz w:val="30"/>
          <w:szCs w:val="30"/>
          <w:u w:val="none"/>
          <w:lang w:val="en-US" w:eastAsia="zh-CN"/>
        </w:rPr>
        <w:t>100</w:t>
      </w:r>
      <w:r>
        <w:rPr>
          <w:rFonts w:hint="eastAsia" w:ascii="仿宋_GB2312" w:hAnsi="仿宋_GB2312" w:eastAsia="仿宋_GB2312" w:cs="仿宋_GB2312"/>
          <w:sz w:val="30"/>
          <w:szCs w:val="30"/>
          <w:u w:val="none"/>
        </w:rPr>
        <w:t>%</w:t>
      </w:r>
      <w:r>
        <w:rPr>
          <w:rFonts w:hint="eastAsia" w:ascii="仿宋_GB2312" w:hAnsi="仿宋_GB2312" w:eastAsia="仿宋_GB2312" w:cs="仿宋_GB2312"/>
          <w:sz w:val="30"/>
          <w:szCs w:val="30"/>
          <w:u w:val="none"/>
          <w:lang w:eastAsia="zh-CN"/>
        </w:rPr>
        <w:t>。</w:t>
      </w:r>
    </w:p>
    <w:p>
      <w:pPr>
        <w:pStyle w:val="3"/>
        <w:spacing w:before="0" w:after="0" w:line="600" w:lineRule="exact"/>
        <w:ind w:firstLine="600" w:firstLineChars="200"/>
        <w:rPr>
          <w:rFonts w:ascii="Times New Roman" w:hAnsi="Times New Roman" w:eastAsia="黑体"/>
          <w:b w:val="0"/>
          <w:sz w:val="30"/>
          <w:szCs w:val="30"/>
          <w:u w:val="none"/>
        </w:rPr>
      </w:pPr>
      <w:bookmarkStart w:id="22" w:name="_Toc10721"/>
      <w:r>
        <w:rPr>
          <w:rFonts w:ascii="Times New Roman" w:hAnsi="Times New Roman" w:eastAsia="黑体"/>
          <w:b w:val="0"/>
          <w:sz w:val="30"/>
          <w:szCs w:val="30"/>
          <w:u w:val="none"/>
        </w:rPr>
        <w:t>六、一般公共预算财政拨款基本支出决算情况</w:t>
      </w:r>
      <w:r>
        <w:rPr>
          <w:rFonts w:hint="eastAsia" w:ascii="Times New Roman" w:hAnsi="Times New Roman" w:eastAsia="黑体"/>
          <w:b w:val="0"/>
          <w:sz w:val="30"/>
          <w:szCs w:val="30"/>
          <w:u w:val="none"/>
        </w:rPr>
        <w:t>说明</w:t>
      </w:r>
      <w:bookmarkEnd w:id="22"/>
    </w:p>
    <w:p>
      <w:pPr>
        <w:spacing w:line="600" w:lineRule="exact"/>
        <w:ind w:firstLine="645"/>
        <w:jc w:val="both"/>
        <w:rPr>
          <w:rFonts w:hint="eastAsia" w:ascii="仿宋_GB2312" w:hAnsi="仿宋_GB2312" w:eastAsia="仿宋_GB2312" w:cs="仿宋_GB2312"/>
          <w:sz w:val="30"/>
          <w:szCs w:val="30"/>
          <w:u w:val="none"/>
        </w:rPr>
      </w:pPr>
      <w:r>
        <w:rPr>
          <w:rFonts w:hint="eastAsia" w:ascii="Times New Roman" w:hAnsi="Times New Roman" w:eastAsia="仿宋_GB2312" w:cs="仿宋_GB2312"/>
          <w:sz w:val="30"/>
          <w:szCs w:val="30"/>
          <w:u w:val="none"/>
        </w:rPr>
        <w:t>天津市津南区北闸口镇</w:t>
      </w:r>
      <w:r>
        <w:rPr>
          <w:rFonts w:hint="eastAsia" w:ascii="仿宋_GB2312" w:hAnsi="仿宋_GB2312" w:eastAsia="仿宋_GB2312" w:cs="仿宋_GB2312"/>
          <w:sz w:val="30"/>
          <w:szCs w:val="30"/>
          <w:u w:val="none"/>
        </w:rPr>
        <w:t>农业农村事务服务中心2022年度一般公共预算财政拨款基本支出合计38178.89元，与2021年度相比增加17633.89元，主要原因是</w:t>
      </w:r>
      <w:r>
        <w:rPr>
          <w:rFonts w:hint="eastAsia" w:ascii="仿宋_GB2312" w:hAnsi="仿宋_GB2312" w:eastAsia="仿宋_GB2312" w:cs="仿宋_GB2312"/>
          <w:sz w:val="30"/>
          <w:szCs w:val="30"/>
          <w:u w:val="none"/>
          <w:lang w:val="en-US" w:eastAsia="zh-CN"/>
        </w:rPr>
        <w:t>2022年</w:t>
      </w:r>
      <w:r>
        <w:rPr>
          <w:rFonts w:hint="eastAsia" w:ascii="仿宋_GB2312" w:hAnsi="仿宋_GB2312" w:eastAsia="仿宋_GB2312" w:cs="仿宋_GB2312"/>
          <w:sz w:val="30"/>
          <w:szCs w:val="30"/>
          <w:u w:val="none"/>
        </w:rPr>
        <w:t>疫情期间车辆损耗较大维护费用有所增加。</w:t>
      </w:r>
    </w:p>
    <w:p>
      <w:pPr>
        <w:pStyle w:val="3"/>
        <w:spacing w:before="0" w:after="0" w:line="600" w:lineRule="exact"/>
        <w:ind w:firstLine="600" w:firstLineChars="200"/>
        <w:rPr>
          <w:rFonts w:ascii="Times New Roman" w:hAnsi="Times New Roman" w:eastAsia="楷体" w:cs="仿宋_GB2312"/>
          <w:b w:val="0"/>
          <w:sz w:val="30"/>
          <w:szCs w:val="30"/>
          <w:u w:val="none"/>
        </w:rPr>
      </w:pPr>
      <w:bookmarkStart w:id="23" w:name="_Toc17918"/>
      <w:r>
        <w:rPr>
          <w:rFonts w:hint="eastAsia" w:ascii="Times New Roman" w:hAnsi="Times New Roman" w:eastAsia="黑体"/>
          <w:b w:val="0"/>
          <w:sz w:val="30"/>
          <w:szCs w:val="30"/>
          <w:u w:val="none"/>
        </w:rPr>
        <w:t>七</w:t>
      </w:r>
      <w:r>
        <w:rPr>
          <w:rFonts w:ascii="Times New Roman" w:hAnsi="Times New Roman" w:eastAsia="黑体"/>
          <w:b w:val="0"/>
          <w:sz w:val="30"/>
          <w:szCs w:val="30"/>
          <w:u w:val="none"/>
        </w:rPr>
        <w:t>、政府性基金预算财政拨款</w:t>
      </w:r>
      <w:r>
        <w:rPr>
          <w:rFonts w:hint="eastAsia" w:ascii="Times New Roman" w:hAnsi="Times New Roman" w:eastAsia="黑体"/>
          <w:b w:val="0"/>
          <w:sz w:val="30"/>
          <w:szCs w:val="30"/>
          <w:u w:val="none"/>
        </w:rPr>
        <w:t>收支决算</w:t>
      </w:r>
      <w:r>
        <w:rPr>
          <w:rFonts w:ascii="Times New Roman" w:hAnsi="Times New Roman" w:eastAsia="黑体"/>
          <w:b w:val="0"/>
          <w:sz w:val="30"/>
          <w:szCs w:val="30"/>
          <w:u w:val="none"/>
        </w:rPr>
        <w:t>情况</w:t>
      </w:r>
      <w:r>
        <w:rPr>
          <w:rFonts w:hint="eastAsia" w:ascii="Times New Roman" w:hAnsi="Times New Roman" w:eastAsia="黑体"/>
          <w:b w:val="0"/>
          <w:bCs w:val="0"/>
          <w:sz w:val="30"/>
          <w:szCs w:val="30"/>
          <w:u w:val="none"/>
        </w:rPr>
        <w:t>说明</w:t>
      </w:r>
      <w:bookmarkEnd w:id="23"/>
    </w:p>
    <w:p>
      <w:pPr>
        <w:spacing w:line="600" w:lineRule="exact"/>
        <w:ind w:firstLine="645"/>
        <w:jc w:val="both"/>
        <w:rPr>
          <w:rFonts w:hint="eastAsia" w:ascii="仿宋_GB2312" w:hAnsi="仿宋_GB2312" w:eastAsia="仿宋_GB2312" w:cs="仿宋_GB2312"/>
          <w:sz w:val="30"/>
          <w:szCs w:val="30"/>
          <w:u w:val="none"/>
        </w:rPr>
      </w:pPr>
      <w:r>
        <w:rPr>
          <w:rFonts w:hint="eastAsia" w:ascii="Times New Roman" w:hAnsi="Times New Roman" w:eastAsia="仿宋_GB2312" w:cs="仿宋_GB2312"/>
          <w:sz w:val="30"/>
          <w:szCs w:val="30"/>
          <w:u w:val="none"/>
        </w:rPr>
        <w:t>天津市津南区</w:t>
      </w:r>
      <w:r>
        <w:rPr>
          <w:rFonts w:hint="eastAsia" w:ascii="仿宋_GB2312" w:hAnsi="仿宋_GB2312" w:eastAsia="仿宋_GB2312" w:cs="仿宋_GB2312"/>
          <w:sz w:val="30"/>
          <w:szCs w:val="30"/>
          <w:u w:val="none"/>
        </w:rPr>
        <w:t>北闸口镇农业农村事务服务中心2022年度政府性基金预算财政拨款年初结转和结余0.00元，收入1330000.00元，支出1330000.00元，年末结转和结余0.00元。与2021年度相比，政府性基金预算财政拨款支出0.00元，主要原因是</w:t>
      </w:r>
      <w:r>
        <w:rPr>
          <w:rFonts w:hint="eastAsia" w:ascii="仿宋_GB2312" w:hAnsi="仿宋_GB2312" w:eastAsia="仿宋_GB2312" w:cs="仿宋_GB2312"/>
          <w:sz w:val="30"/>
          <w:szCs w:val="30"/>
          <w:u w:val="none"/>
          <w:lang w:eastAsia="zh-CN"/>
        </w:rPr>
        <w:t>按照上级主管部门安排执行</w:t>
      </w:r>
      <w:r>
        <w:rPr>
          <w:rFonts w:hint="eastAsia" w:ascii="仿宋_GB2312" w:hAnsi="仿宋_GB2312" w:eastAsia="仿宋_GB2312" w:cs="仿宋_GB2312"/>
          <w:sz w:val="30"/>
          <w:szCs w:val="30"/>
          <w:u w:val="none"/>
        </w:rPr>
        <w:t>。</w:t>
      </w:r>
    </w:p>
    <w:p>
      <w:pPr>
        <w:pStyle w:val="3"/>
        <w:spacing w:before="0" w:after="0" w:line="600" w:lineRule="exact"/>
        <w:ind w:firstLine="600" w:firstLineChars="200"/>
        <w:rPr>
          <w:rFonts w:ascii="Times New Roman" w:hAnsi="Times New Roman" w:eastAsia="黑体"/>
          <w:b w:val="0"/>
          <w:sz w:val="30"/>
          <w:szCs w:val="30"/>
          <w:u w:val="none"/>
        </w:rPr>
      </w:pPr>
      <w:bookmarkStart w:id="24" w:name="_Toc23897"/>
      <w:r>
        <w:rPr>
          <w:rFonts w:hint="eastAsia" w:ascii="Times New Roman" w:hAnsi="Times New Roman" w:eastAsia="黑体"/>
          <w:b w:val="0"/>
          <w:sz w:val="30"/>
          <w:szCs w:val="30"/>
          <w:u w:val="none"/>
        </w:rPr>
        <w:t>八、国有资本经营预算财政拨款收支决算情况</w:t>
      </w:r>
      <w:r>
        <w:rPr>
          <w:rFonts w:hint="eastAsia" w:ascii="Times New Roman" w:hAnsi="Times New Roman" w:eastAsia="黑体"/>
          <w:b w:val="0"/>
          <w:bCs w:val="0"/>
          <w:sz w:val="30"/>
          <w:szCs w:val="30"/>
          <w:u w:val="none"/>
        </w:rPr>
        <w:t>说明</w:t>
      </w:r>
      <w:bookmarkEnd w:id="24"/>
    </w:p>
    <w:p>
      <w:pPr>
        <w:spacing w:line="600" w:lineRule="exact"/>
        <w:ind w:firstLine="645"/>
        <w:jc w:val="both"/>
        <w:rPr>
          <w:rFonts w:hint="eastAsia" w:ascii="仿宋_GB2312" w:hAnsi="仿宋_GB2312" w:eastAsia="仿宋_GB2312" w:cs="仿宋_GB2312"/>
          <w:sz w:val="30"/>
          <w:szCs w:val="30"/>
          <w:u w:val="none"/>
        </w:rPr>
      </w:pPr>
      <w:r>
        <w:rPr>
          <w:rFonts w:hint="eastAsia" w:ascii="Times New Roman" w:hAnsi="Times New Roman" w:eastAsia="仿宋_GB2312" w:cs="仿宋_GB2312"/>
          <w:sz w:val="30"/>
          <w:szCs w:val="30"/>
          <w:u w:val="none"/>
        </w:rPr>
        <w:t>天津市津南区北闸口镇</w:t>
      </w:r>
      <w:r>
        <w:rPr>
          <w:rFonts w:hint="eastAsia" w:ascii="仿宋_GB2312" w:hAnsi="仿宋_GB2312" w:eastAsia="仿宋_GB2312" w:cs="仿宋_GB2312"/>
          <w:sz w:val="30"/>
          <w:szCs w:val="30"/>
          <w:u w:val="none"/>
        </w:rPr>
        <w:t>农业农村事务服务中心2022年度无国有资本经营预算财政拨款收入、支出和结转结余。</w:t>
      </w:r>
    </w:p>
    <w:p>
      <w:pPr>
        <w:pStyle w:val="3"/>
        <w:spacing w:before="0" w:after="0" w:line="600" w:lineRule="exact"/>
        <w:ind w:firstLine="600" w:firstLineChars="200"/>
        <w:rPr>
          <w:rFonts w:ascii="Times New Roman" w:hAnsi="Times New Roman" w:eastAsia="黑体"/>
          <w:b w:val="0"/>
          <w:sz w:val="30"/>
          <w:szCs w:val="30"/>
          <w:u w:val="none"/>
        </w:rPr>
      </w:pPr>
      <w:bookmarkStart w:id="25" w:name="_Toc4518"/>
      <w:r>
        <w:rPr>
          <w:rFonts w:hint="eastAsia" w:ascii="Times New Roman" w:hAnsi="Times New Roman" w:eastAsia="黑体"/>
          <w:b w:val="0"/>
          <w:sz w:val="30"/>
          <w:szCs w:val="30"/>
          <w:u w:val="none"/>
        </w:rPr>
        <w:t>九、</w:t>
      </w:r>
      <w:r>
        <w:rPr>
          <w:rFonts w:ascii="Times New Roman" w:hAnsi="Times New Roman" w:eastAsia="黑体"/>
          <w:b w:val="0"/>
          <w:sz w:val="30"/>
          <w:szCs w:val="30"/>
          <w:u w:val="none"/>
        </w:rPr>
        <w:t>一般公共预算财政拨款“三公”经费</w:t>
      </w:r>
      <w:r>
        <w:rPr>
          <w:rFonts w:hint="eastAsia" w:ascii="Times New Roman" w:hAnsi="Times New Roman" w:eastAsia="黑体"/>
          <w:b w:val="0"/>
          <w:sz w:val="30"/>
          <w:szCs w:val="30"/>
          <w:u w:val="none"/>
        </w:rPr>
        <w:t>支出决算</w:t>
      </w:r>
      <w:r>
        <w:rPr>
          <w:rFonts w:ascii="Times New Roman" w:hAnsi="Times New Roman" w:eastAsia="黑体"/>
          <w:b w:val="0"/>
          <w:sz w:val="30"/>
          <w:szCs w:val="30"/>
          <w:u w:val="none"/>
        </w:rPr>
        <w:t>情况</w:t>
      </w:r>
      <w:r>
        <w:rPr>
          <w:rFonts w:hint="eastAsia" w:ascii="Times New Roman" w:hAnsi="Times New Roman" w:eastAsia="黑体"/>
          <w:b w:val="0"/>
          <w:bCs w:val="0"/>
          <w:sz w:val="30"/>
          <w:szCs w:val="30"/>
          <w:u w:val="none"/>
        </w:rPr>
        <w:t>说明</w:t>
      </w:r>
      <w:bookmarkEnd w:id="25"/>
    </w:p>
    <w:p>
      <w:pPr>
        <w:spacing w:line="600" w:lineRule="exact"/>
        <w:ind w:firstLine="602" w:firstLineChars="200"/>
        <w:jc w:val="both"/>
        <w:rPr>
          <w:rFonts w:ascii="Times New Roman" w:hAnsi="Times New Roman" w:eastAsia="楷体" w:cs="楷体"/>
          <w:b/>
          <w:bCs/>
          <w:sz w:val="30"/>
          <w:szCs w:val="30"/>
          <w:u w:val="none"/>
        </w:rPr>
      </w:pPr>
      <w:r>
        <w:rPr>
          <w:rFonts w:hint="eastAsia" w:ascii="Times New Roman" w:hAnsi="Times New Roman" w:eastAsia="楷体" w:cs="楷体"/>
          <w:b/>
          <w:bCs/>
          <w:sz w:val="30"/>
          <w:szCs w:val="30"/>
          <w:u w:val="none"/>
        </w:rPr>
        <w:t>（一）总体情况</w:t>
      </w:r>
    </w:p>
    <w:p>
      <w:pPr>
        <w:spacing w:line="600" w:lineRule="exact"/>
        <w:ind w:firstLine="645"/>
        <w:jc w:val="both"/>
        <w:rPr>
          <w:rFonts w:hint="eastAsia" w:ascii="仿宋_GB2312" w:hAnsi="仿宋_GB2312" w:eastAsia="仿宋_GB2312" w:cs="仿宋_GB2312"/>
          <w:sz w:val="30"/>
          <w:szCs w:val="30"/>
          <w:u w:val="none"/>
        </w:rPr>
      </w:pPr>
      <w:r>
        <w:rPr>
          <w:rFonts w:hint="eastAsia" w:ascii="仿宋_GB2312" w:hAnsi="仿宋_GB2312" w:eastAsia="仿宋_GB2312" w:cs="仿宋_GB2312"/>
          <w:sz w:val="30"/>
          <w:szCs w:val="30"/>
          <w:u w:val="none"/>
        </w:rPr>
        <w:t>2022年一般公共预算财政拨款“三公”经费预算75000.00元，支出决算37268.89元（去年同期20145.00元），支出决算与2022年预算相比减少37731.11元,完成预算的49.69%；支出决算较上年增加17123.89元，增长85.00%。决算数小于预算数的主要原因是</w:t>
      </w:r>
      <w:r>
        <w:rPr>
          <w:rFonts w:hint="eastAsia" w:ascii="仿宋_GB2312" w:hAnsi="仿宋_GB2312" w:eastAsia="仿宋_GB2312" w:cs="仿宋_GB2312"/>
          <w:sz w:val="30"/>
          <w:szCs w:val="30"/>
          <w:u w:val="none"/>
          <w:lang w:eastAsia="zh-CN"/>
        </w:rPr>
        <w:t>按实际发生支付，部门整体缩减开支</w:t>
      </w:r>
      <w:r>
        <w:rPr>
          <w:rFonts w:hint="eastAsia" w:ascii="仿宋_GB2312" w:hAnsi="仿宋_GB2312" w:eastAsia="仿宋_GB2312" w:cs="仿宋_GB2312"/>
          <w:sz w:val="30"/>
          <w:szCs w:val="30"/>
          <w:u w:val="none"/>
        </w:rPr>
        <w:t>。决算数较上年增加的主要原因是</w:t>
      </w:r>
      <w:r>
        <w:rPr>
          <w:rFonts w:hint="eastAsia" w:ascii="仿宋_GB2312" w:hAnsi="仿宋_GB2312" w:eastAsia="仿宋_GB2312" w:cs="仿宋_GB2312"/>
          <w:sz w:val="30"/>
          <w:szCs w:val="30"/>
          <w:u w:val="none"/>
          <w:lang w:val="en-US" w:eastAsia="zh-CN"/>
        </w:rPr>
        <w:t>2022年</w:t>
      </w:r>
      <w:r>
        <w:rPr>
          <w:rFonts w:hint="eastAsia" w:ascii="仿宋_GB2312" w:hAnsi="仿宋_GB2312" w:eastAsia="仿宋_GB2312" w:cs="仿宋_GB2312"/>
          <w:sz w:val="30"/>
          <w:szCs w:val="30"/>
          <w:u w:val="none"/>
        </w:rPr>
        <w:t>疫情期间车辆损耗较大维护费用有所增加。</w:t>
      </w:r>
    </w:p>
    <w:p>
      <w:pPr>
        <w:spacing w:line="600" w:lineRule="exact"/>
        <w:ind w:firstLine="602" w:firstLineChars="200"/>
        <w:jc w:val="both"/>
        <w:rPr>
          <w:rFonts w:ascii="Times New Roman" w:hAnsi="Times New Roman" w:eastAsia="楷体" w:cs="楷体"/>
          <w:b/>
          <w:bCs/>
          <w:sz w:val="30"/>
          <w:szCs w:val="30"/>
          <w:u w:val="none"/>
        </w:rPr>
      </w:pPr>
      <w:r>
        <w:rPr>
          <w:rFonts w:hint="eastAsia" w:ascii="Times New Roman" w:hAnsi="Times New Roman" w:eastAsia="楷体" w:cs="楷体"/>
          <w:b/>
          <w:bCs/>
          <w:sz w:val="30"/>
          <w:szCs w:val="30"/>
          <w:u w:val="none"/>
        </w:rPr>
        <w:t>（二）具体情况</w:t>
      </w:r>
    </w:p>
    <w:p>
      <w:pPr>
        <w:spacing w:line="600" w:lineRule="exact"/>
        <w:ind w:firstLine="645"/>
        <w:jc w:val="both"/>
        <w:rPr>
          <w:rFonts w:hint="eastAsia" w:ascii="仿宋_GB2312" w:hAnsi="仿宋_GB2312" w:eastAsia="仿宋_GB2312" w:cs="仿宋_GB2312"/>
          <w:sz w:val="30"/>
          <w:szCs w:val="30"/>
          <w:u w:val="none"/>
        </w:rPr>
      </w:pPr>
      <w:r>
        <w:rPr>
          <w:rFonts w:hint="eastAsia" w:ascii="仿宋_GB2312" w:hAnsi="仿宋_GB2312" w:eastAsia="仿宋_GB2312" w:cs="仿宋_GB2312"/>
          <w:sz w:val="30"/>
          <w:szCs w:val="30"/>
          <w:u w:val="none"/>
        </w:rPr>
        <w:t>1.因公出国（境）费预算0.00元，支出决算0.00元（去年同期0.00元），支出决算与预算相比持平；支出决算较上年持平。因本年及去年同期均未使用一般公共预算财政拨款列支“因公出国（境）”经费，故本年支出决算与本年预算、上年支出决算均持平为0。2022年本单位组织的出国团组0个，出国0人次。</w:t>
      </w:r>
    </w:p>
    <w:p>
      <w:pPr>
        <w:spacing w:line="600" w:lineRule="exact"/>
        <w:ind w:firstLine="645"/>
        <w:jc w:val="both"/>
        <w:rPr>
          <w:rFonts w:hint="eastAsia" w:ascii="仿宋_GB2312" w:hAnsi="仿宋_GB2312" w:eastAsia="仿宋_GB2312" w:cs="仿宋_GB2312"/>
          <w:sz w:val="30"/>
          <w:szCs w:val="30"/>
          <w:u w:val="none"/>
        </w:rPr>
      </w:pPr>
      <w:r>
        <w:rPr>
          <w:rFonts w:hint="eastAsia" w:ascii="仿宋_GB2312" w:hAnsi="仿宋_GB2312" w:eastAsia="仿宋_GB2312" w:cs="仿宋_GB2312"/>
          <w:sz w:val="30"/>
          <w:szCs w:val="30"/>
          <w:u w:val="none"/>
        </w:rPr>
        <w:t>2.公务用车购置及运行维护费预算75000.00元，支出决算37268.89元（去年同期20145.00元），支出决算与预算相比减少37731.11元,完成预算的49.69%；支出决算较上年增加17123.89元，增长85.00%。其中：</w:t>
      </w:r>
    </w:p>
    <w:p>
      <w:pPr>
        <w:spacing w:line="600" w:lineRule="exact"/>
        <w:ind w:firstLine="645"/>
        <w:jc w:val="both"/>
        <w:rPr>
          <w:rFonts w:hint="eastAsia" w:ascii="仿宋_GB2312" w:hAnsi="仿宋_GB2312" w:eastAsia="仿宋_GB2312" w:cs="仿宋_GB2312"/>
          <w:sz w:val="30"/>
          <w:szCs w:val="30"/>
          <w:u w:val="none"/>
        </w:rPr>
      </w:pPr>
      <w:r>
        <w:rPr>
          <w:rFonts w:hint="eastAsia" w:ascii="仿宋_GB2312" w:hAnsi="仿宋_GB2312" w:eastAsia="仿宋_GB2312" w:cs="仿宋_GB2312"/>
          <w:sz w:val="30"/>
          <w:szCs w:val="30"/>
          <w:u w:val="none"/>
        </w:rPr>
        <w:t>公务用车运行维护费预算</w:t>
      </w:r>
      <w:r>
        <w:rPr>
          <w:rFonts w:hint="eastAsia" w:ascii="仿宋_GB2312" w:hAnsi="仿宋_GB2312" w:eastAsia="仿宋_GB2312" w:cs="仿宋_GB2312"/>
          <w:sz w:val="30"/>
          <w:szCs w:val="30"/>
          <w:u w:val="none"/>
          <w:lang w:val="en-US" w:eastAsia="zh-CN"/>
        </w:rPr>
        <w:t>75000.00</w:t>
      </w:r>
      <w:r>
        <w:rPr>
          <w:rFonts w:hint="eastAsia" w:ascii="仿宋_GB2312" w:hAnsi="仿宋_GB2312" w:eastAsia="仿宋_GB2312" w:cs="仿宋_GB2312"/>
          <w:sz w:val="30"/>
          <w:szCs w:val="30"/>
          <w:u w:val="none"/>
        </w:rPr>
        <w:t>元，支出决算37268.89元（去年同期20145.00元），支出决算与预算相比减少37731.11元,完成预算的49.69%；支出决算较上年增加17123.89元，增长85.00%。决算数小于预算数的主要原因是</w:t>
      </w:r>
      <w:r>
        <w:rPr>
          <w:rFonts w:hint="eastAsia" w:ascii="仿宋_GB2312" w:hAnsi="仿宋_GB2312" w:eastAsia="仿宋_GB2312" w:cs="仿宋_GB2312"/>
          <w:sz w:val="30"/>
          <w:szCs w:val="30"/>
          <w:u w:val="none"/>
          <w:lang w:eastAsia="zh-CN"/>
        </w:rPr>
        <w:t>按实际发生支付，部门整体缩减开支</w:t>
      </w:r>
      <w:r>
        <w:rPr>
          <w:rFonts w:hint="eastAsia" w:ascii="仿宋_GB2312" w:hAnsi="仿宋_GB2312" w:eastAsia="仿宋_GB2312" w:cs="仿宋_GB2312"/>
          <w:sz w:val="30"/>
          <w:szCs w:val="30"/>
          <w:u w:val="none"/>
        </w:rPr>
        <w:t>。决算数较</w:t>
      </w:r>
      <w:bookmarkStart w:id="32" w:name="_GoBack"/>
      <w:bookmarkEnd w:id="32"/>
      <w:r>
        <w:rPr>
          <w:rFonts w:hint="eastAsia" w:ascii="仿宋_GB2312" w:hAnsi="仿宋_GB2312" w:eastAsia="仿宋_GB2312" w:cs="仿宋_GB2312"/>
          <w:sz w:val="30"/>
          <w:szCs w:val="30"/>
          <w:u w:val="none"/>
        </w:rPr>
        <w:t>上年增加的主要原因是</w:t>
      </w:r>
      <w:r>
        <w:rPr>
          <w:rFonts w:hint="eastAsia" w:ascii="仿宋_GB2312" w:hAnsi="仿宋_GB2312" w:eastAsia="仿宋_GB2312" w:cs="仿宋_GB2312"/>
          <w:sz w:val="30"/>
          <w:szCs w:val="30"/>
          <w:u w:val="none"/>
          <w:lang w:val="en-US" w:eastAsia="zh-CN"/>
        </w:rPr>
        <w:t>2022年</w:t>
      </w:r>
      <w:r>
        <w:rPr>
          <w:rFonts w:hint="eastAsia" w:ascii="仿宋_GB2312" w:hAnsi="仿宋_GB2312" w:eastAsia="仿宋_GB2312" w:cs="仿宋_GB2312"/>
          <w:sz w:val="30"/>
          <w:szCs w:val="30"/>
          <w:u w:val="none"/>
        </w:rPr>
        <w:t>疫情期间车辆损耗较大维护费用有所增加。截至2022年12月31日，使用一般公共预算财政拨款开支运行维护费的公务用车保有量为3辆。</w:t>
      </w:r>
    </w:p>
    <w:p>
      <w:pPr>
        <w:spacing w:line="600" w:lineRule="exact"/>
        <w:ind w:firstLine="645"/>
        <w:jc w:val="both"/>
        <w:rPr>
          <w:rFonts w:hint="eastAsia" w:ascii="仿宋_GB2312" w:hAnsi="仿宋_GB2312" w:eastAsia="仿宋_GB2312" w:cs="仿宋_GB2312"/>
          <w:sz w:val="30"/>
          <w:szCs w:val="30"/>
          <w:u w:val="none"/>
        </w:rPr>
      </w:pPr>
      <w:r>
        <w:rPr>
          <w:rFonts w:hint="eastAsia" w:ascii="仿宋_GB2312" w:hAnsi="仿宋_GB2312" w:eastAsia="仿宋_GB2312" w:cs="仿宋_GB2312"/>
          <w:sz w:val="30"/>
          <w:szCs w:val="30"/>
          <w:u w:val="none"/>
        </w:rPr>
        <w:t>公务用车购置费预算0.00元，支出决算0.00元（去年同期</w:t>
      </w:r>
      <w:r>
        <w:rPr>
          <w:rFonts w:hint="eastAsia" w:ascii="仿宋_GB2312" w:hAnsi="仿宋_GB2312" w:eastAsia="仿宋_GB2312" w:cs="仿宋_GB2312"/>
          <w:sz w:val="30"/>
          <w:szCs w:val="30"/>
          <w:u w:val="none"/>
          <w:lang w:val="en-US" w:eastAsia="zh-CN"/>
        </w:rPr>
        <w:t>0</w:t>
      </w:r>
      <w:r>
        <w:rPr>
          <w:rFonts w:hint="eastAsia" w:ascii="仿宋_GB2312" w:hAnsi="仿宋_GB2312" w:eastAsia="仿宋_GB2312" w:cs="仿宋_GB2312"/>
          <w:sz w:val="30"/>
          <w:szCs w:val="30"/>
          <w:u w:val="none"/>
        </w:rPr>
        <w:t>.00元），支出决算与预算相比持平；支出决算较上年持平。因本年及去年同期均未使用一般公共预算财政拨款列支“公务用车购置”经费，故本年支出决算与本年预算、上年支出决算均持平为0。2022年购置公务用车0辆。</w:t>
      </w:r>
    </w:p>
    <w:p>
      <w:pPr>
        <w:spacing w:line="600" w:lineRule="exact"/>
        <w:ind w:firstLine="645"/>
        <w:jc w:val="both"/>
        <w:rPr>
          <w:rFonts w:hint="eastAsia" w:ascii="仿宋_GB2312" w:hAnsi="仿宋_GB2312" w:eastAsia="仿宋_GB2312" w:cs="仿宋_GB2312"/>
          <w:sz w:val="30"/>
          <w:szCs w:val="30"/>
          <w:u w:val="none"/>
        </w:rPr>
      </w:pPr>
      <w:r>
        <w:rPr>
          <w:rFonts w:hint="eastAsia" w:ascii="仿宋_GB2312" w:hAnsi="仿宋_GB2312" w:eastAsia="仿宋_GB2312" w:cs="仿宋_GB2312"/>
          <w:sz w:val="30"/>
          <w:szCs w:val="30"/>
          <w:u w:val="none"/>
        </w:rPr>
        <w:t>3.公务接待费预算0.00元，支出决算0.00元（去年同期0.00元），支出决算与预算相比持平；支出决算较上年持平。因本年及去年同期均未使用一般公共预算财政拨款列支“公务接待”经费，故本年支出决算与本年预算、上年支出决算均持平为0。2022年本单位国内公务接待0批次，0人次；其中，外事接待0批次，0人次。</w:t>
      </w:r>
    </w:p>
    <w:p>
      <w:pPr>
        <w:pStyle w:val="3"/>
        <w:spacing w:before="0" w:after="0" w:line="600" w:lineRule="exact"/>
        <w:ind w:firstLine="600" w:firstLineChars="200"/>
        <w:rPr>
          <w:rFonts w:ascii="Times New Roman" w:hAnsi="Times New Roman" w:eastAsia="黑体"/>
          <w:b w:val="0"/>
          <w:sz w:val="30"/>
          <w:szCs w:val="30"/>
          <w:u w:val="none"/>
        </w:rPr>
      </w:pPr>
      <w:bookmarkStart w:id="26" w:name="_Toc3411"/>
      <w:r>
        <w:rPr>
          <w:rFonts w:hint="eastAsia" w:ascii="Times New Roman" w:hAnsi="Times New Roman" w:eastAsia="黑体"/>
          <w:b w:val="0"/>
          <w:sz w:val="30"/>
          <w:szCs w:val="30"/>
          <w:u w:val="none"/>
        </w:rPr>
        <w:t>十、</w:t>
      </w:r>
      <w:r>
        <w:rPr>
          <w:rFonts w:ascii="Times New Roman" w:hAnsi="Times New Roman" w:eastAsia="黑体"/>
          <w:b w:val="0"/>
          <w:sz w:val="30"/>
          <w:szCs w:val="30"/>
          <w:u w:val="none"/>
        </w:rPr>
        <w:t>机关运行经费</w:t>
      </w:r>
      <w:r>
        <w:rPr>
          <w:rFonts w:hint="eastAsia" w:ascii="Times New Roman" w:hAnsi="Times New Roman" w:eastAsia="黑体"/>
          <w:b w:val="0"/>
          <w:sz w:val="30"/>
          <w:szCs w:val="30"/>
          <w:u w:val="none"/>
        </w:rPr>
        <w:t>支出情况</w:t>
      </w:r>
      <w:r>
        <w:rPr>
          <w:rFonts w:hint="eastAsia" w:ascii="Times New Roman" w:hAnsi="Times New Roman" w:eastAsia="黑体"/>
          <w:b w:val="0"/>
          <w:bCs w:val="0"/>
          <w:sz w:val="30"/>
          <w:szCs w:val="30"/>
          <w:u w:val="none"/>
        </w:rPr>
        <w:t>说明</w:t>
      </w:r>
      <w:bookmarkEnd w:id="26"/>
    </w:p>
    <w:p>
      <w:pPr>
        <w:spacing w:line="600" w:lineRule="exact"/>
        <w:ind w:firstLine="645"/>
        <w:jc w:val="both"/>
        <w:rPr>
          <w:rFonts w:hint="eastAsia" w:ascii="仿宋_GB2312" w:hAnsi="仿宋_GB2312" w:eastAsia="仿宋_GB2312" w:cs="仿宋_GB2312"/>
          <w:sz w:val="30"/>
          <w:szCs w:val="30"/>
          <w:u w:val="none"/>
        </w:rPr>
      </w:pPr>
      <w:r>
        <w:rPr>
          <w:rFonts w:hint="eastAsia" w:ascii="仿宋_GB2312" w:hAnsi="仿宋_GB2312" w:eastAsia="仿宋_GB2312" w:cs="仿宋_GB2312"/>
          <w:sz w:val="30"/>
          <w:szCs w:val="30"/>
          <w:u w:val="none"/>
        </w:rPr>
        <w:t>天津市津南区北闸口镇农业农村事务服务中心2022年度无机关运行经费。</w:t>
      </w:r>
    </w:p>
    <w:p>
      <w:pPr>
        <w:pStyle w:val="3"/>
        <w:spacing w:before="0" w:after="0" w:line="600" w:lineRule="exact"/>
        <w:ind w:firstLine="600" w:firstLineChars="200"/>
        <w:rPr>
          <w:rFonts w:ascii="Times New Roman" w:hAnsi="Times New Roman" w:eastAsia="黑体"/>
          <w:b w:val="0"/>
          <w:sz w:val="30"/>
          <w:szCs w:val="30"/>
          <w:u w:val="none"/>
        </w:rPr>
      </w:pPr>
      <w:bookmarkStart w:id="27" w:name="_Toc31102"/>
      <w:r>
        <w:rPr>
          <w:rFonts w:hint="eastAsia" w:ascii="Times New Roman" w:hAnsi="Times New Roman" w:eastAsia="黑体"/>
          <w:b w:val="0"/>
          <w:sz w:val="30"/>
          <w:szCs w:val="30"/>
          <w:u w:val="none"/>
        </w:rPr>
        <w:t>十一、</w:t>
      </w:r>
      <w:r>
        <w:rPr>
          <w:rFonts w:ascii="Times New Roman" w:hAnsi="Times New Roman" w:eastAsia="黑体"/>
          <w:b w:val="0"/>
          <w:sz w:val="30"/>
          <w:szCs w:val="30"/>
          <w:u w:val="none"/>
        </w:rPr>
        <w:t>政府采购</w:t>
      </w:r>
      <w:r>
        <w:rPr>
          <w:rFonts w:hint="eastAsia" w:ascii="Times New Roman" w:hAnsi="Times New Roman" w:eastAsia="黑体"/>
          <w:b w:val="0"/>
          <w:sz w:val="30"/>
          <w:szCs w:val="30"/>
          <w:u w:val="none"/>
        </w:rPr>
        <w:t>支出</w:t>
      </w:r>
      <w:r>
        <w:rPr>
          <w:rFonts w:ascii="Times New Roman" w:hAnsi="Times New Roman" w:eastAsia="黑体"/>
          <w:b w:val="0"/>
          <w:sz w:val="30"/>
          <w:szCs w:val="30"/>
          <w:u w:val="none"/>
        </w:rPr>
        <w:t>情况</w:t>
      </w:r>
      <w:r>
        <w:rPr>
          <w:rFonts w:hint="eastAsia" w:ascii="Times New Roman" w:hAnsi="Times New Roman" w:eastAsia="黑体"/>
          <w:b w:val="0"/>
          <w:bCs w:val="0"/>
          <w:sz w:val="30"/>
          <w:szCs w:val="30"/>
          <w:u w:val="none"/>
        </w:rPr>
        <w:t>说明</w:t>
      </w:r>
      <w:bookmarkEnd w:id="27"/>
    </w:p>
    <w:p>
      <w:pPr>
        <w:spacing w:line="600" w:lineRule="exact"/>
        <w:ind w:firstLine="645"/>
        <w:jc w:val="both"/>
        <w:rPr>
          <w:rFonts w:hint="eastAsia" w:ascii="仿宋_GB2312" w:hAnsi="仿宋_GB2312" w:eastAsia="仿宋_GB2312" w:cs="仿宋_GB2312"/>
          <w:sz w:val="30"/>
          <w:szCs w:val="30"/>
          <w:u w:val="none"/>
        </w:rPr>
      </w:pPr>
      <w:r>
        <w:rPr>
          <w:rFonts w:hint="eastAsia" w:ascii="仿宋_GB2312" w:hAnsi="仿宋_GB2312" w:eastAsia="仿宋_GB2312" w:cs="仿宋_GB2312"/>
          <w:sz w:val="30"/>
          <w:szCs w:val="30"/>
          <w:u w:val="none"/>
        </w:rPr>
        <w:t>天津市津南区北闸口镇农业农村事务服务中心2022年政府采购支出总额996000.00元，其中：政府采购货物支出0.00元、政府采购工程支出0.00元、政府采购服务支出996000.00元。授予中小企业合同金额</w:t>
      </w:r>
      <w:r>
        <w:rPr>
          <w:rFonts w:hint="eastAsia" w:ascii="仿宋_GB2312" w:hAnsi="仿宋_GB2312" w:eastAsia="仿宋_GB2312" w:cs="仿宋_GB2312"/>
          <w:sz w:val="30"/>
          <w:szCs w:val="30"/>
          <w:u w:val="none"/>
          <w:lang w:val="en-US" w:eastAsia="zh-CN"/>
        </w:rPr>
        <w:t>996000.00</w:t>
      </w:r>
      <w:r>
        <w:rPr>
          <w:rFonts w:hint="eastAsia" w:ascii="仿宋_GB2312" w:hAnsi="仿宋_GB2312" w:eastAsia="仿宋_GB2312" w:cs="仿宋_GB2312"/>
          <w:sz w:val="30"/>
          <w:szCs w:val="30"/>
          <w:u w:val="none"/>
        </w:rPr>
        <w:t>元，占政府采购支出总额的</w:t>
      </w:r>
      <w:r>
        <w:rPr>
          <w:rFonts w:hint="eastAsia" w:ascii="仿宋_GB2312" w:hAnsi="仿宋_GB2312" w:eastAsia="仿宋_GB2312" w:cs="仿宋_GB2312"/>
          <w:sz w:val="30"/>
          <w:szCs w:val="30"/>
          <w:u w:val="none"/>
          <w:lang w:val="en-US" w:eastAsia="zh-CN"/>
        </w:rPr>
        <w:t>10</w:t>
      </w:r>
      <w:r>
        <w:rPr>
          <w:rFonts w:hint="eastAsia" w:ascii="仿宋_GB2312" w:hAnsi="仿宋_GB2312" w:eastAsia="仿宋_GB2312" w:cs="仿宋_GB2312"/>
          <w:sz w:val="30"/>
          <w:szCs w:val="30"/>
          <w:u w:val="none"/>
        </w:rPr>
        <w:t>0.00%，其中：授予小微企业合同金额</w:t>
      </w:r>
      <w:r>
        <w:rPr>
          <w:rFonts w:hint="eastAsia" w:ascii="仿宋_GB2312" w:hAnsi="仿宋_GB2312" w:eastAsia="仿宋_GB2312" w:cs="仿宋_GB2312"/>
          <w:sz w:val="30"/>
          <w:szCs w:val="30"/>
          <w:u w:val="none"/>
          <w:lang w:val="en-US" w:eastAsia="zh-CN"/>
        </w:rPr>
        <w:t>996000.00</w:t>
      </w:r>
      <w:r>
        <w:rPr>
          <w:rFonts w:hint="eastAsia" w:ascii="仿宋_GB2312" w:hAnsi="仿宋_GB2312" w:eastAsia="仿宋_GB2312" w:cs="仿宋_GB2312"/>
          <w:sz w:val="30"/>
          <w:szCs w:val="30"/>
          <w:u w:val="none"/>
        </w:rPr>
        <w:t>元，占政府采购支出总额的</w:t>
      </w:r>
      <w:r>
        <w:rPr>
          <w:rFonts w:hint="eastAsia" w:ascii="仿宋_GB2312" w:hAnsi="仿宋_GB2312" w:eastAsia="仿宋_GB2312" w:cs="仿宋_GB2312"/>
          <w:sz w:val="30"/>
          <w:szCs w:val="30"/>
          <w:u w:val="none"/>
          <w:lang w:val="en-US" w:eastAsia="zh-CN"/>
        </w:rPr>
        <w:t>10</w:t>
      </w:r>
      <w:r>
        <w:rPr>
          <w:rFonts w:hint="eastAsia" w:ascii="仿宋_GB2312" w:hAnsi="仿宋_GB2312" w:eastAsia="仿宋_GB2312" w:cs="仿宋_GB2312"/>
          <w:sz w:val="30"/>
          <w:szCs w:val="30"/>
          <w:u w:val="none"/>
        </w:rPr>
        <w:t>0.00%；货物采购授予中小企业合同金额占货物支出金额的0.00%，工程采购授予中小企业合同金额占工程支出金额的0.00%，服务采购授予中小企业合同金额占服务支出金额的</w:t>
      </w:r>
      <w:r>
        <w:rPr>
          <w:rFonts w:hint="eastAsia" w:ascii="仿宋_GB2312" w:hAnsi="仿宋_GB2312" w:eastAsia="仿宋_GB2312" w:cs="仿宋_GB2312"/>
          <w:sz w:val="30"/>
          <w:szCs w:val="30"/>
          <w:u w:val="none"/>
          <w:lang w:val="en-US" w:eastAsia="zh-CN"/>
        </w:rPr>
        <w:t>100.00</w:t>
      </w:r>
      <w:r>
        <w:rPr>
          <w:rFonts w:hint="eastAsia" w:ascii="仿宋_GB2312" w:hAnsi="仿宋_GB2312" w:eastAsia="仿宋_GB2312" w:cs="仿宋_GB2312"/>
          <w:sz w:val="30"/>
          <w:szCs w:val="30"/>
          <w:u w:val="none"/>
        </w:rPr>
        <w:t>%。</w:t>
      </w:r>
    </w:p>
    <w:p>
      <w:pPr>
        <w:spacing w:line="600" w:lineRule="exact"/>
        <w:ind w:firstLine="645"/>
        <w:jc w:val="both"/>
        <w:rPr>
          <w:rFonts w:hint="default" w:ascii="仿宋_GB2312" w:hAnsi="仿宋_GB2312" w:eastAsia="仿宋_GB2312" w:cs="仿宋_GB2312"/>
          <w:sz w:val="30"/>
          <w:szCs w:val="30"/>
          <w:u w:val="none"/>
          <w:lang w:val="en-US" w:eastAsia="zh-CN"/>
        </w:rPr>
      </w:pPr>
      <w:r>
        <w:rPr>
          <w:rFonts w:hint="eastAsia" w:ascii="仿宋_GB2312" w:hAnsi="仿宋_GB2312" w:eastAsia="仿宋_GB2312" w:cs="仿宋_GB2312"/>
          <w:sz w:val="30"/>
          <w:szCs w:val="30"/>
          <w:u w:val="none"/>
          <w:lang w:eastAsia="zh-CN"/>
        </w:rPr>
        <w:t>本部门</w:t>
      </w:r>
      <w:r>
        <w:rPr>
          <w:rFonts w:hint="eastAsia" w:ascii="仿宋_GB2312" w:hAnsi="仿宋_GB2312" w:eastAsia="仿宋_GB2312" w:cs="仿宋_GB2312"/>
          <w:sz w:val="30"/>
          <w:szCs w:val="30"/>
          <w:u w:val="none"/>
          <w:lang w:val="en-US" w:eastAsia="zh-CN"/>
        </w:rPr>
        <w:t>2022年授予中小企业合同金额</w:t>
      </w:r>
      <w:r>
        <w:rPr>
          <w:rFonts w:hint="eastAsia" w:ascii="仿宋_GB2312" w:hAnsi="仿宋_GB2312" w:eastAsia="仿宋_GB2312" w:cs="仿宋_GB2312"/>
          <w:sz w:val="30"/>
          <w:szCs w:val="30"/>
          <w:u w:val="none"/>
        </w:rPr>
        <w:t>996000.00</w:t>
      </w:r>
      <w:r>
        <w:rPr>
          <w:rFonts w:hint="eastAsia" w:ascii="仿宋_GB2312" w:hAnsi="仿宋_GB2312" w:eastAsia="仿宋_GB2312" w:cs="仿宋_GB2312"/>
          <w:sz w:val="30"/>
          <w:szCs w:val="30"/>
          <w:u w:val="none"/>
          <w:lang w:eastAsia="zh-CN"/>
        </w:rPr>
        <w:t>元，</w:t>
      </w:r>
      <w:r>
        <w:rPr>
          <w:rFonts w:hint="eastAsia" w:ascii="仿宋_GB2312" w:hAnsi="仿宋_GB2312" w:eastAsia="仿宋_GB2312" w:cs="仿宋_GB2312"/>
          <w:sz w:val="30"/>
          <w:szCs w:val="30"/>
          <w:u w:val="none"/>
          <w:lang w:val="en-US" w:eastAsia="zh-CN"/>
        </w:rPr>
        <w:t>2022年度部门决算中授予小微企业合同金额0元，差额996000.00元，存在差额的原因为系统填报问题。</w:t>
      </w:r>
    </w:p>
    <w:p>
      <w:pPr>
        <w:pStyle w:val="3"/>
        <w:spacing w:before="0" w:after="0" w:line="600" w:lineRule="exact"/>
        <w:ind w:firstLine="600" w:firstLineChars="200"/>
        <w:rPr>
          <w:rFonts w:ascii="Times New Roman" w:hAnsi="Times New Roman" w:eastAsia="黑体"/>
          <w:b w:val="0"/>
          <w:sz w:val="30"/>
          <w:szCs w:val="30"/>
          <w:u w:val="none"/>
        </w:rPr>
      </w:pPr>
      <w:bookmarkStart w:id="28" w:name="_Toc23709"/>
      <w:r>
        <w:rPr>
          <w:rFonts w:hint="eastAsia" w:ascii="Times New Roman" w:hAnsi="Times New Roman" w:eastAsia="黑体"/>
          <w:b w:val="0"/>
          <w:sz w:val="30"/>
          <w:szCs w:val="30"/>
          <w:u w:val="none"/>
        </w:rPr>
        <w:t>十二、国有资产占有使用情况</w:t>
      </w:r>
      <w:r>
        <w:rPr>
          <w:rFonts w:hint="eastAsia" w:ascii="Times New Roman" w:hAnsi="Times New Roman" w:eastAsia="黑体"/>
          <w:b w:val="0"/>
          <w:bCs w:val="0"/>
          <w:sz w:val="30"/>
          <w:szCs w:val="30"/>
          <w:u w:val="none"/>
        </w:rPr>
        <w:t>说明</w:t>
      </w:r>
      <w:bookmarkEnd w:id="28"/>
    </w:p>
    <w:p>
      <w:pPr>
        <w:spacing w:line="600" w:lineRule="exact"/>
        <w:ind w:firstLine="645"/>
        <w:jc w:val="both"/>
        <w:rPr>
          <w:rFonts w:hint="eastAsia" w:ascii="仿宋_GB2312" w:hAnsi="仿宋_GB2312" w:eastAsia="仿宋_GB2312" w:cs="仿宋_GB2312"/>
          <w:sz w:val="30"/>
          <w:szCs w:val="30"/>
          <w:u w:val="none"/>
        </w:rPr>
      </w:pPr>
      <w:r>
        <w:rPr>
          <w:rFonts w:hint="eastAsia" w:ascii="仿宋_GB2312" w:hAnsi="仿宋_GB2312" w:eastAsia="仿宋_GB2312" w:cs="仿宋_GB2312"/>
          <w:sz w:val="30"/>
          <w:szCs w:val="30"/>
          <w:u w:val="none"/>
        </w:rPr>
        <w:t>截至2022年12月31日，天津市津南区北闸口镇农业农村事务服务中心共有车辆3辆，其中：副部（省）级及以上领导用车</w:t>
      </w:r>
      <w:r>
        <w:rPr>
          <w:rFonts w:hint="eastAsia" w:ascii="仿宋_GB2312" w:hAnsi="仿宋_GB2312" w:eastAsia="仿宋_GB2312" w:cs="仿宋_GB2312"/>
          <w:sz w:val="30"/>
          <w:szCs w:val="30"/>
          <w:u w:val="none"/>
          <w:lang w:val="en-US" w:eastAsia="zh-CN"/>
        </w:rPr>
        <w:t>0</w:t>
      </w:r>
      <w:r>
        <w:rPr>
          <w:rFonts w:hint="eastAsia" w:ascii="仿宋_GB2312" w:hAnsi="仿宋_GB2312" w:eastAsia="仿宋_GB2312" w:cs="仿宋_GB2312"/>
          <w:sz w:val="30"/>
          <w:szCs w:val="30"/>
          <w:u w:val="none"/>
        </w:rPr>
        <w:t>辆、主要领导干部用车0辆、机要通信车0辆、应急保障用车0辆、执法执勤用车0辆、特种专业技术用车0辆、离退休干部用车0辆、其他用车3辆，其他用车主要包括</w:t>
      </w:r>
      <w:r>
        <w:rPr>
          <w:rFonts w:hint="eastAsia" w:ascii="仿宋_GB2312" w:hAnsi="仿宋_GB2312" w:eastAsia="仿宋_GB2312" w:cs="仿宋_GB2312"/>
          <w:sz w:val="30"/>
          <w:szCs w:val="30"/>
          <w:u w:val="none"/>
          <w:lang w:eastAsia="zh-CN"/>
        </w:rPr>
        <w:t>本单位公务用途的车辆</w:t>
      </w:r>
      <w:r>
        <w:rPr>
          <w:rFonts w:hint="eastAsia" w:ascii="仿宋_GB2312" w:hAnsi="仿宋_GB2312" w:eastAsia="仿宋_GB2312" w:cs="仿宋_GB2312"/>
          <w:sz w:val="30"/>
          <w:szCs w:val="30"/>
          <w:u w:val="none"/>
        </w:rPr>
        <w:t>。单价100万元以上的专用设备0台（套）。</w:t>
      </w:r>
    </w:p>
    <w:p>
      <w:pPr>
        <w:pStyle w:val="3"/>
        <w:numPr>
          <w:ilvl w:val="0"/>
          <w:numId w:val="1"/>
        </w:numPr>
        <w:spacing w:before="0" w:after="0" w:line="540" w:lineRule="exact"/>
        <w:ind w:left="0" w:leftChars="0" w:firstLine="600" w:firstLineChars="200"/>
        <w:rPr>
          <w:rFonts w:hint="eastAsia" w:ascii="Times New Roman" w:hAnsi="Times New Roman" w:eastAsia="黑体"/>
          <w:b w:val="0"/>
          <w:bCs w:val="0"/>
          <w:sz w:val="30"/>
          <w:szCs w:val="30"/>
          <w:u w:val="none"/>
        </w:rPr>
      </w:pPr>
      <w:bookmarkStart w:id="29" w:name="_Toc11467"/>
      <w:r>
        <w:rPr>
          <w:rFonts w:hint="eastAsia" w:ascii="Times New Roman" w:hAnsi="Times New Roman" w:eastAsia="黑体"/>
          <w:b w:val="0"/>
          <w:bCs w:val="0"/>
          <w:sz w:val="30"/>
          <w:szCs w:val="30"/>
          <w:u w:val="none"/>
        </w:rPr>
        <w:t>预算绩效情况说明</w:t>
      </w:r>
      <w:bookmarkEnd w:id="29"/>
    </w:p>
    <w:p>
      <w:pPr>
        <w:spacing w:line="600" w:lineRule="exact"/>
        <w:ind w:firstLine="645"/>
        <w:jc w:val="both"/>
        <w:rPr>
          <w:rFonts w:hint="eastAsia" w:ascii="仿宋_GB2312" w:hAnsi="仿宋_GB2312" w:eastAsia="仿宋_GB2312" w:cs="仿宋_GB2312"/>
          <w:sz w:val="30"/>
          <w:szCs w:val="30"/>
          <w:u w:val="none"/>
          <w:lang w:val="en-US" w:eastAsia="zh-CN"/>
        </w:rPr>
      </w:pPr>
      <w:r>
        <w:rPr>
          <w:rFonts w:hint="eastAsia" w:ascii="仿宋_GB2312" w:hAnsi="仿宋_GB2312" w:eastAsia="仿宋_GB2312" w:cs="仿宋_GB2312"/>
          <w:sz w:val="30"/>
          <w:szCs w:val="30"/>
          <w:u w:val="none"/>
        </w:rPr>
        <w:t>根据预算绩效管理要求，天津市津南区北闸口镇农业农村事务服务中心2022年度已对</w:t>
      </w:r>
      <w:r>
        <w:rPr>
          <w:rFonts w:hint="eastAsia" w:ascii="仿宋_GB2312" w:hAnsi="仿宋_GB2312" w:eastAsia="仿宋_GB2312" w:cs="仿宋_GB2312"/>
          <w:sz w:val="30"/>
          <w:szCs w:val="30"/>
          <w:u w:val="none"/>
          <w:lang w:val="en-US" w:eastAsia="zh-CN"/>
        </w:rPr>
        <w:t>12</w:t>
      </w:r>
      <w:r>
        <w:rPr>
          <w:rFonts w:hint="eastAsia" w:ascii="仿宋_GB2312" w:hAnsi="仿宋_GB2312" w:eastAsia="仿宋_GB2312" w:cs="仿宋_GB2312"/>
          <w:sz w:val="30"/>
          <w:szCs w:val="30"/>
          <w:u w:val="none"/>
        </w:rPr>
        <w:t>个</w:t>
      </w:r>
      <w:r>
        <w:rPr>
          <w:rFonts w:hint="eastAsia" w:ascii="仿宋_GB2312" w:hAnsi="仿宋_GB2312" w:eastAsia="仿宋_GB2312" w:cs="仿宋_GB2312"/>
          <w:sz w:val="30"/>
          <w:szCs w:val="30"/>
          <w:u w:val="none"/>
          <w:lang w:eastAsia="zh-CN"/>
        </w:rPr>
        <w:t>镇级</w:t>
      </w:r>
      <w:r>
        <w:rPr>
          <w:rFonts w:hint="eastAsia" w:ascii="仿宋_GB2312" w:hAnsi="仿宋_GB2312" w:eastAsia="仿宋_GB2312" w:cs="仿宋_GB2312"/>
          <w:sz w:val="30"/>
          <w:szCs w:val="30"/>
          <w:u w:val="none"/>
        </w:rPr>
        <w:t>项目开展绩效自评，涉及金额</w:t>
      </w:r>
      <w:r>
        <w:rPr>
          <w:rFonts w:hint="eastAsia" w:ascii="仿宋_GB2312" w:hAnsi="仿宋_GB2312" w:eastAsia="仿宋_GB2312" w:cs="仿宋_GB2312"/>
          <w:sz w:val="30"/>
          <w:szCs w:val="30"/>
          <w:u w:val="none"/>
          <w:lang w:val="en-US" w:eastAsia="zh-CN"/>
        </w:rPr>
        <w:t>3831019.2</w:t>
      </w:r>
      <w:r>
        <w:rPr>
          <w:rFonts w:hint="eastAsia" w:ascii="仿宋_GB2312" w:hAnsi="仿宋_GB2312" w:eastAsia="仿宋_GB2312" w:cs="仿宋_GB2312"/>
          <w:sz w:val="30"/>
          <w:szCs w:val="30"/>
          <w:u w:val="none"/>
        </w:rPr>
        <w:t>元，自评结果已随部门决算一并公开。</w:t>
      </w:r>
    </w:p>
    <w:p>
      <w:pPr>
        <w:pStyle w:val="3"/>
        <w:spacing w:before="0" w:after="0" w:line="600" w:lineRule="exact"/>
        <w:ind w:firstLine="600" w:firstLineChars="200"/>
        <w:rPr>
          <w:rFonts w:ascii="Times New Roman" w:hAnsi="Times New Roman" w:eastAsia="黑体"/>
          <w:b w:val="0"/>
          <w:sz w:val="30"/>
          <w:szCs w:val="30"/>
          <w:u w:val="none"/>
        </w:rPr>
      </w:pPr>
      <w:bookmarkStart w:id="30" w:name="_Toc15949"/>
      <w:r>
        <w:rPr>
          <w:rFonts w:hint="eastAsia" w:ascii="Times New Roman" w:hAnsi="Times New Roman" w:eastAsia="黑体"/>
          <w:b w:val="0"/>
          <w:sz w:val="30"/>
          <w:szCs w:val="30"/>
          <w:u w:val="none"/>
        </w:rPr>
        <w:t>十四、</w:t>
      </w:r>
      <w:r>
        <w:rPr>
          <w:rFonts w:ascii="Times New Roman" w:hAnsi="Times New Roman" w:eastAsia="黑体"/>
          <w:b w:val="0"/>
          <w:sz w:val="30"/>
          <w:szCs w:val="30"/>
          <w:u w:val="none"/>
        </w:rPr>
        <w:t>教育、医疗卫生、社会保障和就业、住房保障、涉农补贴等民生支出情况</w:t>
      </w:r>
      <w:r>
        <w:rPr>
          <w:rFonts w:hint="eastAsia" w:ascii="Times New Roman" w:hAnsi="Times New Roman" w:eastAsia="黑体"/>
          <w:b w:val="0"/>
          <w:bCs w:val="0"/>
          <w:sz w:val="30"/>
          <w:szCs w:val="30"/>
          <w:u w:val="none"/>
        </w:rPr>
        <w:t>说明</w:t>
      </w:r>
      <w:bookmarkEnd w:id="30"/>
    </w:p>
    <w:p>
      <w:pPr>
        <w:spacing w:line="600" w:lineRule="exact"/>
        <w:ind w:firstLine="645"/>
        <w:jc w:val="both"/>
        <w:rPr>
          <w:rFonts w:hint="eastAsia" w:ascii="仿宋_GB2312" w:eastAsia="仿宋_GB2312" w:cs="仿宋_GB2312"/>
          <w:sz w:val="30"/>
          <w:szCs w:val="30"/>
          <w:lang w:eastAsia="zh-CN"/>
        </w:rPr>
      </w:pPr>
      <w:r>
        <w:rPr>
          <w:rFonts w:hint="eastAsia" w:ascii="仿宋_GB2312" w:hAnsi="仿宋_GB2312" w:eastAsia="仿宋_GB2312" w:cs="仿宋_GB2312"/>
          <w:sz w:val="30"/>
          <w:szCs w:val="30"/>
          <w:u w:val="none"/>
          <w:lang w:val="en-US" w:eastAsia="zh-CN"/>
        </w:rPr>
        <w:t>2022年度，天津市津南区北闸口镇农业农村事务服务中心</w:t>
      </w:r>
      <w:r>
        <w:rPr>
          <w:rFonts w:hint="eastAsia" w:ascii="仿宋_GB2312" w:eastAsia="仿宋_GB2312" w:cs="仿宋_GB2312"/>
          <w:sz w:val="30"/>
          <w:szCs w:val="30"/>
          <w:lang w:eastAsia="zh-CN"/>
        </w:rPr>
        <w:t>不涉及</w:t>
      </w:r>
      <w:r>
        <w:rPr>
          <w:rFonts w:hint="eastAsia" w:ascii="仿宋_GB2312" w:eastAsia="仿宋_GB2312" w:cs="仿宋_GB2312"/>
          <w:sz w:val="30"/>
          <w:szCs w:val="30"/>
        </w:rPr>
        <w:t>公开教育、医疗卫生、住房保障</w:t>
      </w:r>
      <w:r>
        <w:rPr>
          <w:rFonts w:hint="eastAsia" w:ascii="仿宋_GB2312" w:eastAsia="仿宋_GB2312" w:cs="仿宋_GB2312"/>
          <w:sz w:val="30"/>
          <w:szCs w:val="30"/>
          <w:lang w:val="en-US" w:eastAsia="zh-CN"/>
        </w:rPr>
        <w:t>、社会保障和就业</w:t>
      </w:r>
      <w:r>
        <w:rPr>
          <w:rFonts w:hint="eastAsia" w:ascii="仿宋_GB2312" w:eastAsia="仿宋_GB2312" w:cs="仿宋_GB2312"/>
          <w:sz w:val="30"/>
          <w:szCs w:val="30"/>
        </w:rPr>
        <w:t>等民生支出情况</w:t>
      </w:r>
      <w:r>
        <w:rPr>
          <w:rFonts w:hint="eastAsia" w:ascii="仿宋_GB2312" w:eastAsia="仿宋_GB2312" w:cs="仿宋_GB2312"/>
          <w:sz w:val="30"/>
          <w:szCs w:val="30"/>
          <w:lang w:eastAsia="zh-CN"/>
        </w:rPr>
        <w:t>。</w:t>
      </w:r>
    </w:p>
    <w:p>
      <w:pPr>
        <w:spacing w:line="600" w:lineRule="exact"/>
        <w:ind w:firstLine="645"/>
        <w:jc w:val="both"/>
        <w:rPr>
          <w:rFonts w:hint="eastAsia" w:ascii="仿宋_GB2312" w:hAnsi="仿宋_GB2312" w:eastAsia="仿宋_GB2312" w:cs="仿宋_GB2312"/>
          <w:sz w:val="30"/>
          <w:szCs w:val="30"/>
          <w:u w:val="none"/>
          <w:lang w:val="en-US" w:eastAsia="zh-CN"/>
        </w:rPr>
      </w:pPr>
      <w:r>
        <w:rPr>
          <w:rFonts w:hint="eastAsia" w:ascii="仿宋_GB2312" w:hAnsi="仿宋_GB2312" w:eastAsia="仿宋_GB2312" w:cs="仿宋_GB2312"/>
          <w:sz w:val="30"/>
          <w:szCs w:val="30"/>
          <w:u w:val="none"/>
          <w:lang w:val="en-US" w:eastAsia="zh-CN"/>
        </w:rPr>
        <w:t>2022年度，天津市津南区北闸口镇农业农村事务服务中心</w:t>
      </w:r>
      <w:r>
        <w:rPr>
          <w:rFonts w:hint="eastAsia" w:ascii="仿宋_GB2312" w:eastAsia="仿宋_GB2312" w:cs="仿宋_GB2312"/>
          <w:sz w:val="30"/>
          <w:szCs w:val="30"/>
          <w:lang w:val="en-US" w:eastAsia="zh-CN"/>
        </w:rPr>
        <w:t>涉及</w:t>
      </w:r>
      <w:r>
        <w:rPr>
          <w:rFonts w:hint="eastAsia" w:ascii="仿宋_GB2312" w:hAnsi="仿宋_GB2312" w:eastAsia="仿宋_GB2312" w:cs="仿宋_GB2312"/>
          <w:sz w:val="30"/>
          <w:szCs w:val="30"/>
          <w:u w:val="none"/>
          <w:lang w:val="en-US" w:eastAsia="zh-CN"/>
        </w:rPr>
        <w:t>涉农补贴等民生支出情况，包括项目名称、预算规模、补助标准、发放程序、资金分配结果等如下：</w:t>
      </w:r>
    </w:p>
    <w:p>
      <w:pPr>
        <w:spacing w:line="600" w:lineRule="exact"/>
        <w:ind w:firstLine="645"/>
        <w:jc w:val="both"/>
        <w:rPr>
          <w:rFonts w:hint="eastAsia" w:ascii="仿宋_GB2312" w:hAnsi="仿宋_GB2312" w:eastAsia="仿宋_GB2312" w:cs="仿宋_GB2312"/>
          <w:sz w:val="30"/>
          <w:szCs w:val="30"/>
          <w:u w:val="none"/>
          <w:lang w:val="en-US" w:eastAsia="zh-CN"/>
        </w:rPr>
      </w:pPr>
      <w:r>
        <w:rPr>
          <w:rFonts w:hint="eastAsia" w:ascii="仿宋_GB2312" w:hAnsi="仿宋_GB2312" w:eastAsia="仿宋_GB2312" w:cs="仿宋_GB2312"/>
          <w:sz w:val="30"/>
          <w:szCs w:val="30"/>
          <w:u w:val="none"/>
          <w:lang w:val="en-US" w:eastAsia="zh-CN"/>
        </w:rPr>
        <w:t>项目名称：农作物秸秆综合利用</w:t>
      </w:r>
    </w:p>
    <w:p>
      <w:pPr>
        <w:spacing w:line="600" w:lineRule="exact"/>
        <w:ind w:firstLine="645"/>
        <w:jc w:val="both"/>
        <w:rPr>
          <w:rFonts w:hint="eastAsia" w:ascii="仿宋_GB2312" w:hAnsi="仿宋_GB2312" w:eastAsia="仿宋_GB2312" w:cs="仿宋_GB2312"/>
          <w:sz w:val="30"/>
          <w:szCs w:val="30"/>
          <w:u w:val="none"/>
          <w:lang w:val="en-US" w:eastAsia="zh-CN"/>
        </w:rPr>
      </w:pPr>
      <w:r>
        <w:rPr>
          <w:rFonts w:hint="eastAsia" w:ascii="仿宋_GB2312" w:hAnsi="仿宋_GB2312" w:eastAsia="仿宋_GB2312" w:cs="仿宋_GB2312"/>
          <w:sz w:val="30"/>
          <w:szCs w:val="30"/>
          <w:u w:val="none"/>
          <w:lang w:val="en-US" w:eastAsia="zh-CN"/>
        </w:rPr>
        <w:t>补贴标准：农作物秸秆综合利用对小麦秸秆粉碎还田作业，给予每亩15元补助；对玉米（包括高粱等）秸秆粉碎还田，并及时进行机耕覆盖作业，给予每亩40元补助；对玉米（或高粱）秸秆饲料化利用，给予每亩15元补助；对棉花秸秆机械化离田作业，给予每亩20元补助；对水稻秸秆机械化打捆离田作业，给予每亩30元补助。</w:t>
      </w:r>
    </w:p>
    <w:p>
      <w:pPr>
        <w:spacing w:line="600" w:lineRule="exact"/>
        <w:ind w:firstLine="645"/>
        <w:jc w:val="both"/>
        <w:rPr>
          <w:rFonts w:hint="eastAsia" w:ascii="仿宋_GB2312" w:hAnsi="仿宋_GB2312" w:eastAsia="仿宋_GB2312" w:cs="仿宋_GB2312"/>
          <w:sz w:val="30"/>
          <w:szCs w:val="30"/>
          <w:u w:val="none"/>
          <w:lang w:val="en-US" w:eastAsia="zh-CN"/>
        </w:rPr>
      </w:pPr>
      <w:r>
        <w:rPr>
          <w:rFonts w:hint="eastAsia" w:ascii="仿宋_GB2312" w:hAnsi="仿宋_GB2312" w:eastAsia="仿宋_GB2312" w:cs="仿宋_GB2312"/>
          <w:sz w:val="30"/>
          <w:szCs w:val="30"/>
          <w:u w:val="none"/>
          <w:lang w:val="en-US" w:eastAsia="zh-CN"/>
        </w:rPr>
        <w:t>预算规模：2022年农作物秸秆综合利用预算42.7万元，实际支出399615元。</w:t>
      </w:r>
    </w:p>
    <w:p>
      <w:pPr>
        <w:spacing w:line="600" w:lineRule="exact"/>
        <w:ind w:firstLine="645"/>
        <w:jc w:val="both"/>
        <w:rPr>
          <w:rFonts w:hint="eastAsia" w:ascii="仿宋_GB2312" w:hAnsi="仿宋_GB2312" w:eastAsia="仿宋_GB2312" w:cs="仿宋_GB2312"/>
          <w:sz w:val="30"/>
          <w:szCs w:val="30"/>
          <w:u w:val="none"/>
          <w:lang w:val="en-US" w:eastAsia="zh-CN"/>
        </w:rPr>
      </w:pPr>
      <w:r>
        <w:rPr>
          <w:rFonts w:hint="eastAsia" w:ascii="仿宋_GB2312" w:hAnsi="仿宋_GB2312" w:eastAsia="仿宋_GB2312" w:cs="仿宋_GB2312"/>
          <w:sz w:val="30"/>
          <w:szCs w:val="30"/>
          <w:u w:val="none"/>
          <w:lang w:val="en-US" w:eastAsia="zh-CN"/>
        </w:rPr>
        <w:t>发放程序：农作物秸秆综合利用先与种植户或农业规模经营主体签订协议后方可进行作业。在秸秆还田、离田作业整个过程中村委会负责组织检查、核实、验收 ，核查验收合格后，由村委会对作业面积、补贴资金进行公示，公示期不少于7天，示无异议后，将公示结果及所提供的材料报区农服中心。由区农机中心进行审核，审核无误后向区财政局提出用款申请，由区农机中心将补贴资金拨付镇人民政府，通过“一卡通”的形式将补贴资金足额发放到种植者。</w:t>
      </w:r>
    </w:p>
    <w:p>
      <w:pPr>
        <w:spacing w:line="600" w:lineRule="exact"/>
        <w:ind w:firstLine="645"/>
        <w:jc w:val="both"/>
        <w:rPr>
          <w:rFonts w:hint="eastAsia" w:ascii="仿宋_GB2312" w:hAnsi="仿宋_GB2312" w:eastAsia="仿宋_GB2312" w:cs="仿宋_GB2312"/>
          <w:sz w:val="30"/>
          <w:szCs w:val="30"/>
          <w:u w:val="none"/>
          <w:lang w:val="en-US" w:eastAsia="zh-CN"/>
        </w:rPr>
        <w:sectPr>
          <w:pgSz w:w="11906" w:h="16838"/>
          <w:pgMar w:top="1440" w:right="1800" w:bottom="1440" w:left="1800" w:header="851" w:footer="992" w:gutter="0"/>
          <w:cols w:space="720" w:num="1"/>
          <w:docGrid w:type="lines" w:linePitch="312" w:charSpace="0"/>
        </w:sectPr>
      </w:pPr>
    </w:p>
    <w:p>
      <w:pPr>
        <w:pStyle w:val="2"/>
        <w:spacing w:before="0" w:after="0" w:line="600" w:lineRule="exact"/>
        <w:jc w:val="center"/>
        <w:rPr>
          <w:rFonts w:ascii="Times New Roman" w:hAnsi="Times New Roman" w:eastAsia="方正小标宋简体" w:cs="方正小标宋简体"/>
          <w:b w:val="0"/>
          <w:u w:val="none"/>
        </w:rPr>
      </w:pPr>
      <w:bookmarkStart w:id="31" w:name="_Toc30612"/>
      <w:r>
        <w:rPr>
          <w:rFonts w:hint="eastAsia" w:ascii="Times New Roman" w:hAnsi="Times New Roman" w:eastAsia="方正小标宋简体" w:cs="方正小标宋简体"/>
          <w:b w:val="0"/>
          <w:u w:val="none"/>
        </w:rPr>
        <w:t>第四部分  名词解释</w:t>
      </w:r>
      <w:bookmarkEnd w:id="31"/>
    </w:p>
    <w:p>
      <w:pPr>
        <w:spacing w:line="600" w:lineRule="exact"/>
        <w:ind w:firstLine="600" w:firstLineChars="200"/>
        <w:rPr>
          <w:rFonts w:ascii="Times New Roman" w:hAnsi="Times New Roman" w:eastAsia="仿宋_GB2312"/>
          <w:sz w:val="30"/>
          <w:szCs w:val="30"/>
          <w:u w:val="none"/>
        </w:rPr>
      </w:pPr>
    </w:p>
    <w:p>
      <w:pPr>
        <w:numPr>
          <w:ilvl w:val="0"/>
          <w:numId w:val="3"/>
        </w:numPr>
        <w:spacing w:line="600" w:lineRule="exact"/>
        <w:ind w:firstLine="600" w:firstLineChars="200"/>
        <w:rPr>
          <w:rFonts w:ascii="Times New Roman" w:hAnsi="Times New Roman" w:eastAsia="仿宋_GB2312"/>
          <w:sz w:val="30"/>
          <w:szCs w:val="30"/>
          <w:u w:val="none"/>
        </w:rPr>
      </w:pPr>
      <w:r>
        <w:rPr>
          <w:rFonts w:hint="eastAsia" w:ascii="Times New Roman" w:hAnsi="Times New Roman" w:eastAsia="仿宋_GB2312"/>
          <w:sz w:val="30"/>
          <w:szCs w:val="30"/>
          <w:u w:val="none"/>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spacing w:line="600" w:lineRule="exact"/>
        <w:ind w:firstLine="600" w:firstLineChars="200"/>
        <w:rPr>
          <w:rFonts w:ascii="Times New Roman" w:hAnsi="Times New Roman" w:eastAsia="仿宋_GB2312"/>
          <w:sz w:val="30"/>
          <w:szCs w:val="30"/>
          <w:u w:val="none"/>
        </w:rPr>
      </w:pPr>
      <w:r>
        <w:rPr>
          <w:rFonts w:hint="eastAsia" w:ascii="Times New Roman" w:hAnsi="Times New Roman" w:eastAsia="仿宋_GB2312"/>
          <w:sz w:val="30"/>
          <w:szCs w:val="30"/>
          <w:u w:val="none"/>
        </w:rPr>
        <w:t>2.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spacing w:line="600" w:lineRule="exact"/>
        <w:ind w:firstLine="600" w:firstLineChars="200"/>
        <w:rPr>
          <w:rFonts w:ascii="Times New Roman" w:hAnsi="Times New Roman" w:eastAsia="仿宋_GB2312"/>
          <w:sz w:val="30"/>
          <w:szCs w:val="30"/>
          <w:u w:val="none"/>
        </w:rPr>
      </w:pPr>
      <w:r>
        <w:rPr>
          <w:rFonts w:hint="eastAsia" w:ascii="Times New Roman" w:hAnsi="Times New Roman" w:eastAsia="仿宋_GB2312"/>
          <w:sz w:val="30"/>
          <w:szCs w:val="30"/>
          <w:u w:val="none"/>
        </w:rPr>
        <w:t>3.“三公”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pPr>
        <w:spacing w:line="600" w:lineRule="exact"/>
        <w:ind w:firstLine="600" w:firstLineChars="200"/>
        <w:rPr>
          <w:rFonts w:ascii="Times New Roman" w:hAnsi="Times New Roman" w:eastAsia="仿宋_GB2312"/>
          <w:sz w:val="30"/>
          <w:szCs w:val="30"/>
          <w:highlight w:val="yellow"/>
          <w:u w:val="none"/>
        </w:rPr>
      </w:pPr>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j4x0QAgAABwQAAA4AAABkcnMvZTJvRG9jLnhtbK1TzY7TMBC+I/EO&#10;lu80aRG7Vd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oI+MdEAIAAAcEAAAOAAAAAAAAAAEAIAAA&#10;AB8BAABkcnMvZTJvRG9jLnhtbFBLBQYAAAAABgAGAFkBAACh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A6DC5"/>
    <w:multiLevelType w:val="singleLevel"/>
    <w:tmpl w:val="403A6DC5"/>
    <w:lvl w:ilvl="0" w:tentative="0">
      <w:start w:val="12"/>
      <w:numFmt w:val="chineseCounting"/>
      <w:suff w:val="nothing"/>
      <w:lvlText w:val="%1、"/>
      <w:lvlJc w:val="left"/>
      <w:rPr>
        <w:rFonts w:hint="eastAsia"/>
      </w:rPr>
    </w:lvl>
  </w:abstractNum>
  <w:abstractNum w:abstractNumId="1">
    <w:nsid w:val="62CB79B7"/>
    <w:multiLevelType w:val="singleLevel"/>
    <w:tmpl w:val="62CB79B7"/>
    <w:lvl w:ilvl="0" w:tentative="0">
      <w:start w:val="3"/>
      <w:numFmt w:val="chineseCounting"/>
      <w:suff w:val="nothing"/>
      <w:lvlText w:val="（%1）"/>
      <w:lvlJc w:val="left"/>
    </w:lvl>
  </w:abstractNum>
  <w:abstractNum w:abstractNumId="2">
    <w:nsid w:val="62CB88B4"/>
    <w:multiLevelType w:val="singleLevel"/>
    <w:tmpl w:val="62CB88B4"/>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ZmJjZTk2ZTkyODk0YjRhYzQ1MWY2MDgzOGJjMDUifQ=="/>
  </w:docVars>
  <w:rsids>
    <w:rsidRoot w:val="00172A27"/>
    <w:rsid w:val="00015911"/>
    <w:rsid w:val="000423B8"/>
    <w:rsid w:val="00046E1C"/>
    <w:rsid w:val="00053901"/>
    <w:rsid w:val="000864BF"/>
    <w:rsid w:val="00092AB8"/>
    <w:rsid w:val="000B4E39"/>
    <w:rsid w:val="0010218D"/>
    <w:rsid w:val="00112C55"/>
    <w:rsid w:val="001179AF"/>
    <w:rsid w:val="0012059C"/>
    <w:rsid w:val="00124993"/>
    <w:rsid w:val="0012531C"/>
    <w:rsid w:val="00126E2D"/>
    <w:rsid w:val="00172A27"/>
    <w:rsid w:val="001829A0"/>
    <w:rsid w:val="00186ED8"/>
    <w:rsid w:val="001974AC"/>
    <w:rsid w:val="001F61CD"/>
    <w:rsid w:val="00215444"/>
    <w:rsid w:val="00215EBD"/>
    <w:rsid w:val="00241712"/>
    <w:rsid w:val="002532F7"/>
    <w:rsid w:val="002566ED"/>
    <w:rsid w:val="00257643"/>
    <w:rsid w:val="002912A7"/>
    <w:rsid w:val="002D2BBE"/>
    <w:rsid w:val="002E091E"/>
    <w:rsid w:val="002F00A9"/>
    <w:rsid w:val="003365DD"/>
    <w:rsid w:val="00352CF7"/>
    <w:rsid w:val="003714D5"/>
    <w:rsid w:val="00381206"/>
    <w:rsid w:val="0038216E"/>
    <w:rsid w:val="003942CD"/>
    <w:rsid w:val="003A4529"/>
    <w:rsid w:val="004040D1"/>
    <w:rsid w:val="00432D37"/>
    <w:rsid w:val="0044208E"/>
    <w:rsid w:val="0045017A"/>
    <w:rsid w:val="00464079"/>
    <w:rsid w:val="00465602"/>
    <w:rsid w:val="004918AD"/>
    <w:rsid w:val="004A1361"/>
    <w:rsid w:val="0050332F"/>
    <w:rsid w:val="00532C4C"/>
    <w:rsid w:val="00570354"/>
    <w:rsid w:val="005B60DB"/>
    <w:rsid w:val="005C22AF"/>
    <w:rsid w:val="005F2510"/>
    <w:rsid w:val="00676A5E"/>
    <w:rsid w:val="006A54BF"/>
    <w:rsid w:val="006D05B2"/>
    <w:rsid w:val="00722412"/>
    <w:rsid w:val="00727434"/>
    <w:rsid w:val="00734D29"/>
    <w:rsid w:val="0077787E"/>
    <w:rsid w:val="0079348B"/>
    <w:rsid w:val="007A3491"/>
    <w:rsid w:val="007B4B58"/>
    <w:rsid w:val="007B78DD"/>
    <w:rsid w:val="007F3679"/>
    <w:rsid w:val="007F448B"/>
    <w:rsid w:val="007F718E"/>
    <w:rsid w:val="00801B2B"/>
    <w:rsid w:val="0080287C"/>
    <w:rsid w:val="00803B43"/>
    <w:rsid w:val="00817AE2"/>
    <w:rsid w:val="008405C5"/>
    <w:rsid w:val="0085671E"/>
    <w:rsid w:val="00876FA4"/>
    <w:rsid w:val="00893EAC"/>
    <w:rsid w:val="008A6092"/>
    <w:rsid w:val="008C19C3"/>
    <w:rsid w:val="008C3474"/>
    <w:rsid w:val="008C677C"/>
    <w:rsid w:val="008D2605"/>
    <w:rsid w:val="008D64CE"/>
    <w:rsid w:val="008E4334"/>
    <w:rsid w:val="009142B8"/>
    <w:rsid w:val="00915276"/>
    <w:rsid w:val="00936468"/>
    <w:rsid w:val="009371C3"/>
    <w:rsid w:val="00977064"/>
    <w:rsid w:val="0098387F"/>
    <w:rsid w:val="009D4654"/>
    <w:rsid w:val="009E0EF5"/>
    <w:rsid w:val="009F18E1"/>
    <w:rsid w:val="009F712F"/>
    <w:rsid w:val="00A12C57"/>
    <w:rsid w:val="00A557F8"/>
    <w:rsid w:val="00AA676A"/>
    <w:rsid w:val="00B13870"/>
    <w:rsid w:val="00B14558"/>
    <w:rsid w:val="00B17258"/>
    <w:rsid w:val="00B210F5"/>
    <w:rsid w:val="00B53416"/>
    <w:rsid w:val="00B807AE"/>
    <w:rsid w:val="00BA3182"/>
    <w:rsid w:val="00BB0047"/>
    <w:rsid w:val="00BB051A"/>
    <w:rsid w:val="00BD343E"/>
    <w:rsid w:val="00BE682B"/>
    <w:rsid w:val="00C0672E"/>
    <w:rsid w:val="00C33362"/>
    <w:rsid w:val="00C47864"/>
    <w:rsid w:val="00C528B3"/>
    <w:rsid w:val="00C52B2B"/>
    <w:rsid w:val="00C53602"/>
    <w:rsid w:val="00C77332"/>
    <w:rsid w:val="00C83F29"/>
    <w:rsid w:val="00CA5CD5"/>
    <w:rsid w:val="00CE4C80"/>
    <w:rsid w:val="00CE7A0E"/>
    <w:rsid w:val="00CF0671"/>
    <w:rsid w:val="00CF4ADE"/>
    <w:rsid w:val="00D20562"/>
    <w:rsid w:val="00D56FBF"/>
    <w:rsid w:val="00D81609"/>
    <w:rsid w:val="00DA3A83"/>
    <w:rsid w:val="00DB0D2B"/>
    <w:rsid w:val="00DC0D31"/>
    <w:rsid w:val="00E124DF"/>
    <w:rsid w:val="00E21DD7"/>
    <w:rsid w:val="00E4337C"/>
    <w:rsid w:val="00E56EBF"/>
    <w:rsid w:val="00E56F06"/>
    <w:rsid w:val="00E576CC"/>
    <w:rsid w:val="00E8795B"/>
    <w:rsid w:val="00EB277E"/>
    <w:rsid w:val="00EB7B3B"/>
    <w:rsid w:val="00F01373"/>
    <w:rsid w:val="00F14DB8"/>
    <w:rsid w:val="00F3454D"/>
    <w:rsid w:val="00F3737B"/>
    <w:rsid w:val="00F6315A"/>
    <w:rsid w:val="00FF6CDB"/>
    <w:rsid w:val="011027D8"/>
    <w:rsid w:val="01582EB3"/>
    <w:rsid w:val="01670A75"/>
    <w:rsid w:val="017F5CEF"/>
    <w:rsid w:val="01D92F4B"/>
    <w:rsid w:val="021D09AE"/>
    <w:rsid w:val="02317CA1"/>
    <w:rsid w:val="02C26D17"/>
    <w:rsid w:val="032B2B72"/>
    <w:rsid w:val="03633F1C"/>
    <w:rsid w:val="03877CF5"/>
    <w:rsid w:val="03971CD2"/>
    <w:rsid w:val="03997587"/>
    <w:rsid w:val="03A73B20"/>
    <w:rsid w:val="04D27C6A"/>
    <w:rsid w:val="04DA6E85"/>
    <w:rsid w:val="054E0E8D"/>
    <w:rsid w:val="05901C8F"/>
    <w:rsid w:val="059D199E"/>
    <w:rsid w:val="06516202"/>
    <w:rsid w:val="065A73D7"/>
    <w:rsid w:val="068D56CD"/>
    <w:rsid w:val="068F1656"/>
    <w:rsid w:val="06CE3C39"/>
    <w:rsid w:val="070745F4"/>
    <w:rsid w:val="0750320D"/>
    <w:rsid w:val="080C427F"/>
    <w:rsid w:val="08496DC5"/>
    <w:rsid w:val="08601190"/>
    <w:rsid w:val="08610C17"/>
    <w:rsid w:val="08AB76E6"/>
    <w:rsid w:val="08B17C7F"/>
    <w:rsid w:val="09794F69"/>
    <w:rsid w:val="09BC7107"/>
    <w:rsid w:val="09C86481"/>
    <w:rsid w:val="09CD6F6A"/>
    <w:rsid w:val="0ABD2EA9"/>
    <w:rsid w:val="0AF02B7A"/>
    <w:rsid w:val="0B0C0657"/>
    <w:rsid w:val="0B2F7E6E"/>
    <w:rsid w:val="0B475942"/>
    <w:rsid w:val="0B7057C8"/>
    <w:rsid w:val="0BF51CAC"/>
    <w:rsid w:val="0C327E5C"/>
    <w:rsid w:val="0D66464C"/>
    <w:rsid w:val="0DCA24E7"/>
    <w:rsid w:val="0E1905E8"/>
    <w:rsid w:val="0E6B081A"/>
    <w:rsid w:val="0E812A35"/>
    <w:rsid w:val="0EC44352"/>
    <w:rsid w:val="0F3A7BBE"/>
    <w:rsid w:val="0FB146BC"/>
    <w:rsid w:val="104B5C9A"/>
    <w:rsid w:val="10D0376E"/>
    <w:rsid w:val="11D75F2F"/>
    <w:rsid w:val="11D802DB"/>
    <w:rsid w:val="121401BA"/>
    <w:rsid w:val="122B009F"/>
    <w:rsid w:val="12946208"/>
    <w:rsid w:val="135D03D9"/>
    <w:rsid w:val="13A17616"/>
    <w:rsid w:val="13EE20AE"/>
    <w:rsid w:val="144F5DF3"/>
    <w:rsid w:val="149264E6"/>
    <w:rsid w:val="14A04A70"/>
    <w:rsid w:val="14F31DE2"/>
    <w:rsid w:val="15127621"/>
    <w:rsid w:val="156A2C3E"/>
    <w:rsid w:val="157A3189"/>
    <w:rsid w:val="15E37C52"/>
    <w:rsid w:val="169221B4"/>
    <w:rsid w:val="16EA0A1B"/>
    <w:rsid w:val="17A617C9"/>
    <w:rsid w:val="181D0AF6"/>
    <w:rsid w:val="18E12A26"/>
    <w:rsid w:val="1A2F34CF"/>
    <w:rsid w:val="1AC81973"/>
    <w:rsid w:val="1B0B6786"/>
    <w:rsid w:val="1BCC4E67"/>
    <w:rsid w:val="1BE24A05"/>
    <w:rsid w:val="1C12375B"/>
    <w:rsid w:val="1C2E1750"/>
    <w:rsid w:val="1C8A5079"/>
    <w:rsid w:val="1D520C3E"/>
    <w:rsid w:val="1D79641D"/>
    <w:rsid w:val="1DA340AC"/>
    <w:rsid w:val="1E2F4E67"/>
    <w:rsid w:val="1E506972"/>
    <w:rsid w:val="1E8146FC"/>
    <w:rsid w:val="1E9B145E"/>
    <w:rsid w:val="1EC8639D"/>
    <w:rsid w:val="1EC97805"/>
    <w:rsid w:val="1EF41186"/>
    <w:rsid w:val="1EFB07B0"/>
    <w:rsid w:val="1F6101B7"/>
    <w:rsid w:val="1FABD71D"/>
    <w:rsid w:val="20505929"/>
    <w:rsid w:val="2093268B"/>
    <w:rsid w:val="2239124E"/>
    <w:rsid w:val="228770CD"/>
    <w:rsid w:val="22A211C8"/>
    <w:rsid w:val="22F75B35"/>
    <w:rsid w:val="236906A5"/>
    <w:rsid w:val="23BA0D09"/>
    <w:rsid w:val="24593BF8"/>
    <w:rsid w:val="24BA0C0F"/>
    <w:rsid w:val="250B61A3"/>
    <w:rsid w:val="259F5563"/>
    <w:rsid w:val="25A662F9"/>
    <w:rsid w:val="25AD749C"/>
    <w:rsid w:val="25AE4162"/>
    <w:rsid w:val="25B9743E"/>
    <w:rsid w:val="261B2634"/>
    <w:rsid w:val="26872640"/>
    <w:rsid w:val="26C653DA"/>
    <w:rsid w:val="26EC5D21"/>
    <w:rsid w:val="27615821"/>
    <w:rsid w:val="27A13E6E"/>
    <w:rsid w:val="27A644E5"/>
    <w:rsid w:val="284E2E09"/>
    <w:rsid w:val="28863E70"/>
    <w:rsid w:val="288A6337"/>
    <w:rsid w:val="28994B2A"/>
    <w:rsid w:val="28CD1B01"/>
    <w:rsid w:val="290441D9"/>
    <w:rsid w:val="292E4395"/>
    <w:rsid w:val="29867FF5"/>
    <w:rsid w:val="29D72E63"/>
    <w:rsid w:val="29F01BC9"/>
    <w:rsid w:val="2A1248CB"/>
    <w:rsid w:val="2A24302B"/>
    <w:rsid w:val="2A7456B8"/>
    <w:rsid w:val="2AA73EE1"/>
    <w:rsid w:val="2B330D0F"/>
    <w:rsid w:val="2C3B01C9"/>
    <w:rsid w:val="2C8172FE"/>
    <w:rsid w:val="2CB024EC"/>
    <w:rsid w:val="2D2B1A30"/>
    <w:rsid w:val="2D3622E0"/>
    <w:rsid w:val="2D5BB7F4"/>
    <w:rsid w:val="2DA87FE3"/>
    <w:rsid w:val="2DAB1C1C"/>
    <w:rsid w:val="2E6455AA"/>
    <w:rsid w:val="2E6E5875"/>
    <w:rsid w:val="2E6F4EA9"/>
    <w:rsid w:val="2EAA1E45"/>
    <w:rsid w:val="2EBA2F30"/>
    <w:rsid w:val="2F8573F4"/>
    <w:rsid w:val="2FFC60D8"/>
    <w:rsid w:val="2FFD4B55"/>
    <w:rsid w:val="31F32BCC"/>
    <w:rsid w:val="322D5537"/>
    <w:rsid w:val="32500429"/>
    <w:rsid w:val="32B00783"/>
    <w:rsid w:val="33987EA4"/>
    <w:rsid w:val="33E55770"/>
    <w:rsid w:val="342060B3"/>
    <w:rsid w:val="343041E9"/>
    <w:rsid w:val="343E2C5A"/>
    <w:rsid w:val="34512224"/>
    <w:rsid w:val="34E404B6"/>
    <w:rsid w:val="353874A5"/>
    <w:rsid w:val="356C4B0F"/>
    <w:rsid w:val="357756D0"/>
    <w:rsid w:val="35F83418"/>
    <w:rsid w:val="35FA3DA7"/>
    <w:rsid w:val="36433E0B"/>
    <w:rsid w:val="3685618C"/>
    <w:rsid w:val="369B027F"/>
    <w:rsid w:val="36DF7E92"/>
    <w:rsid w:val="371118F2"/>
    <w:rsid w:val="37210A48"/>
    <w:rsid w:val="37C605ED"/>
    <w:rsid w:val="37EC07D4"/>
    <w:rsid w:val="37F64C19"/>
    <w:rsid w:val="39054161"/>
    <w:rsid w:val="395157DA"/>
    <w:rsid w:val="39D81DB4"/>
    <w:rsid w:val="39DD1F63"/>
    <w:rsid w:val="3A875795"/>
    <w:rsid w:val="3B3A6848"/>
    <w:rsid w:val="3B5C22DF"/>
    <w:rsid w:val="3C7702D9"/>
    <w:rsid w:val="3C822FFF"/>
    <w:rsid w:val="3C987755"/>
    <w:rsid w:val="3D1712DB"/>
    <w:rsid w:val="3D6E4CFB"/>
    <w:rsid w:val="3DB948D9"/>
    <w:rsid w:val="3DED19CC"/>
    <w:rsid w:val="3E551C1D"/>
    <w:rsid w:val="3E6D1878"/>
    <w:rsid w:val="3EAA16DD"/>
    <w:rsid w:val="3EE7006C"/>
    <w:rsid w:val="3F043070"/>
    <w:rsid w:val="3F397145"/>
    <w:rsid w:val="419141BF"/>
    <w:rsid w:val="41C515FE"/>
    <w:rsid w:val="41F26234"/>
    <w:rsid w:val="42955F29"/>
    <w:rsid w:val="42C52D12"/>
    <w:rsid w:val="42EA0B90"/>
    <w:rsid w:val="436E1D48"/>
    <w:rsid w:val="442221E6"/>
    <w:rsid w:val="44FC0AD9"/>
    <w:rsid w:val="45C66F5A"/>
    <w:rsid w:val="464311BD"/>
    <w:rsid w:val="46762869"/>
    <w:rsid w:val="46800ECA"/>
    <w:rsid w:val="46D65DFF"/>
    <w:rsid w:val="46ED43C8"/>
    <w:rsid w:val="47655748"/>
    <w:rsid w:val="481F5D29"/>
    <w:rsid w:val="485B08F6"/>
    <w:rsid w:val="48E65506"/>
    <w:rsid w:val="49A95325"/>
    <w:rsid w:val="49B649FC"/>
    <w:rsid w:val="49C60D15"/>
    <w:rsid w:val="49E6321F"/>
    <w:rsid w:val="49EE18E7"/>
    <w:rsid w:val="4B184C7B"/>
    <w:rsid w:val="4B56351D"/>
    <w:rsid w:val="4C72500A"/>
    <w:rsid w:val="4E470451"/>
    <w:rsid w:val="4E5A4E46"/>
    <w:rsid w:val="4E776E4B"/>
    <w:rsid w:val="4EBE5040"/>
    <w:rsid w:val="4EC635D4"/>
    <w:rsid w:val="4EF42DDE"/>
    <w:rsid w:val="4F021DFD"/>
    <w:rsid w:val="4F4E29DD"/>
    <w:rsid w:val="4FA93361"/>
    <w:rsid w:val="50491464"/>
    <w:rsid w:val="505B0E8C"/>
    <w:rsid w:val="50EB4351"/>
    <w:rsid w:val="513E3E14"/>
    <w:rsid w:val="516E5D30"/>
    <w:rsid w:val="519A61B8"/>
    <w:rsid w:val="529328AD"/>
    <w:rsid w:val="52A26688"/>
    <w:rsid w:val="52C3106D"/>
    <w:rsid w:val="532D1C0A"/>
    <w:rsid w:val="53583E88"/>
    <w:rsid w:val="538C7A30"/>
    <w:rsid w:val="54D72BF4"/>
    <w:rsid w:val="54F6709D"/>
    <w:rsid w:val="563C38EF"/>
    <w:rsid w:val="566138B1"/>
    <w:rsid w:val="56832AE6"/>
    <w:rsid w:val="56F540E8"/>
    <w:rsid w:val="576B6402"/>
    <w:rsid w:val="57814C22"/>
    <w:rsid w:val="579303E0"/>
    <w:rsid w:val="57BD125F"/>
    <w:rsid w:val="57DB4D69"/>
    <w:rsid w:val="58CB2B06"/>
    <w:rsid w:val="59005937"/>
    <w:rsid w:val="596D5572"/>
    <w:rsid w:val="59DC23BD"/>
    <w:rsid w:val="5A106A61"/>
    <w:rsid w:val="5AFC70F8"/>
    <w:rsid w:val="5B012DD6"/>
    <w:rsid w:val="5B3C19B9"/>
    <w:rsid w:val="5B4A303E"/>
    <w:rsid w:val="5B867F38"/>
    <w:rsid w:val="5BBF1EDC"/>
    <w:rsid w:val="5C0D5EDF"/>
    <w:rsid w:val="5CCB520D"/>
    <w:rsid w:val="5CDE5F6B"/>
    <w:rsid w:val="5CE729B2"/>
    <w:rsid w:val="5D072615"/>
    <w:rsid w:val="5D820B03"/>
    <w:rsid w:val="5DDC291B"/>
    <w:rsid w:val="5DE919D2"/>
    <w:rsid w:val="5DE96BF2"/>
    <w:rsid w:val="5E3B56D9"/>
    <w:rsid w:val="5E7F01AB"/>
    <w:rsid w:val="5E910416"/>
    <w:rsid w:val="5FC652D8"/>
    <w:rsid w:val="6043407E"/>
    <w:rsid w:val="605F74B4"/>
    <w:rsid w:val="607B68FE"/>
    <w:rsid w:val="617007B5"/>
    <w:rsid w:val="61E56E86"/>
    <w:rsid w:val="621870FC"/>
    <w:rsid w:val="62DA2A3D"/>
    <w:rsid w:val="62E90DB3"/>
    <w:rsid w:val="637B3A8F"/>
    <w:rsid w:val="63A65E89"/>
    <w:rsid w:val="64525EDC"/>
    <w:rsid w:val="65001203"/>
    <w:rsid w:val="65737FA2"/>
    <w:rsid w:val="65D920E1"/>
    <w:rsid w:val="65D9655D"/>
    <w:rsid w:val="6637149C"/>
    <w:rsid w:val="6656630C"/>
    <w:rsid w:val="66EC0C69"/>
    <w:rsid w:val="67AD24B8"/>
    <w:rsid w:val="67F5DAB5"/>
    <w:rsid w:val="68261741"/>
    <w:rsid w:val="693E2FAD"/>
    <w:rsid w:val="698062FC"/>
    <w:rsid w:val="69BD5EE8"/>
    <w:rsid w:val="6A740B43"/>
    <w:rsid w:val="6ABD46BF"/>
    <w:rsid w:val="6AF730BD"/>
    <w:rsid w:val="6B617BE2"/>
    <w:rsid w:val="6BA66029"/>
    <w:rsid w:val="6CA041B2"/>
    <w:rsid w:val="6D464F20"/>
    <w:rsid w:val="6DDD5EBF"/>
    <w:rsid w:val="6DFC4CD2"/>
    <w:rsid w:val="6E2E2D6D"/>
    <w:rsid w:val="6E3F51B6"/>
    <w:rsid w:val="6E460B96"/>
    <w:rsid w:val="6EA82131"/>
    <w:rsid w:val="6F046708"/>
    <w:rsid w:val="6F68529E"/>
    <w:rsid w:val="6F90122A"/>
    <w:rsid w:val="6FB410D2"/>
    <w:rsid w:val="6FBE4275"/>
    <w:rsid w:val="6FC54BEF"/>
    <w:rsid w:val="706921FA"/>
    <w:rsid w:val="70B22C23"/>
    <w:rsid w:val="71411B5D"/>
    <w:rsid w:val="719931E1"/>
    <w:rsid w:val="7240055A"/>
    <w:rsid w:val="728E0BA0"/>
    <w:rsid w:val="73134A0E"/>
    <w:rsid w:val="736064A7"/>
    <w:rsid w:val="736159D6"/>
    <w:rsid w:val="73F71039"/>
    <w:rsid w:val="73F91498"/>
    <w:rsid w:val="74D5337C"/>
    <w:rsid w:val="74D975E2"/>
    <w:rsid w:val="756B7D6A"/>
    <w:rsid w:val="757C417D"/>
    <w:rsid w:val="759455DB"/>
    <w:rsid w:val="75D160D9"/>
    <w:rsid w:val="762914BB"/>
    <w:rsid w:val="76685F07"/>
    <w:rsid w:val="773A73AB"/>
    <w:rsid w:val="775767BB"/>
    <w:rsid w:val="7779068F"/>
    <w:rsid w:val="77B92148"/>
    <w:rsid w:val="77FFE39F"/>
    <w:rsid w:val="781B1736"/>
    <w:rsid w:val="786E0668"/>
    <w:rsid w:val="78F051A8"/>
    <w:rsid w:val="79EF18A6"/>
    <w:rsid w:val="7A903B21"/>
    <w:rsid w:val="7AC3080E"/>
    <w:rsid w:val="7BF858B5"/>
    <w:rsid w:val="7C172CF6"/>
    <w:rsid w:val="7CF2196B"/>
    <w:rsid w:val="7D2E7430"/>
    <w:rsid w:val="7D993EC8"/>
    <w:rsid w:val="7D9A013D"/>
    <w:rsid w:val="7E9160CF"/>
    <w:rsid w:val="7EC677D3"/>
    <w:rsid w:val="7FDC2489"/>
    <w:rsid w:val="7FFDEEFD"/>
    <w:rsid w:val="BBFEB28B"/>
    <w:rsid w:val="D74FDF30"/>
    <w:rsid w:val="DEAEE68D"/>
    <w:rsid w:val="F7F97754"/>
    <w:rsid w:val="FB7FC3E7"/>
    <w:rsid w:val="FF3F61B6"/>
    <w:rsid w:val="FFC7E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4"/>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tLeast"/>
      <w:outlineLvl w:val="1"/>
    </w:pPr>
    <w:rPr>
      <w:rFonts w:ascii="Cambria" w:hAnsi="Cambria"/>
      <w:b/>
      <w:bCs/>
      <w:sz w:val="32"/>
      <w:szCs w:val="32"/>
    </w:rPr>
  </w:style>
  <w:style w:type="paragraph" w:styleId="4">
    <w:name w:val="heading 3"/>
    <w:basedOn w:val="1"/>
    <w:next w:val="1"/>
    <w:link w:val="16"/>
    <w:unhideWhenUsed/>
    <w:qFormat/>
    <w:uiPriority w:val="9"/>
    <w:pPr>
      <w:keepNext/>
      <w:keepLines/>
      <w:spacing w:before="260" w:after="260" w:line="416" w:lineRule="atLeast"/>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styleId="6">
    <w:name w:val="Balloon Text"/>
    <w:basedOn w:val="1"/>
    <w:link w:val="17"/>
    <w:unhideWhenUsed/>
    <w:qFormat/>
    <w:uiPriority w:val="99"/>
    <w:pPr>
      <w:spacing w:line="240" w:lineRule="auto"/>
    </w:pPr>
    <w:rPr>
      <w:sz w:val="18"/>
      <w:szCs w:val="18"/>
    </w:rPr>
  </w:style>
  <w:style w:type="paragraph" w:styleId="7">
    <w:name w:val="footer"/>
    <w:basedOn w:val="1"/>
    <w:link w:val="18"/>
    <w:unhideWhenUsed/>
    <w:qFormat/>
    <w:uiPriority w:val="0"/>
    <w:pPr>
      <w:tabs>
        <w:tab w:val="center" w:pos="4153"/>
        <w:tab w:val="right" w:pos="8306"/>
      </w:tabs>
      <w:snapToGrid w:val="0"/>
      <w:spacing w:line="240" w:lineRule="atLeast"/>
    </w:pPr>
    <w:rPr>
      <w:sz w:val="18"/>
      <w:szCs w:val="18"/>
    </w:rPr>
  </w:style>
  <w:style w:type="paragraph" w:styleId="8">
    <w:name w:val="header"/>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character" w:styleId="13">
    <w:name w:val="Hyperlink"/>
    <w:unhideWhenUsed/>
    <w:qFormat/>
    <w:uiPriority w:val="99"/>
    <w:rPr>
      <w:color w:val="0000FF"/>
      <w:u w:val="single"/>
    </w:rPr>
  </w:style>
  <w:style w:type="character" w:customStyle="1" w:styleId="14">
    <w:name w:val="标题 1 字符"/>
    <w:link w:val="2"/>
    <w:qFormat/>
    <w:uiPriority w:val="9"/>
    <w:rPr>
      <w:b/>
      <w:bCs/>
      <w:kern w:val="44"/>
      <w:sz w:val="44"/>
      <w:szCs w:val="44"/>
    </w:rPr>
  </w:style>
  <w:style w:type="character" w:customStyle="1" w:styleId="15">
    <w:name w:val="标题 2 字符"/>
    <w:link w:val="3"/>
    <w:semiHidden/>
    <w:qFormat/>
    <w:uiPriority w:val="9"/>
    <w:rPr>
      <w:rFonts w:ascii="Cambria" w:hAnsi="Cambria" w:eastAsia="宋体" w:cs="Times New Roman"/>
      <w:b/>
      <w:bCs/>
      <w:sz w:val="32"/>
      <w:szCs w:val="32"/>
    </w:rPr>
  </w:style>
  <w:style w:type="character" w:customStyle="1" w:styleId="16">
    <w:name w:val="标题 3 字符"/>
    <w:link w:val="4"/>
    <w:semiHidden/>
    <w:qFormat/>
    <w:uiPriority w:val="9"/>
    <w:rPr>
      <w:b/>
      <w:bCs/>
      <w:sz w:val="32"/>
      <w:szCs w:val="32"/>
    </w:rPr>
  </w:style>
  <w:style w:type="character" w:customStyle="1" w:styleId="17">
    <w:name w:val="批注框文本 字符"/>
    <w:link w:val="6"/>
    <w:semiHidden/>
    <w:qFormat/>
    <w:uiPriority w:val="99"/>
    <w:rPr>
      <w:sz w:val="18"/>
      <w:szCs w:val="18"/>
    </w:rPr>
  </w:style>
  <w:style w:type="character" w:customStyle="1" w:styleId="18">
    <w:name w:val="页脚 字符"/>
    <w:link w:val="7"/>
    <w:semiHidden/>
    <w:qFormat/>
    <w:uiPriority w:val="0"/>
    <w:rPr>
      <w:sz w:val="18"/>
      <w:szCs w:val="18"/>
    </w:rPr>
  </w:style>
  <w:style w:type="character" w:customStyle="1" w:styleId="19">
    <w:name w:val="页眉 字符"/>
    <w:link w:val="8"/>
    <w:semiHidden/>
    <w:qFormat/>
    <w:uiPriority w:val="0"/>
    <w:rPr>
      <w:sz w:val="18"/>
      <w:szCs w:val="18"/>
    </w:rPr>
  </w:style>
  <w:style w:type="paragraph" w:customStyle="1" w:styleId="20">
    <w:name w:val="TOC 标题1"/>
    <w:basedOn w:val="2"/>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1124</Words>
  <Characters>6411</Characters>
  <Lines>53</Lines>
  <Paragraphs>15</Paragraphs>
  <TotalTime>3</TotalTime>
  <ScaleCrop>false</ScaleCrop>
  <LinksUpToDate>false</LinksUpToDate>
  <CharactersWithSpaces>7520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2019-07-28T02:37:00Z</dcterms:created>
  <dc:creator>Administrator</dc:creator>
  <cp:lastModifiedBy>Administrator</cp:lastModifiedBy>
  <cp:lastPrinted>2012-09-19T14:00:00Z</cp:lastPrinted>
  <dcterms:modified xsi:type="dcterms:W3CDTF">2023-10-10T08:54:50Z</dcterms:modified>
  <dc:title>附件1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90D74AD8847844C8B6B3F08FF3278CF3_13</vt:lpwstr>
  </property>
</Properties>
</file>