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240" w:lineRule="auto"/>
        <w:rPr>
          <w:rFonts w:ascii="黑体" w:hAnsi="黑体" w:eastAsia="黑体" w:cs="黑体"/>
          <w:w w:val="95"/>
          <w:sz w:val="32"/>
          <w:szCs w:val="32"/>
          <w:u w:val="none"/>
          <w:lang w:val="en"/>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580" w:lineRule="exact"/>
        <w:jc w:val="center"/>
        <w:rPr>
          <w:rFonts w:eastAsia="黑体"/>
          <w:w w:val="95"/>
          <w:sz w:val="44"/>
          <w:szCs w:val="44"/>
          <w:u w:val="none"/>
        </w:rPr>
      </w:pPr>
    </w:p>
    <w:p>
      <w:pPr>
        <w:spacing w:line="240" w:lineRule="auto"/>
        <w:jc w:val="center"/>
        <w:rPr>
          <w:rFonts w:ascii="方正小标宋简体" w:hAnsi="方正小标宋简体" w:eastAsia="方正小标宋简体" w:cs="方正小标宋简体"/>
          <w:sz w:val="48"/>
          <w:szCs w:val="48"/>
          <w:u w:val="none"/>
        </w:rPr>
      </w:pPr>
      <w:r>
        <w:rPr>
          <w:rFonts w:hint="eastAsia" w:ascii="方正小标宋简体" w:hAnsi="方正小标宋简体" w:eastAsia="方正小标宋简体" w:cs="方正小标宋简体"/>
          <w:sz w:val="48"/>
          <w:szCs w:val="48"/>
          <w:u w:val="none"/>
        </w:rPr>
        <w:t>天津市津南区北闸口镇综合治理中心</w:t>
      </w:r>
    </w:p>
    <w:p>
      <w:pPr>
        <w:spacing w:line="580" w:lineRule="exact"/>
        <w:jc w:val="center"/>
        <w:rPr>
          <w:rFonts w:ascii="方正小标宋简体" w:hAnsi="方正小标宋简体" w:eastAsia="方正小标宋简体" w:cs="方正小标宋简体"/>
          <w:sz w:val="48"/>
          <w:szCs w:val="48"/>
          <w:u w:val="none"/>
        </w:rPr>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pPr>
      <w:r>
        <w:rPr>
          <w:rFonts w:hint="eastAsia" w:ascii="方正小标宋简体" w:hAnsi="方正小标宋简体" w:eastAsia="方正小标宋简体" w:cs="方正小标宋简体"/>
          <w:sz w:val="48"/>
          <w:szCs w:val="48"/>
          <w:u w:val="none"/>
        </w:rPr>
        <w:t>2022年度部门决算</w:t>
      </w:r>
    </w:p>
    <w:p>
      <w:pPr>
        <w:spacing w:line="600" w:lineRule="exact"/>
        <w:jc w:val="center"/>
        <w:rPr>
          <w:rFonts w:ascii="黑体" w:eastAsia="黑体"/>
          <w:sz w:val="44"/>
          <w:szCs w:val="44"/>
          <w:u w:val="none"/>
        </w:rPr>
      </w:pPr>
    </w:p>
    <w:p>
      <w:pPr>
        <w:spacing w:line="600" w:lineRule="exact"/>
        <w:jc w:val="center"/>
        <w:rPr>
          <w:rFonts w:ascii="黑体" w:eastAsia="黑体"/>
          <w:sz w:val="44"/>
          <w:szCs w:val="44"/>
          <w:u w:val="none"/>
        </w:rPr>
      </w:pPr>
      <w:r>
        <w:rPr>
          <w:rFonts w:hint="eastAsia" w:ascii="黑体" w:eastAsia="黑体"/>
          <w:sz w:val="44"/>
          <w:szCs w:val="44"/>
          <w:u w:val="none"/>
        </w:rPr>
        <w:t>目   录</w:t>
      </w:r>
    </w:p>
    <w:p>
      <w:pPr>
        <w:spacing w:line="600" w:lineRule="exact"/>
        <w:rPr>
          <w:rFonts w:ascii="黑体" w:eastAsia="黑体"/>
          <w:sz w:val="30"/>
          <w:szCs w:val="30"/>
          <w:u w:val="none"/>
        </w:rPr>
      </w:pPr>
    </w:p>
    <w:p>
      <w:pPr>
        <w:pStyle w:val="9"/>
        <w:tabs>
          <w:tab w:val="right" w:leader="dot" w:pos="8306"/>
          <w:tab w:val="clear" w:pos="8296"/>
        </w:tabs>
        <w:rPr>
          <w:rFonts w:ascii="仿宋_GB2312" w:hAnsi="Times New Roman" w:eastAsia="仿宋_GB2312" w:cs="Times New Roman"/>
          <w:sz w:val="30"/>
          <w:szCs w:val="30"/>
          <w:u w:val="none"/>
        </w:rPr>
      </w:pPr>
      <w:r>
        <w:rPr>
          <w:rFonts w:hint="eastAsia" w:ascii="仿宋_GB2312" w:hAnsi="Times New Roman" w:eastAsia="仿宋_GB2312" w:cs="Times New Roman"/>
          <w:sz w:val="30"/>
          <w:szCs w:val="30"/>
          <w:u w:val="none"/>
        </w:rPr>
        <w:fldChar w:fldCharType="begin"/>
      </w:r>
      <w:r>
        <w:rPr>
          <w:rFonts w:hint="eastAsia" w:ascii="仿宋_GB2312" w:hAnsi="Times New Roman" w:eastAsia="仿宋_GB2312" w:cs="Times New Roman"/>
          <w:sz w:val="30"/>
          <w:szCs w:val="30"/>
          <w:u w:val="none"/>
        </w:rPr>
        <w:instrText xml:space="preserve"> TOC \o "1-3" \h \z \u </w:instrText>
      </w:r>
      <w:r>
        <w:rPr>
          <w:rFonts w:hint="eastAsia" w:ascii="仿宋_GB2312" w:hAnsi="Times New Roman" w:eastAsia="仿宋_GB2312" w:cs="Times New Roman"/>
          <w:sz w:val="30"/>
          <w:szCs w:val="30"/>
          <w:u w:val="none"/>
        </w:rPr>
        <w:fldChar w:fldCharType="separate"/>
      </w:r>
      <w:r>
        <w:rPr>
          <w:u w:val="none"/>
        </w:rPr>
        <w:fldChar w:fldCharType="begin"/>
      </w:r>
      <w:r>
        <w:rPr>
          <w:u w:val="none"/>
        </w:rPr>
        <w:instrText xml:space="preserve"> HYPERLINK \l "_Toc859" </w:instrText>
      </w:r>
      <w:r>
        <w:rPr>
          <w:u w:val="none"/>
        </w:rPr>
        <w:fldChar w:fldCharType="separate"/>
      </w:r>
      <w:r>
        <w:rPr>
          <w:rFonts w:hint="eastAsia" w:ascii="仿宋_GB2312" w:hAnsi="Times New Roman" w:eastAsia="仿宋_GB2312" w:cs="Times New Roman"/>
          <w:sz w:val="30"/>
          <w:szCs w:val="30"/>
          <w:u w:val="none"/>
        </w:rPr>
        <w:t>第一部分  概 况</w:t>
      </w:r>
      <w:r>
        <w:rPr>
          <w:rFonts w:hint="eastAsia" w:ascii="仿宋_GB2312" w:hAnsi="Times New Roman" w:eastAsia="仿宋_GB2312" w:cs="Times New Roman"/>
          <w:sz w:val="30"/>
          <w:szCs w:val="30"/>
          <w:u w:val="none"/>
        </w:rPr>
        <w:tab/>
      </w:r>
      <w:r>
        <w:rPr>
          <w:rFonts w:hint="eastAsia" w:ascii="仿宋_GB2312" w:hAnsi="Times New Roman" w:eastAsia="仿宋_GB2312" w:cs="Times New Roman"/>
          <w:sz w:val="30"/>
          <w:szCs w:val="30"/>
          <w:u w:val="none"/>
        </w:rPr>
        <w:fldChar w:fldCharType="begin"/>
      </w:r>
      <w:r>
        <w:rPr>
          <w:rFonts w:hint="eastAsia" w:ascii="仿宋_GB2312" w:hAnsi="Times New Roman" w:eastAsia="仿宋_GB2312" w:cs="Times New Roman"/>
          <w:sz w:val="30"/>
          <w:szCs w:val="30"/>
          <w:u w:val="none"/>
        </w:rPr>
        <w:instrText xml:space="preserve"> PAGEREF _Toc859 \h </w:instrText>
      </w:r>
      <w:r>
        <w:rPr>
          <w:rFonts w:hint="eastAsia" w:ascii="仿宋_GB2312" w:hAnsi="Times New Roman" w:eastAsia="仿宋_GB2312" w:cs="Times New Roman"/>
          <w:sz w:val="30"/>
          <w:szCs w:val="30"/>
          <w:u w:val="none"/>
        </w:rPr>
        <w:fldChar w:fldCharType="separate"/>
      </w:r>
      <w:r>
        <w:rPr>
          <w:rFonts w:hint="eastAsia" w:ascii="仿宋_GB2312" w:hAnsi="Times New Roman" w:eastAsia="仿宋_GB2312" w:cs="Times New Roman"/>
          <w:sz w:val="30"/>
          <w:szCs w:val="30"/>
          <w:u w:val="none"/>
        </w:rPr>
        <w:t>1</w:t>
      </w:r>
      <w:r>
        <w:rPr>
          <w:rFonts w:hint="eastAsia" w:ascii="仿宋_GB2312" w:hAnsi="Times New Roman" w:eastAsia="仿宋_GB2312" w:cs="Times New Roman"/>
          <w:sz w:val="30"/>
          <w:szCs w:val="30"/>
          <w:u w:val="none"/>
        </w:rPr>
        <w:fldChar w:fldCharType="end"/>
      </w:r>
      <w:r>
        <w:rPr>
          <w:rFonts w:hint="eastAsia" w:ascii="仿宋_GB2312" w:hAnsi="Times New Roman" w:eastAsia="仿宋_GB2312" w:cs="Times New Roman"/>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"_Toc21919" </w:instrText>
      </w:r>
      <w:r>
        <w:rPr>
          <w:u w:val="none"/>
        </w:rPr>
        <w:fldChar w:fldCharType="separate"/>
      </w:r>
      <w:r>
        <w:rPr>
          <w:rFonts w:hint="eastAsia" w:ascii="仿宋_GB2312" w:hAnsi="Times New Roman" w:eastAsia="仿宋_GB2312"/>
          <w:sz w:val="30"/>
          <w:szCs w:val="30"/>
          <w:u w:val="none"/>
        </w:rPr>
        <w:t>一、主要职责</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_Toc21919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1</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"_Toc17388" </w:instrText>
      </w:r>
      <w:r>
        <w:rPr>
          <w:u w:val="none"/>
        </w:rPr>
        <w:fldChar w:fldCharType="separate"/>
      </w:r>
      <w:r>
        <w:rPr>
          <w:rFonts w:hint="eastAsia" w:ascii="仿宋_GB2312" w:hAnsi="Times New Roman" w:eastAsia="仿宋_GB2312"/>
          <w:sz w:val="30"/>
          <w:szCs w:val="30"/>
          <w:u w:val="none"/>
        </w:rPr>
        <w:t>二、机构设置</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_Toc17388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1</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9"/>
        <w:tabs>
          <w:tab w:val="right" w:leader="dot" w:pos="8306"/>
          <w:tab w:val="clear" w:pos="8296"/>
        </w:tabs>
        <w:rPr>
          <w:rFonts w:ascii="仿宋_GB2312" w:hAnsi="Times New Roman" w:eastAsia="仿宋_GB2312" w:cs="Times New Roman"/>
          <w:sz w:val="30"/>
          <w:szCs w:val="30"/>
          <w:u w:val="none"/>
        </w:rPr>
      </w:pPr>
      <w:r>
        <w:rPr>
          <w:u w:val="none"/>
        </w:rPr>
        <w:fldChar w:fldCharType="begin"/>
      </w:r>
      <w:r>
        <w:rPr>
          <w:u w:val="none"/>
        </w:rPr>
        <w:instrText xml:space="preserve"> HYPERLINK \l "_Toc24747" </w:instrText>
      </w:r>
      <w:r>
        <w:rPr>
          <w:u w:val="none"/>
        </w:rPr>
        <w:fldChar w:fldCharType="separate"/>
      </w:r>
      <w:r>
        <w:rPr>
          <w:rFonts w:hint="eastAsia" w:ascii="仿宋_GB2312" w:hAnsi="Times New Roman" w:eastAsia="仿宋_GB2312" w:cs="Times New Roman"/>
          <w:sz w:val="30"/>
          <w:szCs w:val="30"/>
          <w:u w:val="none"/>
        </w:rPr>
        <w:t>第二部分  2022年度部门决算表</w:t>
      </w:r>
      <w:r>
        <w:rPr>
          <w:rFonts w:hint="eastAsia" w:ascii="仿宋_GB2312" w:hAnsi="Times New Roman" w:eastAsia="仿宋_GB2312" w:cs="Times New Roman"/>
          <w:sz w:val="30"/>
          <w:szCs w:val="30"/>
          <w:u w:val="none"/>
        </w:rPr>
        <w:tab/>
      </w:r>
      <w:r>
        <w:rPr>
          <w:rFonts w:hint="eastAsia" w:ascii="仿宋_GB2312" w:hAnsi="Times New Roman" w:eastAsia="仿宋_GB2312" w:cs="Times New Roman"/>
          <w:sz w:val="30"/>
          <w:szCs w:val="30"/>
          <w:u w:val="none"/>
        </w:rPr>
        <w:fldChar w:fldCharType="begin"/>
      </w:r>
      <w:r>
        <w:rPr>
          <w:rFonts w:hint="eastAsia" w:ascii="仿宋_GB2312" w:hAnsi="Times New Roman" w:eastAsia="仿宋_GB2312" w:cs="Times New Roman"/>
          <w:sz w:val="30"/>
          <w:szCs w:val="30"/>
          <w:u w:val="none"/>
        </w:rPr>
        <w:instrText xml:space="preserve"> PAGEREF _Toc24747 \h </w:instrText>
      </w:r>
      <w:r>
        <w:rPr>
          <w:rFonts w:hint="eastAsia" w:ascii="仿宋_GB2312" w:hAnsi="Times New Roman" w:eastAsia="仿宋_GB2312" w:cs="Times New Roman"/>
          <w:sz w:val="30"/>
          <w:szCs w:val="30"/>
          <w:u w:val="none"/>
        </w:rPr>
        <w:fldChar w:fldCharType="separate"/>
      </w:r>
      <w:r>
        <w:rPr>
          <w:rFonts w:hint="eastAsia" w:ascii="仿宋_GB2312" w:hAnsi="Times New Roman" w:eastAsia="仿宋_GB2312" w:cs="Times New Roman"/>
          <w:sz w:val="30"/>
          <w:szCs w:val="30"/>
          <w:u w:val="none"/>
        </w:rPr>
        <w:t>2</w:t>
      </w:r>
      <w:r>
        <w:rPr>
          <w:rFonts w:hint="eastAsia" w:ascii="仿宋_GB2312" w:hAnsi="Times New Roman" w:eastAsia="仿宋_GB2312" w:cs="Times New Roman"/>
          <w:sz w:val="30"/>
          <w:szCs w:val="30"/>
          <w:u w:val="none"/>
        </w:rPr>
        <w:fldChar w:fldCharType="end"/>
      </w:r>
      <w:r>
        <w:rPr>
          <w:rFonts w:hint="eastAsia" w:ascii="仿宋_GB2312" w:hAnsi="Times New Roman" w:eastAsia="仿宋_GB2312" w:cs="Times New Roman"/>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"_Toc20142" </w:instrText>
      </w:r>
      <w:r>
        <w:rPr>
          <w:u w:val="none"/>
        </w:rPr>
        <w:fldChar w:fldCharType="separate"/>
      </w:r>
      <w:r>
        <w:rPr>
          <w:rFonts w:hint="eastAsia" w:ascii="仿宋_GB2312" w:hAnsi="Times New Roman" w:eastAsia="仿宋_GB2312"/>
          <w:sz w:val="30"/>
          <w:szCs w:val="30"/>
          <w:u w:val="none"/>
        </w:rPr>
        <w:t>一、《收入支出决算总表》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_Toc20142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"_Toc1616" </w:instrText>
      </w:r>
      <w:r>
        <w:rPr>
          <w:u w:val="none"/>
        </w:rPr>
        <w:fldChar w:fldCharType="separate"/>
      </w:r>
      <w:r>
        <w:rPr>
          <w:rFonts w:hint="eastAsia" w:ascii="仿宋_GB2312" w:hAnsi="Times New Roman" w:eastAsia="仿宋_GB2312"/>
          <w:sz w:val="30"/>
          <w:szCs w:val="30"/>
          <w:u w:val="none"/>
        </w:rPr>
        <w:t>二、《收入决算表（按功能分类列示）》</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_Toc1616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"_Toc12050" </w:instrText>
      </w:r>
      <w:r>
        <w:rPr>
          <w:u w:val="none"/>
        </w:rPr>
        <w:fldChar w:fldCharType="separate"/>
      </w:r>
      <w:r>
        <w:rPr>
          <w:rFonts w:hint="eastAsia" w:ascii="仿宋_GB2312" w:hAnsi="Times New Roman" w:eastAsia="仿宋_GB2312"/>
          <w:sz w:val="30"/>
          <w:szCs w:val="30"/>
          <w:u w:val="none"/>
        </w:rPr>
        <w:t>三、《收入决算表（按单位列示）》</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_Toc12050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"_Toc1989" </w:instrText>
      </w:r>
      <w:r>
        <w:rPr>
          <w:u w:val="none"/>
        </w:rPr>
        <w:fldChar w:fldCharType="separate"/>
      </w:r>
      <w:r>
        <w:rPr>
          <w:rFonts w:hint="eastAsia" w:ascii="仿宋_GB2312" w:hAnsi="Times New Roman" w:eastAsia="仿宋_GB2312"/>
          <w:sz w:val="30"/>
          <w:szCs w:val="30"/>
          <w:u w:val="none"/>
        </w:rPr>
        <w:t>四、《支出决算表》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_Toc1989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"_Toc32498" </w:instrText>
      </w:r>
      <w:r>
        <w:rPr>
          <w:u w:val="none"/>
        </w:rPr>
        <w:fldChar w:fldCharType="separate"/>
      </w:r>
      <w:r>
        <w:rPr>
          <w:rFonts w:hint="eastAsia" w:ascii="仿宋_GB2312" w:hAnsi="Times New Roman" w:eastAsia="仿宋_GB2312"/>
          <w:sz w:val="30"/>
          <w:szCs w:val="30"/>
          <w:u w:val="none"/>
        </w:rPr>
        <w:t>五、《财政拨款收入支出决算总表》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_Toc32498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"_Toc26379" </w:instrText>
      </w:r>
      <w:r>
        <w:rPr>
          <w:u w:val="none"/>
        </w:rPr>
        <w:fldChar w:fldCharType="separate"/>
      </w:r>
      <w:r>
        <w:rPr>
          <w:rFonts w:hint="eastAsia" w:ascii="仿宋_GB2312" w:hAnsi="Times New Roman" w:eastAsia="仿宋_GB2312"/>
          <w:sz w:val="30"/>
          <w:szCs w:val="30"/>
          <w:u w:val="none"/>
        </w:rPr>
        <w:t>六、《一般公共预算财政拨款支出决算表》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_Toc26379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"_Toc4498" </w:instrText>
      </w:r>
      <w:r>
        <w:rPr>
          <w:u w:val="none"/>
        </w:rPr>
        <w:fldChar w:fldCharType="separate"/>
      </w:r>
      <w:r>
        <w:rPr>
          <w:rFonts w:hint="eastAsia" w:ascii="仿宋_GB2312" w:hAnsi="Times New Roman" w:eastAsia="仿宋_GB2312"/>
          <w:sz w:val="30"/>
          <w:szCs w:val="30"/>
          <w:u w:val="none"/>
        </w:rPr>
        <w:t>七、《一般公共预算财政拨款基本支出决算表》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_Toc4498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"_Toc18038" </w:instrText>
      </w:r>
      <w:r>
        <w:rPr>
          <w:u w:val="none"/>
        </w:rPr>
        <w:fldChar w:fldCharType="separate"/>
      </w:r>
      <w:r>
        <w:rPr>
          <w:rFonts w:hint="eastAsia" w:ascii="仿宋_GB2312" w:hAnsi="Times New Roman" w:eastAsia="仿宋_GB2312"/>
          <w:sz w:val="30"/>
          <w:szCs w:val="30"/>
          <w:u w:val="none"/>
        </w:rPr>
        <w:t>八、《政府性基金预算财政拨款收入支出决算表》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_Toc18038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"_Toc13200" </w:instrText>
      </w:r>
      <w:r>
        <w:rPr>
          <w:u w:val="none"/>
        </w:rPr>
        <w:fldChar w:fldCharType="separate"/>
      </w:r>
      <w:r>
        <w:rPr>
          <w:rFonts w:hint="eastAsia" w:ascii="仿宋_GB2312" w:hAnsi="Times New Roman" w:eastAsia="仿宋_GB2312"/>
          <w:sz w:val="30"/>
          <w:szCs w:val="30"/>
          <w:u w:val="none"/>
        </w:rPr>
        <w:t>九、《国有资本经营预算财政拨款收入支出决算表》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_Toc13200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"_Toc3423" </w:instrText>
      </w:r>
      <w:r>
        <w:rPr>
          <w:u w:val="none"/>
        </w:rPr>
        <w:fldChar w:fldCharType="separate"/>
      </w:r>
      <w:r>
        <w:rPr>
          <w:rFonts w:hint="eastAsia" w:ascii="仿宋_GB2312" w:hAnsi="Times New Roman" w:eastAsia="仿宋_GB2312"/>
          <w:sz w:val="30"/>
          <w:szCs w:val="30"/>
          <w:u w:val="none"/>
        </w:rPr>
        <w:t>十、《一般公共预算财政拨款“三公”经费支出决算表》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_Toc3423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"_Toc3915" </w:instrText>
      </w:r>
      <w:r>
        <w:rPr>
          <w:u w:val="none"/>
        </w:rPr>
        <w:fldChar w:fldCharType="separate"/>
      </w:r>
      <w:r>
        <w:rPr>
          <w:rFonts w:hint="eastAsia" w:ascii="仿宋_GB2312" w:hAnsi="Times New Roman" w:eastAsia="仿宋_GB2312"/>
          <w:sz w:val="30"/>
          <w:szCs w:val="30"/>
          <w:u w:val="none"/>
        </w:rPr>
        <w:t>十一、《项目支出决算表》</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_Toc3915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"_Toc17260" </w:instrText>
      </w:r>
      <w:r>
        <w:rPr>
          <w:u w:val="none"/>
        </w:rPr>
        <w:fldChar w:fldCharType="separate"/>
      </w:r>
      <w:r>
        <w:rPr>
          <w:rFonts w:hint="eastAsia" w:ascii="仿宋_GB2312" w:hAnsi="Times New Roman" w:eastAsia="仿宋_GB2312"/>
          <w:sz w:val="30"/>
          <w:szCs w:val="30"/>
          <w:u w:val="none"/>
        </w:rPr>
        <w:t>十二、关于空表的说明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_Toc17260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2</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9"/>
        <w:tabs>
          <w:tab w:val="right" w:leader="dot" w:pos="8306"/>
          <w:tab w:val="clear" w:pos="8296"/>
        </w:tabs>
        <w:rPr>
          <w:rFonts w:ascii="仿宋_GB2312" w:hAnsi="Times New Roman" w:eastAsia="仿宋_GB2312" w:cs="Times New Roman"/>
          <w:sz w:val="30"/>
          <w:szCs w:val="30"/>
          <w:u w:val="none"/>
        </w:rPr>
      </w:pPr>
      <w:r>
        <w:rPr>
          <w:u w:val="none"/>
        </w:rPr>
        <w:fldChar w:fldCharType="begin"/>
      </w:r>
      <w:r>
        <w:rPr>
          <w:u w:val="none"/>
        </w:rPr>
        <w:instrText xml:space="preserve"> HYPERLINK \l "_Toc396" </w:instrText>
      </w:r>
      <w:r>
        <w:rPr>
          <w:u w:val="none"/>
        </w:rPr>
        <w:fldChar w:fldCharType="separate"/>
      </w:r>
      <w:r>
        <w:rPr>
          <w:rFonts w:hint="eastAsia" w:ascii="仿宋_GB2312" w:hAnsi="Times New Roman" w:eastAsia="仿宋_GB2312" w:cs="Times New Roman"/>
          <w:sz w:val="30"/>
          <w:szCs w:val="30"/>
          <w:u w:val="none"/>
        </w:rPr>
        <w:t>第三部分  2022年度部门决算情况说明</w:t>
      </w:r>
      <w:r>
        <w:rPr>
          <w:rFonts w:hint="eastAsia" w:ascii="仿宋_GB2312" w:hAnsi="Times New Roman" w:eastAsia="仿宋_GB2312" w:cs="Times New Roman"/>
          <w:sz w:val="30"/>
          <w:szCs w:val="30"/>
          <w:u w:val="none"/>
        </w:rPr>
        <w:tab/>
      </w:r>
      <w:r>
        <w:rPr>
          <w:rFonts w:hint="eastAsia" w:ascii="仿宋_GB2312" w:hAnsi="Times New Roman" w:eastAsia="仿宋_GB2312" w:cs="Times New Roman"/>
          <w:sz w:val="30"/>
          <w:szCs w:val="30"/>
          <w:u w:val="none"/>
        </w:rPr>
        <w:fldChar w:fldCharType="begin"/>
      </w:r>
      <w:r>
        <w:rPr>
          <w:rFonts w:hint="eastAsia" w:ascii="仿宋_GB2312" w:hAnsi="Times New Roman" w:eastAsia="仿宋_GB2312" w:cs="Times New Roman"/>
          <w:sz w:val="30"/>
          <w:szCs w:val="30"/>
          <w:u w:val="none"/>
        </w:rPr>
        <w:instrText xml:space="preserve"> PAGEREF _Toc396 \h </w:instrText>
      </w:r>
      <w:r>
        <w:rPr>
          <w:rFonts w:hint="eastAsia" w:ascii="仿宋_GB2312" w:hAnsi="Times New Roman" w:eastAsia="仿宋_GB2312" w:cs="Times New Roman"/>
          <w:sz w:val="30"/>
          <w:szCs w:val="30"/>
          <w:u w:val="none"/>
        </w:rPr>
        <w:fldChar w:fldCharType="separate"/>
      </w:r>
      <w:r>
        <w:rPr>
          <w:rFonts w:hint="eastAsia" w:ascii="仿宋_GB2312" w:hAnsi="Times New Roman" w:eastAsia="仿宋_GB2312" w:cs="Times New Roman"/>
          <w:sz w:val="30"/>
          <w:szCs w:val="30"/>
          <w:u w:val="none"/>
        </w:rPr>
        <w:t>4</w:t>
      </w:r>
      <w:r>
        <w:rPr>
          <w:rFonts w:hint="eastAsia" w:ascii="仿宋_GB2312" w:hAnsi="Times New Roman" w:eastAsia="仿宋_GB2312" w:cs="Times New Roman"/>
          <w:sz w:val="30"/>
          <w:szCs w:val="30"/>
          <w:u w:val="none"/>
        </w:rPr>
        <w:fldChar w:fldCharType="end"/>
      </w:r>
      <w:r>
        <w:rPr>
          <w:rFonts w:hint="eastAsia" w:ascii="仿宋_GB2312" w:hAnsi="Times New Roman" w:eastAsia="仿宋_GB2312" w:cs="Times New Roman"/>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"_Toc24340" </w:instrText>
      </w:r>
      <w:r>
        <w:rPr>
          <w:u w:val="none"/>
        </w:rPr>
        <w:fldChar w:fldCharType="separate"/>
      </w:r>
      <w:r>
        <w:rPr>
          <w:rFonts w:hint="eastAsia" w:ascii="仿宋_GB2312" w:hAnsi="Times New Roman" w:eastAsia="仿宋_GB2312"/>
          <w:sz w:val="30"/>
          <w:szCs w:val="30"/>
          <w:u w:val="none"/>
        </w:rPr>
        <w:t>一、收入支出决算总体情况说明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_Toc24340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4</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"_Toc18552" </w:instrText>
      </w:r>
      <w:r>
        <w:rPr>
          <w:u w:val="none"/>
        </w:rPr>
        <w:fldChar w:fldCharType="separate"/>
      </w:r>
      <w:r>
        <w:rPr>
          <w:rFonts w:hint="eastAsia" w:ascii="仿宋_GB2312" w:hAnsi="Times New Roman" w:eastAsia="仿宋_GB2312"/>
          <w:sz w:val="30"/>
          <w:szCs w:val="30"/>
          <w:u w:val="none"/>
        </w:rPr>
        <w:t>二、收入决算情况说明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_Toc18552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4</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"_Toc26952" </w:instrText>
      </w:r>
      <w:r>
        <w:rPr>
          <w:u w:val="none"/>
        </w:rPr>
        <w:fldChar w:fldCharType="separate"/>
      </w:r>
      <w:r>
        <w:rPr>
          <w:rFonts w:hint="eastAsia" w:ascii="仿宋_GB2312" w:hAnsi="Times New Roman" w:eastAsia="仿宋_GB2312"/>
          <w:sz w:val="30"/>
          <w:szCs w:val="30"/>
          <w:u w:val="none"/>
        </w:rPr>
        <w:t>三、支出决算情况说明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_Toc26952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4</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"_Toc1812" </w:instrText>
      </w:r>
      <w:r>
        <w:rPr>
          <w:u w:val="none"/>
        </w:rPr>
        <w:fldChar w:fldCharType="separate"/>
      </w:r>
      <w:r>
        <w:rPr>
          <w:rFonts w:hint="eastAsia" w:ascii="仿宋_GB2312" w:hAnsi="Times New Roman" w:eastAsia="仿宋_GB2312"/>
          <w:sz w:val="30"/>
          <w:szCs w:val="30"/>
          <w:u w:val="none"/>
        </w:rPr>
        <w:t>四、财政拨款收支决算总体情况说明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_Toc1812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4</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"_Toc10091" </w:instrText>
      </w:r>
      <w:r>
        <w:rPr>
          <w:u w:val="none"/>
        </w:rPr>
        <w:fldChar w:fldCharType="separate"/>
      </w:r>
      <w:r>
        <w:rPr>
          <w:rFonts w:hint="eastAsia" w:ascii="仿宋_GB2312" w:hAnsi="Times New Roman" w:eastAsia="仿宋_GB2312"/>
          <w:sz w:val="30"/>
          <w:szCs w:val="30"/>
          <w:u w:val="none"/>
        </w:rPr>
        <w:t>五、一般公共预算财政拨款支出决算情况说明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_Toc10091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5</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"_Toc10721" </w:instrText>
      </w:r>
      <w:r>
        <w:rPr>
          <w:u w:val="none"/>
        </w:rPr>
        <w:fldChar w:fldCharType="separate"/>
      </w:r>
      <w:r>
        <w:rPr>
          <w:rFonts w:hint="eastAsia" w:ascii="仿宋_GB2312" w:hAnsi="Times New Roman" w:eastAsia="仿宋_GB2312"/>
          <w:sz w:val="30"/>
          <w:szCs w:val="30"/>
          <w:u w:val="none"/>
        </w:rPr>
        <w:t>六、一般公共预算财政拨款基本支出决算情况说明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_Toc10721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6</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"_Toc17918" </w:instrText>
      </w:r>
      <w:r>
        <w:rPr>
          <w:u w:val="none"/>
        </w:rPr>
        <w:fldChar w:fldCharType="separate"/>
      </w:r>
      <w:r>
        <w:rPr>
          <w:rFonts w:hint="eastAsia" w:ascii="仿宋_GB2312" w:hAnsi="Times New Roman" w:eastAsia="仿宋_GB2312"/>
          <w:sz w:val="30"/>
          <w:szCs w:val="30"/>
          <w:u w:val="none"/>
        </w:rPr>
        <w:t>七、政府性基金预算财政拨款收支决算情况说明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_Toc17918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6</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"_Toc23897" </w:instrText>
      </w:r>
      <w:r>
        <w:rPr>
          <w:u w:val="none"/>
        </w:rPr>
        <w:fldChar w:fldCharType="separate"/>
      </w:r>
      <w:r>
        <w:rPr>
          <w:rFonts w:hint="eastAsia" w:ascii="仿宋_GB2312" w:hAnsi="Times New Roman" w:eastAsia="仿宋_GB2312"/>
          <w:sz w:val="30"/>
          <w:szCs w:val="30"/>
          <w:u w:val="none"/>
        </w:rPr>
        <w:t>八、国有资本经营预算财政拨款收支决算情况说明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_Toc23897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6</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"_Toc4518" </w:instrText>
      </w:r>
      <w:r>
        <w:rPr>
          <w:u w:val="none"/>
        </w:rPr>
        <w:fldChar w:fldCharType="separate"/>
      </w:r>
      <w:r>
        <w:rPr>
          <w:rFonts w:hint="eastAsia" w:ascii="仿宋_GB2312" w:hAnsi="Times New Roman" w:eastAsia="仿宋_GB2312"/>
          <w:sz w:val="30"/>
          <w:szCs w:val="30"/>
          <w:u w:val="none"/>
        </w:rPr>
        <w:t>九、一般公共预算财政拨款“三公”经费支出决算情况说明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_Toc4518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6</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"_Toc3411" </w:instrText>
      </w:r>
      <w:r>
        <w:rPr>
          <w:u w:val="none"/>
        </w:rPr>
        <w:fldChar w:fldCharType="separate"/>
      </w:r>
      <w:r>
        <w:rPr>
          <w:rFonts w:hint="eastAsia" w:ascii="仿宋_GB2312" w:hAnsi="Times New Roman" w:eastAsia="仿宋_GB2312"/>
          <w:sz w:val="30"/>
          <w:szCs w:val="30"/>
          <w:u w:val="none"/>
        </w:rPr>
        <w:t>十、机关运行经费支出情况说明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_Toc3411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8</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"_Toc31102" </w:instrText>
      </w:r>
      <w:r>
        <w:rPr>
          <w:u w:val="none"/>
        </w:rPr>
        <w:fldChar w:fldCharType="separate"/>
      </w:r>
      <w:r>
        <w:rPr>
          <w:rFonts w:hint="eastAsia" w:ascii="仿宋_GB2312" w:hAnsi="Times New Roman" w:eastAsia="仿宋_GB2312"/>
          <w:sz w:val="30"/>
          <w:szCs w:val="30"/>
          <w:u w:val="none"/>
        </w:rPr>
        <w:t>十一、政府采购支出情况说明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_Toc31102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8</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"_Toc23709" </w:instrText>
      </w:r>
      <w:r>
        <w:rPr>
          <w:u w:val="none"/>
        </w:rPr>
        <w:fldChar w:fldCharType="separate"/>
      </w:r>
      <w:r>
        <w:rPr>
          <w:rFonts w:hint="eastAsia" w:ascii="仿宋_GB2312" w:hAnsi="Times New Roman" w:eastAsia="仿宋_GB2312"/>
          <w:sz w:val="30"/>
          <w:szCs w:val="30"/>
          <w:u w:val="none"/>
        </w:rPr>
        <w:t>十二、国有资产占有使用情况说明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_Toc23709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8</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"_Toc11467" </w:instrText>
      </w:r>
      <w:r>
        <w:rPr>
          <w:u w:val="none"/>
        </w:rPr>
        <w:fldChar w:fldCharType="separate"/>
      </w:r>
      <w:r>
        <w:rPr>
          <w:rFonts w:hint="eastAsia" w:ascii="仿宋_GB2312" w:hAnsi="Times New Roman" w:eastAsia="仿宋_GB2312"/>
          <w:sz w:val="30"/>
          <w:szCs w:val="30"/>
          <w:u w:val="none"/>
        </w:rPr>
        <w:t>十三、预算绩效情况说明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_Toc11467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8</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10"/>
        <w:tabs>
          <w:tab w:val="right" w:leader="dot" w:pos="8306"/>
        </w:tabs>
        <w:rPr>
          <w:rFonts w:ascii="仿宋_GB2312" w:hAnsi="Times New Roman" w:eastAsia="仿宋_GB2312"/>
          <w:sz w:val="30"/>
          <w:szCs w:val="30"/>
          <w:u w:val="none"/>
        </w:rPr>
      </w:pPr>
      <w:r>
        <w:rPr>
          <w:u w:val="none"/>
        </w:rPr>
        <w:fldChar w:fldCharType="begin"/>
      </w:r>
      <w:r>
        <w:rPr>
          <w:u w:val="none"/>
        </w:rPr>
        <w:instrText xml:space="preserve"> HYPERLINK \l "_Toc15949" </w:instrText>
      </w:r>
      <w:r>
        <w:rPr>
          <w:u w:val="none"/>
        </w:rPr>
        <w:fldChar w:fldCharType="separate"/>
      </w:r>
      <w:r>
        <w:rPr>
          <w:rFonts w:hint="eastAsia" w:ascii="仿宋_GB2312" w:hAnsi="Times New Roman" w:eastAsia="仿宋_GB2312"/>
          <w:sz w:val="30"/>
          <w:szCs w:val="30"/>
          <w:u w:val="none"/>
        </w:rPr>
        <w:t>十四、教育、医疗卫生、社会保障和就业、住房保障、涉农补贴等民生支出情况说明</w:t>
      </w:r>
      <w:r>
        <w:rPr>
          <w:rFonts w:hint="eastAsia" w:ascii="仿宋_GB2312" w:hAnsi="Times New Roman" w:eastAsia="仿宋_GB2312"/>
          <w:sz w:val="30"/>
          <w:szCs w:val="30"/>
          <w:u w:val="none"/>
        </w:rPr>
        <w:tab/>
      </w:r>
      <w:r>
        <w:rPr>
          <w:rFonts w:hint="eastAsia" w:ascii="仿宋_GB2312" w:hAnsi="Times New Roman" w:eastAsia="仿宋_GB2312"/>
          <w:sz w:val="30"/>
          <w:szCs w:val="30"/>
          <w:u w:val="none"/>
        </w:rPr>
        <w:fldChar w:fldCharType="begin"/>
      </w:r>
      <w:r>
        <w:rPr>
          <w:rFonts w:hint="eastAsia" w:ascii="仿宋_GB2312" w:hAnsi="Times New Roman" w:eastAsia="仿宋_GB2312"/>
          <w:sz w:val="30"/>
          <w:szCs w:val="30"/>
          <w:u w:val="none"/>
        </w:rPr>
        <w:instrText xml:space="preserve"> PAGEREF _Toc15949 \h </w:instrText>
      </w:r>
      <w:r>
        <w:rPr>
          <w:rFonts w:hint="eastAsia" w:ascii="仿宋_GB2312" w:hAnsi="Times New Roman" w:eastAsia="仿宋_GB2312"/>
          <w:sz w:val="30"/>
          <w:szCs w:val="30"/>
          <w:u w:val="none"/>
        </w:rPr>
        <w:fldChar w:fldCharType="separate"/>
      </w:r>
      <w:r>
        <w:rPr>
          <w:rFonts w:hint="eastAsia" w:ascii="仿宋_GB2312" w:hAnsi="Times New Roman" w:eastAsia="仿宋_GB2312"/>
          <w:sz w:val="30"/>
          <w:szCs w:val="30"/>
          <w:u w:val="none"/>
        </w:rPr>
        <w:t>8</w:t>
      </w:r>
      <w:r>
        <w:rPr>
          <w:rFonts w:hint="eastAsia" w:ascii="仿宋_GB2312" w:hAnsi="Times New Roman" w:eastAsia="仿宋_GB2312"/>
          <w:sz w:val="30"/>
          <w:szCs w:val="30"/>
          <w:u w:val="none"/>
        </w:rPr>
        <w:fldChar w:fldCharType="end"/>
      </w:r>
      <w:r>
        <w:rPr>
          <w:rFonts w:hint="eastAsia" w:ascii="仿宋_GB2312" w:hAnsi="Times New Roman" w:eastAsia="仿宋_GB2312"/>
          <w:sz w:val="30"/>
          <w:szCs w:val="30"/>
          <w:u w:val="none"/>
        </w:rPr>
        <w:fldChar w:fldCharType="end"/>
      </w:r>
    </w:p>
    <w:p>
      <w:pPr>
        <w:pStyle w:val="9"/>
        <w:tabs>
          <w:tab w:val="right" w:leader="dot" w:pos="8306"/>
          <w:tab w:val="clear" w:pos="8296"/>
        </w:tabs>
        <w:rPr>
          <w:rFonts w:ascii="仿宋_GB2312" w:hAnsi="Times New Roman" w:eastAsia="仿宋_GB2312" w:cs="Times New Roman"/>
          <w:sz w:val="30"/>
          <w:szCs w:val="30"/>
          <w:u w:val="none"/>
        </w:rPr>
      </w:pPr>
      <w:r>
        <w:rPr>
          <w:u w:val="none"/>
        </w:rPr>
        <w:fldChar w:fldCharType="begin"/>
      </w:r>
      <w:r>
        <w:rPr>
          <w:u w:val="none"/>
        </w:rPr>
        <w:instrText xml:space="preserve"> HYPERLINK \l "_Toc30612" </w:instrText>
      </w:r>
      <w:r>
        <w:rPr>
          <w:u w:val="none"/>
        </w:rPr>
        <w:fldChar w:fldCharType="separate"/>
      </w:r>
      <w:r>
        <w:rPr>
          <w:rFonts w:hint="eastAsia" w:ascii="仿宋_GB2312" w:hAnsi="Times New Roman" w:eastAsia="仿宋_GB2312" w:cs="Times New Roman"/>
          <w:sz w:val="30"/>
          <w:szCs w:val="30"/>
          <w:u w:val="none"/>
        </w:rPr>
        <w:t>第四部分  名词解释</w:t>
      </w:r>
      <w:r>
        <w:rPr>
          <w:rFonts w:hint="eastAsia" w:ascii="仿宋_GB2312" w:hAnsi="Times New Roman" w:eastAsia="仿宋_GB2312" w:cs="Times New Roman"/>
          <w:sz w:val="30"/>
          <w:szCs w:val="30"/>
          <w:u w:val="none"/>
        </w:rPr>
        <w:tab/>
      </w:r>
      <w:r>
        <w:rPr>
          <w:rFonts w:hint="eastAsia" w:ascii="仿宋_GB2312" w:hAnsi="Times New Roman" w:eastAsia="仿宋_GB2312" w:cs="Times New Roman"/>
          <w:sz w:val="30"/>
          <w:szCs w:val="30"/>
          <w:u w:val="none"/>
        </w:rPr>
        <w:fldChar w:fldCharType="begin"/>
      </w:r>
      <w:r>
        <w:rPr>
          <w:rFonts w:hint="eastAsia" w:ascii="仿宋_GB2312" w:hAnsi="Times New Roman" w:eastAsia="仿宋_GB2312" w:cs="Times New Roman"/>
          <w:sz w:val="30"/>
          <w:szCs w:val="30"/>
          <w:u w:val="none"/>
        </w:rPr>
        <w:instrText xml:space="preserve"> PAGEREF _Toc30612 \h </w:instrText>
      </w:r>
      <w:r>
        <w:rPr>
          <w:rFonts w:hint="eastAsia" w:ascii="仿宋_GB2312" w:hAnsi="Times New Roman" w:eastAsia="仿宋_GB2312" w:cs="Times New Roman"/>
          <w:sz w:val="30"/>
          <w:szCs w:val="30"/>
          <w:u w:val="none"/>
        </w:rPr>
        <w:fldChar w:fldCharType="separate"/>
      </w:r>
      <w:r>
        <w:rPr>
          <w:rFonts w:hint="eastAsia" w:ascii="仿宋_GB2312" w:hAnsi="Times New Roman" w:eastAsia="仿宋_GB2312" w:cs="Times New Roman"/>
          <w:sz w:val="30"/>
          <w:szCs w:val="30"/>
          <w:u w:val="none"/>
        </w:rPr>
        <w:t>9</w:t>
      </w:r>
      <w:r>
        <w:rPr>
          <w:rFonts w:hint="eastAsia" w:ascii="仿宋_GB2312" w:hAnsi="Times New Roman" w:eastAsia="仿宋_GB2312" w:cs="Times New Roman"/>
          <w:sz w:val="30"/>
          <w:szCs w:val="30"/>
          <w:u w:val="none"/>
        </w:rPr>
        <w:fldChar w:fldCharType="end"/>
      </w:r>
      <w:r>
        <w:rPr>
          <w:rFonts w:hint="eastAsia" w:ascii="仿宋_GB2312" w:hAnsi="Times New Roman" w:eastAsia="仿宋_GB2312" w:cs="Times New Roman"/>
          <w:sz w:val="30"/>
          <w:szCs w:val="30"/>
          <w:u w:val="none"/>
        </w:rPr>
        <w:fldChar w:fldCharType="end"/>
      </w:r>
    </w:p>
    <w:p>
      <w:pPr>
        <w:pStyle w:val="10"/>
        <w:tabs>
          <w:tab w:val="right" w:leader="dot" w:pos="8296"/>
        </w:tabs>
        <w:spacing w:after="0" w:line="600" w:lineRule="exact"/>
        <w:rPr>
          <w:rFonts w:ascii="Times New Roman" w:hAnsi="Times New Roman" w:eastAsia="仿宋_GB2312"/>
          <w:sz w:val="32"/>
          <w:szCs w:val="32"/>
          <w:u w:val="none"/>
        </w:rPr>
        <w:sectPr>
          <w:footerReference r:id="rId5" w:type="default"/>
          <w:pgSz w:w="11906" w:h="16838"/>
          <w:pgMar w:top="1440" w:right="1800" w:bottom="1440" w:left="1800" w:header="851" w:footer="992" w:gutter="0"/>
          <w:pgNumType w:start="1"/>
          <w:cols w:space="720" w:num="1"/>
          <w:docGrid w:type="lines" w:linePitch="312" w:charSpace="0"/>
        </w:sectPr>
      </w:pPr>
      <w:r>
        <w:rPr>
          <w:rFonts w:hint="eastAsia" w:ascii="仿宋_GB2312" w:hAnsi="Times New Roman" w:eastAsia="仿宋_GB2312"/>
          <w:sz w:val="30"/>
          <w:szCs w:val="30"/>
          <w:u w:val="none"/>
        </w:rPr>
        <w:fldChar w:fldCharType="end"/>
      </w:r>
    </w:p>
    <w:p>
      <w:pPr>
        <w:rPr>
          <w:u w:val="none"/>
        </w:rPr>
      </w:pPr>
    </w:p>
    <w:p>
      <w:pPr>
        <w:pStyle w:val="2"/>
        <w:spacing w:before="0" w:after="0" w:line="600" w:lineRule="exact"/>
        <w:jc w:val="center"/>
        <w:rPr>
          <w:rFonts w:ascii="方正小标宋简体" w:hAnsi="方正小标宋简体" w:eastAsia="方正小标宋简体" w:cs="方正小标宋简体"/>
          <w:b w:val="0"/>
          <w:sz w:val="48"/>
          <w:szCs w:val="48"/>
          <w:u w:val="none"/>
        </w:rPr>
      </w:pPr>
    </w:p>
    <w:p>
      <w:pPr>
        <w:pStyle w:val="2"/>
        <w:spacing w:before="0" w:after="0" w:line="600" w:lineRule="exact"/>
        <w:jc w:val="center"/>
        <w:rPr>
          <w:rFonts w:ascii="方正小标宋简体" w:hAnsi="方正小标宋简体" w:eastAsia="方正小标宋简体" w:cs="方正小标宋简体"/>
          <w:b w:val="0"/>
          <w:u w:val="none"/>
        </w:rPr>
      </w:pPr>
      <w:bookmarkStart w:id="0" w:name="_Toc859"/>
      <w:r>
        <w:rPr>
          <w:rFonts w:hint="eastAsia" w:ascii="方正小标宋简体" w:hAnsi="方正小标宋简体" w:eastAsia="方正小标宋简体" w:cs="方正小标宋简体"/>
          <w:b w:val="0"/>
          <w:u w:val="none"/>
        </w:rPr>
        <w:t>第一部分  概 况</w:t>
      </w:r>
      <w:bookmarkEnd w:id="0"/>
    </w:p>
    <w:p>
      <w:pPr>
        <w:spacing w:line="600" w:lineRule="exact"/>
        <w:rPr>
          <w:u w:val="none"/>
        </w:rPr>
      </w:pPr>
    </w:p>
    <w:p>
      <w:pPr>
        <w:pStyle w:val="3"/>
        <w:spacing w:before="0" w:after="0" w:line="600" w:lineRule="exact"/>
        <w:ind w:firstLine="600" w:firstLineChars="200"/>
        <w:rPr>
          <w:rFonts w:ascii="黑体" w:hAnsi="黑体" w:eastAsia="黑体"/>
          <w:b w:val="0"/>
          <w:bCs w:val="0"/>
          <w:sz w:val="30"/>
          <w:szCs w:val="30"/>
          <w:u w:val="none"/>
        </w:rPr>
      </w:pPr>
      <w:bookmarkStart w:id="1" w:name="_Toc21919"/>
      <w:r>
        <w:rPr>
          <w:rFonts w:hint="eastAsia" w:ascii="黑体" w:hAnsi="黑体" w:eastAsia="黑体"/>
          <w:b w:val="0"/>
          <w:bCs w:val="0"/>
          <w:sz w:val="30"/>
          <w:szCs w:val="30"/>
          <w:u w:val="none"/>
        </w:rPr>
        <w:t>一、主要职责</w:t>
      </w:r>
      <w:bookmarkEnd w:id="1"/>
    </w:p>
    <w:p>
      <w:pPr>
        <w:snapToGrid w:val="0"/>
        <w:spacing w:line="520" w:lineRule="exact"/>
        <w:ind w:firstLine="640" w:firstLineChars="200"/>
        <w:rPr>
          <w:rFonts w:hint="eastAsia" w:ascii="仿宋_GB2312" w:hAnsi="仿宋" w:eastAsia="仿宋_GB2312"/>
          <w:sz w:val="32"/>
          <w:szCs w:val="32"/>
          <w:u w:val="none"/>
        </w:rPr>
      </w:pPr>
      <w:bookmarkStart w:id="2" w:name="_Toc17388"/>
      <w:r>
        <w:rPr>
          <w:rFonts w:hint="eastAsia" w:ascii="仿宋_GB2312" w:hAnsi="仿宋" w:eastAsia="仿宋_GB2312"/>
          <w:sz w:val="32"/>
          <w:szCs w:val="32"/>
          <w:u w:val="none"/>
          <w:lang w:val="en-US" w:eastAsia="zh-CN"/>
        </w:rPr>
        <w:t>(一）</w:t>
      </w:r>
      <w:r>
        <w:rPr>
          <w:rFonts w:hint="eastAsia" w:ascii="仿宋_GB2312" w:hAnsi="仿宋" w:eastAsia="仿宋_GB2312"/>
          <w:sz w:val="32"/>
          <w:szCs w:val="32"/>
          <w:u w:val="none"/>
        </w:rPr>
        <w:t>负责平台运行的日常管理、维护，承担各类城市综合管理等问题的受理、转办等工作。</w:t>
      </w:r>
    </w:p>
    <w:p>
      <w:pPr>
        <w:snapToGrid w:val="0"/>
        <w:spacing w:line="520" w:lineRule="exact"/>
        <w:ind w:firstLine="640" w:firstLineChars="200"/>
        <w:rPr>
          <w:rFonts w:hint="eastAsia" w:ascii="仿宋_GB2312" w:hAnsi="仿宋" w:eastAsia="仿宋_GB2312"/>
          <w:sz w:val="32"/>
          <w:szCs w:val="32"/>
          <w:u w:val="none"/>
        </w:rPr>
      </w:pPr>
      <w:r>
        <w:rPr>
          <w:rFonts w:hint="eastAsia" w:ascii="仿宋_GB2312" w:hAnsi="仿宋" w:eastAsia="仿宋_GB2312"/>
          <w:sz w:val="32"/>
          <w:szCs w:val="32"/>
          <w:u w:val="none"/>
          <w:lang w:val="en-US" w:eastAsia="zh-CN"/>
        </w:rPr>
        <w:t>(二）</w:t>
      </w:r>
      <w:r>
        <w:rPr>
          <w:rFonts w:hint="eastAsia" w:ascii="仿宋_GB2312" w:hAnsi="仿宋" w:eastAsia="仿宋_GB2312"/>
          <w:sz w:val="32"/>
          <w:szCs w:val="32"/>
          <w:u w:val="none"/>
        </w:rPr>
        <w:t>负责镇域内运输管理、道路保护；负责物业、水、电、气相关服务工作等。</w:t>
      </w:r>
    </w:p>
    <w:p>
      <w:pPr>
        <w:pStyle w:val="3"/>
        <w:spacing w:before="0" w:after="0" w:line="600" w:lineRule="exact"/>
        <w:ind w:firstLine="600" w:firstLineChars="200"/>
        <w:rPr>
          <w:rFonts w:ascii="黑体" w:hAnsi="黑体" w:eastAsia="黑体"/>
          <w:b w:val="0"/>
          <w:bCs w:val="0"/>
          <w:sz w:val="30"/>
          <w:szCs w:val="30"/>
          <w:u w:val="none"/>
        </w:rPr>
      </w:pPr>
      <w:r>
        <w:rPr>
          <w:rFonts w:hint="eastAsia" w:ascii="黑体" w:hAnsi="黑体" w:eastAsia="黑体"/>
          <w:b w:val="0"/>
          <w:bCs w:val="0"/>
          <w:sz w:val="30"/>
          <w:szCs w:val="30"/>
          <w:u w:val="none"/>
        </w:rPr>
        <w:t>二、机构设置</w:t>
      </w:r>
      <w:bookmarkEnd w:id="2"/>
    </w:p>
    <w:p>
      <w:pPr>
        <w:spacing w:line="600" w:lineRule="exact"/>
        <w:ind w:firstLine="600" w:firstLineChars="200"/>
        <w:rPr>
          <w:rFonts w:eastAsia="仿宋_GB2312"/>
          <w:sz w:val="30"/>
          <w:szCs w:val="30"/>
          <w:u w:val="none"/>
        </w:rPr>
      </w:pPr>
      <w:r>
        <w:rPr>
          <w:rFonts w:hint="eastAsia" w:ascii="仿宋_GB2312" w:eastAsia="仿宋_GB2312" w:cs="仿宋_GB2312"/>
          <w:sz w:val="30"/>
          <w:szCs w:val="30"/>
          <w:u w:val="none"/>
        </w:rPr>
        <w:t>天津市津南区北闸口镇综合治理中心部门</w:t>
      </w:r>
      <w:r>
        <w:rPr>
          <w:rFonts w:eastAsia="仿宋_GB2312"/>
          <w:sz w:val="30"/>
          <w:szCs w:val="30"/>
          <w:u w:val="none"/>
        </w:rPr>
        <w:t>内设</w:t>
      </w:r>
      <w:r>
        <w:rPr>
          <w:rFonts w:hint="eastAsia" w:ascii="仿宋_GB2312" w:hAnsi="仿宋_GB2312" w:eastAsia="仿宋_GB2312" w:cs="仿宋_GB2312"/>
          <w:sz w:val="30"/>
          <w:szCs w:val="30"/>
          <w:u w:val="none"/>
          <w:lang w:val="en-US" w:eastAsia="zh-CN"/>
        </w:rPr>
        <w:t>1</w:t>
      </w:r>
      <w:r>
        <w:rPr>
          <w:rFonts w:eastAsia="仿宋_GB2312"/>
          <w:sz w:val="30"/>
          <w:szCs w:val="30"/>
          <w:u w:val="none"/>
        </w:rPr>
        <w:t>个职能处室</w:t>
      </w:r>
      <w:r>
        <w:rPr>
          <w:rFonts w:hint="eastAsia" w:ascii="仿宋_GB2312" w:eastAsia="仿宋_GB2312" w:cs="仿宋_GB2312"/>
          <w:sz w:val="30"/>
          <w:szCs w:val="30"/>
          <w:u w:val="none"/>
        </w:rPr>
        <w:t>。</w:t>
      </w:r>
    </w:p>
    <w:p>
      <w:pPr>
        <w:spacing w:line="600" w:lineRule="exact"/>
        <w:rPr>
          <w:rFonts w:eastAsia="楷体_GB2312"/>
          <w:b/>
          <w:sz w:val="30"/>
          <w:szCs w:val="30"/>
          <w:u w:val="none"/>
        </w:rPr>
        <w:sectPr>
          <w:footerReference r:id="rId6" w:type="default"/>
          <w:pgSz w:w="11906" w:h="16838"/>
          <w:pgMar w:top="1440" w:right="1800" w:bottom="1440" w:left="1800" w:header="851" w:footer="992" w:gutter="0"/>
          <w:pgNumType w:start="1"/>
          <w:cols w:space="720" w:num="1"/>
          <w:docGrid w:type="lines" w:linePitch="312" w:charSpace="0"/>
        </w:sectPr>
      </w:pPr>
      <w:r>
        <w:rPr>
          <w:rFonts w:eastAsia="楷体_GB2312"/>
          <w:b/>
          <w:sz w:val="30"/>
          <w:szCs w:val="30"/>
          <w:u w:val="none"/>
        </w:rPr>
        <w:br w:type="textWrapping"/>
      </w:r>
    </w:p>
    <w:p>
      <w:pPr>
        <w:spacing w:line="600" w:lineRule="exact"/>
        <w:rPr>
          <w:rFonts w:eastAsia="楷体_GB2312"/>
          <w:b/>
          <w:sz w:val="30"/>
          <w:szCs w:val="30"/>
          <w:u w:val="none"/>
        </w:rPr>
      </w:pPr>
    </w:p>
    <w:p>
      <w:pPr>
        <w:pStyle w:val="2"/>
        <w:spacing w:before="0" w:after="0" w:line="600" w:lineRule="exact"/>
        <w:jc w:val="center"/>
        <w:rPr>
          <w:rFonts w:ascii="方正小标宋简体" w:hAnsi="方正小标宋简体" w:eastAsia="方正小标宋简体" w:cs="方正小标宋简体"/>
          <w:b w:val="0"/>
          <w:u w:val="none"/>
        </w:rPr>
      </w:pPr>
      <w:bookmarkStart w:id="3" w:name="_Toc24747"/>
      <w:r>
        <w:rPr>
          <w:rFonts w:ascii="方正小标宋简体" w:hAnsi="方正小标宋简体" w:eastAsia="方正小标宋简体" w:cs="方正小标宋简体"/>
          <w:b w:val="0"/>
          <w:u w:val="none"/>
        </w:rPr>
        <w:t>第</w:t>
      </w:r>
      <w:r>
        <w:rPr>
          <w:rFonts w:hint="eastAsia" w:ascii="方正小标宋简体" w:hAnsi="方正小标宋简体" w:eastAsia="方正小标宋简体" w:cs="方正小标宋简体"/>
          <w:b w:val="0"/>
          <w:u w:val="none"/>
        </w:rPr>
        <w:t>二</w:t>
      </w:r>
      <w:r>
        <w:rPr>
          <w:rFonts w:ascii="方正小标宋简体" w:hAnsi="方正小标宋简体" w:eastAsia="方正小标宋简体" w:cs="方正小标宋简体"/>
          <w:b w:val="0"/>
          <w:u w:val="none"/>
        </w:rPr>
        <w:t xml:space="preserve">部分  </w:t>
      </w:r>
      <w:r>
        <w:rPr>
          <w:rFonts w:hint="eastAsia" w:ascii="方正小标宋简体" w:hAnsi="方正小标宋简体" w:eastAsia="方正小标宋简体" w:cs="方正小标宋简体"/>
          <w:b w:val="0"/>
          <w:u w:val="none"/>
        </w:rPr>
        <w:t>2022</w:t>
      </w:r>
      <w:r>
        <w:rPr>
          <w:rFonts w:ascii="方正小标宋简体" w:hAnsi="方正小标宋简体" w:eastAsia="方正小标宋简体" w:cs="方正小标宋简体"/>
          <w:b w:val="0"/>
          <w:u w:val="none"/>
        </w:rPr>
        <w:t>年度部门决算</w:t>
      </w:r>
      <w:r>
        <w:rPr>
          <w:rFonts w:hint="eastAsia" w:ascii="方正小标宋简体" w:hAnsi="方正小标宋简体" w:eastAsia="方正小标宋简体" w:cs="方正小标宋简体"/>
          <w:b w:val="0"/>
          <w:u w:val="none"/>
        </w:rPr>
        <w:t>表</w:t>
      </w:r>
      <w:bookmarkEnd w:id="3"/>
    </w:p>
    <w:p>
      <w:pPr>
        <w:spacing w:line="600" w:lineRule="exact"/>
        <w:rPr>
          <w:u w:val="none"/>
        </w:rPr>
      </w:pPr>
    </w:p>
    <w:p>
      <w:pPr>
        <w:pStyle w:val="3"/>
        <w:spacing w:before="0" w:after="0" w:line="800" w:lineRule="exact"/>
        <w:ind w:firstLine="600" w:firstLineChars="200"/>
        <w:rPr>
          <w:rFonts w:ascii="黑体" w:hAnsi="黑体" w:eastAsia="黑体"/>
          <w:b w:val="0"/>
          <w:sz w:val="30"/>
          <w:szCs w:val="30"/>
          <w:u w:val="none"/>
        </w:rPr>
      </w:pPr>
      <w:bookmarkStart w:id="4" w:name="_Toc20142"/>
      <w:r>
        <w:rPr>
          <w:rFonts w:ascii="黑体" w:hAnsi="黑体" w:eastAsia="黑体"/>
          <w:b w:val="0"/>
          <w:sz w:val="30"/>
          <w:szCs w:val="30"/>
          <w:u w:val="none"/>
        </w:rPr>
        <w:t>一</w:t>
      </w:r>
      <w:r>
        <w:rPr>
          <w:rFonts w:hint="eastAsia" w:ascii="黑体" w:hAnsi="黑体" w:eastAsia="黑体"/>
          <w:b w:val="0"/>
          <w:sz w:val="30"/>
          <w:szCs w:val="30"/>
          <w:u w:val="none"/>
        </w:rPr>
        <w:t>、</w:t>
      </w:r>
      <w:r>
        <w:rPr>
          <w:rFonts w:ascii="黑体" w:hAnsi="黑体" w:eastAsia="黑体"/>
          <w:b w:val="0"/>
          <w:sz w:val="30"/>
          <w:szCs w:val="30"/>
          <w:u w:val="none"/>
        </w:rPr>
        <w:t>《</w:t>
      </w:r>
      <w:r>
        <w:rPr>
          <w:rFonts w:hint="eastAsia" w:ascii="黑体" w:hAnsi="黑体" w:eastAsia="黑体"/>
          <w:b w:val="0"/>
          <w:sz w:val="30"/>
          <w:szCs w:val="30"/>
          <w:u w:val="none"/>
        </w:rPr>
        <w:t>收入</w:t>
      </w:r>
      <w:r>
        <w:rPr>
          <w:rFonts w:ascii="黑体" w:hAnsi="黑体" w:eastAsia="黑体"/>
          <w:b w:val="0"/>
          <w:sz w:val="30"/>
          <w:szCs w:val="30"/>
          <w:u w:val="none"/>
        </w:rPr>
        <w:t>支出</w:t>
      </w:r>
      <w:r>
        <w:rPr>
          <w:rFonts w:hint="eastAsia" w:ascii="黑体" w:hAnsi="黑体" w:eastAsia="黑体"/>
          <w:b w:val="0"/>
          <w:sz w:val="30"/>
          <w:szCs w:val="30"/>
          <w:u w:val="none"/>
        </w:rPr>
        <w:t>决算总</w:t>
      </w:r>
      <w:r>
        <w:rPr>
          <w:rFonts w:ascii="黑体" w:hAnsi="黑体" w:eastAsia="黑体"/>
          <w:b w:val="0"/>
          <w:sz w:val="30"/>
          <w:szCs w:val="30"/>
          <w:u w:val="none"/>
        </w:rPr>
        <w:t>表》</w:t>
      </w:r>
      <w:bookmarkEnd w:id="4"/>
    </w:p>
    <w:p>
      <w:pPr>
        <w:pStyle w:val="3"/>
        <w:spacing w:before="0" w:after="0" w:line="800" w:lineRule="exact"/>
        <w:ind w:firstLine="600" w:firstLineChars="200"/>
        <w:rPr>
          <w:rFonts w:ascii="黑体" w:hAnsi="黑体" w:eastAsia="黑体"/>
          <w:b w:val="0"/>
          <w:sz w:val="30"/>
          <w:szCs w:val="30"/>
          <w:u w:val="none"/>
        </w:rPr>
      </w:pPr>
      <w:bookmarkStart w:id="5" w:name="_Toc1616"/>
      <w:r>
        <w:rPr>
          <w:rFonts w:ascii="黑体" w:hAnsi="黑体" w:eastAsia="黑体"/>
          <w:b w:val="0"/>
          <w:sz w:val="30"/>
          <w:szCs w:val="30"/>
          <w:u w:val="none"/>
        </w:rPr>
        <w:t>二、《收入</w:t>
      </w:r>
      <w:r>
        <w:rPr>
          <w:rFonts w:hint="eastAsia" w:ascii="黑体" w:hAnsi="黑体" w:eastAsia="黑体"/>
          <w:b w:val="0"/>
          <w:sz w:val="30"/>
          <w:szCs w:val="30"/>
          <w:u w:val="none"/>
        </w:rPr>
        <w:t>决算</w:t>
      </w:r>
      <w:r>
        <w:rPr>
          <w:rFonts w:ascii="黑体" w:hAnsi="黑体" w:eastAsia="黑体"/>
          <w:b w:val="0"/>
          <w:sz w:val="30"/>
          <w:szCs w:val="30"/>
          <w:u w:val="none"/>
        </w:rPr>
        <w:t>表</w:t>
      </w:r>
      <w:r>
        <w:rPr>
          <w:rFonts w:hint="eastAsia" w:ascii="黑体" w:hAnsi="黑体" w:eastAsia="黑体"/>
          <w:b w:val="0"/>
          <w:sz w:val="30"/>
          <w:szCs w:val="30"/>
          <w:u w:val="none"/>
        </w:rPr>
        <w:t>（按功能分类列示）</w:t>
      </w:r>
      <w:r>
        <w:rPr>
          <w:rFonts w:ascii="黑体" w:hAnsi="黑体" w:eastAsia="黑体"/>
          <w:b w:val="0"/>
          <w:sz w:val="30"/>
          <w:szCs w:val="30"/>
          <w:u w:val="none"/>
        </w:rPr>
        <w:t>》</w:t>
      </w:r>
      <w:bookmarkEnd w:id="5"/>
    </w:p>
    <w:p>
      <w:pPr>
        <w:pStyle w:val="3"/>
        <w:spacing w:before="0" w:after="0" w:line="800" w:lineRule="exact"/>
        <w:ind w:firstLine="600" w:firstLineChars="200"/>
        <w:rPr>
          <w:rFonts w:ascii="黑体" w:hAnsi="黑体" w:eastAsia="黑体"/>
          <w:b w:val="0"/>
          <w:sz w:val="30"/>
          <w:szCs w:val="30"/>
          <w:u w:val="none"/>
        </w:rPr>
      </w:pPr>
      <w:bookmarkStart w:id="6" w:name="_Toc12050"/>
      <w:r>
        <w:rPr>
          <w:rFonts w:hint="eastAsia" w:ascii="黑体" w:hAnsi="黑体" w:eastAsia="黑体"/>
          <w:b w:val="0"/>
          <w:sz w:val="30"/>
          <w:szCs w:val="30"/>
          <w:u w:val="none"/>
        </w:rPr>
        <w:t>三</w:t>
      </w:r>
      <w:r>
        <w:rPr>
          <w:rFonts w:ascii="黑体" w:hAnsi="黑体" w:eastAsia="黑体"/>
          <w:b w:val="0"/>
          <w:sz w:val="30"/>
          <w:szCs w:val="30"/>
          <w:u w:val="none"/>
        </w:rPr>
        <w:t>、《收入</w:t>
      </w:r>
      <w:r>
        <w:rPr>
          <w:rFonts w:hint="eastAsia" w:ascii="黑体" w:hAnsi="黑体" w:eastAsia="黑体"/>
          <w:b w:val="0"/>
          <w:sz w:val="30"/>
          <w:szCs w:val="30"/>
          <w:u w:val="none"/>
        </w:rPr>
        <w:t>决算</w:t>
      </w:r>
      <w:r>
        <w:rPr>
          <w:rFonts w:ascii="黑体" w:hAnsi="黑体" w:eastAsia="黑体"/>
          <w:b w:val="0"/>
          <w:sz w:val="30"/>
          <w:szCs w:val="30"/>
          <w:u w:val="none"/>
        </w:rPr>
        <w:t>表</w:t>
      </w:r>
      <w:r>
        <w:rPr>
          <w:rFonts w:hint="eastAsia" w:ascii="黑体" w:hAnsi="黑体" w:eastAsia="黑体"/>
          <w:b w:val="0"/>
          <w:sz w:val="30"/>
          <w:szCs w:val="30"/>
          <w:u w:val="none"/>
        </w:rPr>
        <w:t>（按单位列示）</w:t>
      </w:r>
      <w:r>
        <w:rPr>
          <w:rFonts w:ascii="黑体" w:hAnsi="黑体" w:eastAsia="黑体"/>
          <w:b w:val="0"/>
          <w:sz w:val="30"/>
          <w:szCs w:val="30"/>
          <w:u w:val="none"/>
        </w:rPr>
        <w:t>》</w:t>
      </w:r>
      <w:bookmarkEnd w:id="6"/>
    </w:p>
    <w:p>
      <w:pPr>
        <w:pStyle w:val="3"/>
        <w:spacing w:before="0" w:after="0" w:line="800" w:lineRule="exact"/>
        <w:ind w:firstLine="600" w:firstLineChars="200"/>
        <w:rPr>
          <w:rFonts w:ascii="黑体" w:hAnsi="黑体" w:eastAsia="黑体"/>
          <w:b w:val="0"/>
          <w:sz w:val="30"/>
          <w:szCs w:val="30"/>
          <w:u w:val="none"/>
        </w:rPr>
      </w:pPr>
      <w:bookmarkStart w:id="7" w:name="_Toc1989"/>
      <w:r>
        <w:rPr>
          <w:rFonts w:hint="eastAsia" w:ascii="黑体" w:hAnsi="黑体" w:eastAsia="黑体"/>
          <w:b w:val="0"/>
          <w:sz w:val="30"/>
          <w:szCs w:val="30"/>
          <w:u w:val="none"/>
        </w:rPr>
        <w:t>四、</w:t>
      </w:r>
      <w:r>
        <w:rPr>
          <w:rFonts w:ascii="黑体" w:hAnsi="黑体" w:eastAsia="黑体"/>
          <w:b w:val="0"/>
          <w:sz w:val="30"/>
          <w:szCs w:val="30"/>
          <w:u w:val="none"/>
        </w:rPr>
        <w:t>《支出</w:t>
      </w:r>
      <w:r>
        <w:rPr>
          <w:rFonts w:hint="eastAsia" w:ascii="黑体" w:hAnsi="黑体" w:eastAsia="黑体"/>
          <w:b w:val="0"/>
          <w:sz w:val="30"/>
          <w:szCs w:val="30"/>
          <w:u w:val="none"/>
        </w:rPr>
        <w:t>决算</w:t>
      </w:r>
      <w:r>
        <w:rPr>
          <w:rFonts w:ascii="黑体" w:hAnsi="黑体" w:eastAsia="黑体"/>
          <w:b w:val="0"/>
          <w:sz w:val="30"/>
          <w:szCs w:val="30"/>
          <w:u w:val="none"/>
        </w:rPr>
        <w:t>表》</w:t>
      </w:r>
      <w:bookmarkEnd w:id="7"/>
    </w:p>
    <w:p>
      <w:pPr>
        <w:pStyle w:val="3"/>
        <w:spacing w:before="0" w:after="0" w:line="800" w:lineRule="exact"/>
        <w:ind w:firstLine="600" w:firstLineChars="200"/>
        <w:rPr>
          <w:rFonts w:ascii="黑体" w:hAnsi="黑体" w:eastAsia="黑体"/>
          <w:b w:val="0"/>
          <w:sz w:val="30"/>
          <w:szCs w:val="30"/>
          <w:u w:val="none"/>
        </w:rPr>
      </w:pPr>
      <w:bookmarkStart w:id="8" w:name="_Toc32498"/>
      <w:r>
        <w:rPr>
          <w:rFonts w:ascii="黑体" w:hAnsi="黑体" w:eastAsia="黑体"/>
          <w:b w:val="0"/>
          <w:sz w:val="30"/>
          <w:szCs w:val="30"/>
          <w:u w:val="none"/>
        </w:rPr>
        <w:t>五</w:t>
      </w:r>
      <w:r>
        <w:rPr>
          <w:rFonts w:hint="eastAsia" w:ascii="黑体" w:hAnsi="黑体" w:eastAsia="黑体"/>
          <w:b w:val="0"/>
          <w:sz w:val="30"/>
          <w:szCs w:val="30"/>
          <w:u w:val="none"/>
        </w:rPr>
        <w:t>、</w:t>
      </w:r>
      <w:r>
        <w:rPr>
          <w:rFonts w:ascii="黑体" w:hAnsi="黑体" w:eastAsia="黑体"/>
          <w:b w:val="0"/>
          <w:sz w:val="30"/>
          <w:szCs w:val="30"/>
          <w:u w:val="none"/>
        </w:rPr>
        <w:t>《财政拨款</w:t>
      </w:r>
      <w:r>
        <w:rPr>
          <w:rFonts w:hint="eastAsia" w:ascii="黑体" w:hAnsi="黑体" w:eastAsia="黑体"/>
          <w:b w:val="0"/>
          <w:sz w:val="30"/>
          <w:szCs w:val="30"/>
          <w:u w:val="none"/>
        </w:rPr>
        <w:t>收入</w:t>
      </w:r>
      <w:r>
        <w:rPr>
          <w:rFonts w:ascii="黑体" w:hAnsi="黑体" w:eastAsia="黑体"/>
          <w:b w:val="0"/>
          <w:sz w:val="30"/>
          <w:szCs w:val="30"/>
          <w:u w:val="none"/>
        </w:rPr>
        <w:t>支出</w:t>
      </w:r>
      <w:r>
        <w:rPr>
          <w:rFonts w:hint="eastAsia" w:ascii="黑体" w:hAnsi="黑体" w:eastAsia="黑体"/>
          <w:b w:val="0"/>
          <w:sz w:val="30"/>
          <w:szCs w:val="30"/>
          <w:u w:val="none"/>
        </w:rPr>
        <w:t>决算总</w:t>
      </w:r>
      <w:r>
        <w:rPr>
          <w:rFonts w:ascii="黑体" w:hAnsi="黑体" w:eastAsia="黑体"/>
          <w:b w:val="0"/>
          <w:sz w:val="30"/>
          <w:szCs w:val="30"/>
          <w:u w:val="none"/>
        </w:rPr>
        <w:t>表》</w:t>
      </w:r>
      <w:bookmarkEnd w:id="8"/>
    </w:p>
    <w:p>
      <w:pPr>
        <w:pStyle w:val="3"/>
        <w:spacing w:before="0" w:after="0" w:line="800" w:lineRule="exact"/>
        <w:ind w:firstLine="600" w:firstLineChars="200"/>
        <w:rPr>
          <w:rFonts w:ascii="黑体" w:hAnsi="黑体" w:eastAsia="黑体"/>
          <w:b w:val="0"/>
          <w:sz w:val="30"/>
          <w:szCs w:val="30"/>
          <w:u w:val="none"/>
        </w:rPr>
      </w:pPr>
      <w:bookmarkStart w:id="9" w:name="_Toc26379"/>
      <w:r>
        <w:rPr>
          <w:rFonts w:ascii="黑体" w:hAnsi="黑体" w:eastAsia="黑体"/>
          <w:b w:val="0"/>
          <w:sz w:val="30"/>
          <w:szCs w:val="30"/>
          <w:u w:val="none"/>
        </w:rPr>
        <w:t>六</w:t>
      </w:r>
      <w:r>
        <w:rPr>
          <w:rFonts w:hint="eastAsia" w:ascii="黑体" w:hAnsi="黑体" w:eastAsia="黑体"/>
          <w:b w:val="0"/>
          <w:sz w:val="30"/>
          <w:szCs w:val="30"/>
          <w:u w:val="none"/>
        </w:rPr>
        <w:t>、</w:t>
      </w:r>
      <w:r>
        <w:rPr>
          <w:rFonts w:ascii="黑体" w:hAnsi="黑体" w:eastAsia="黑体"/>
          <w:b w:val="0"/>
          <w:sz w:val="30"/>
          <w:szCs w:val="30"/>
          <w:u w:val="none"/>
        </w:rPr>
        <w:t>《一般公共预算财政拨款支出</w:t>
      </w:r>
      <w:r>
        <w:rPr>
          <w:rFonts w:hint="eastAsia" w:ascii="黑体" w:hAnsi="黑体" w:eastAsia="黑体"/>
          <w:b w:val="0"/>
          <w:sz w:val="30"/>
          <w:szCs w:val="30"/>
          <w:u w:val="none"/>
        </w:rPr>
        <w:t>决算</w:t>
      </w:r>
      <w:r>
        <w:rPr>
          <w:rFonts w:ascii="黑体" w:hAnsi="黑体" w:eastAsia="黑体"/>
          <w:b w:val="0"/>
          <w:sz w:val="30"/>
          <w:szCs w:val="30"/>
          <w:u w:val="none"/>
        </w:rPr>
        <w:t>表》</w:t>
      </w:r>
      <w:bookmarkEnd w:id="9"/>
    </w:p>
    <w:p>
      <w:pPr>
        <w:pStyle w:val="3"/>
        <w:spacing w:before="0" w:after="0" w:line="800" w:lineRule="exact"/>
        <w:ind w:firstLine="600" w:firstLineChars="200"/>
        <w:rPr>
          <w:rFonts w:ascii="黑体" w:hAnsi="黑体" w:eastAsia="黑体"/>
          <w:b w:val="0"/>
          <w:sz w:val="30"/>
          <w:szCs w:val="30"/>
          <w:u w:val="none"/>
        </w:rPr>
      </w:pPr>
      <w:bookmarkStart w:id="10" w:name="_Toc4498"/>
      <w:r>
        <w:rPr>
          <w:rFonts w:ascii="黑体" w:hAnsi="黑体" w:eastAsia="黑体"/>
          <w:b w:val="0"/>
          <w:sz w:val="30"/>
          <w:szCs w:val="30"/>
          <w:u w:val="none"/>
        </w:rPr>
        <w:t>七</w:t>
      </w:r>
      <w:r>
        <w:rPr>
          <w:rFonts w:hint="eastAsia" w:ascii="黑体" w:hAnsi="黑体" w:eastAsia="黑体"/>
          <w:b w:val="0"/>
          <w:sz w:val="30"/>
          <w:szCs w:val="30"/>
          <w:u w:val="none"/>
        </w:rPr>
        <w:t>、</w:t>
      </w:r>
      <w:r>
        <w:rPr>
          <w:rFonts w:ascii="黑体" w:hAnsi="黑体" w:eastAsia="黑体"/>
          <w:b w:val="0"/>
          <w:sz w:val="30"/>
          <w:szCs w:val="30"/>
          <w:u w:val="none"/>
        </w:rPr>
        <w:t>《一般公共预算财政拨款基本支出</w:t>
      </w:r>
      <w:r>
        <w:rPr>
          <w:rFonts w:hint="eastAsia" w:ascii="黑体" w:hAnsi="黑体" w:eastAsia="黑体"/>
          <w:b w:val="0"/>
          <w:sz w:val="30"/>
          <w:szCs w:val="30"/>
          <w:u w:val="none"/>
        </w:rPr>
        <w:t>决算</w:t>
      </w:r>
      <w:r>
        <w:rPr>
          <w:rFonts w:ascii="黑体" w:hAnsi="黑体" w:eastAsia="黑体"/>
          <w:b w:val="0"/>
          <w:sz w:val="30"/>
          <w:szCs w:val="30"/>
          <w:u w:val="none"/>
        </w:rPr>
        <w:t>表》</w:t>
      </w:r>
      <w:bookmarkEnd w:id="10"/>
    </w:p>
    <w:p>
      <w:pPr>
        <w:pStyle w:val="3"/>
        <w:spacing w:before="0" w:after="0" w:line="800" w:lineRule="exact"/>
        <w:ind w:firstLine="600" w:firstLineChars="200"/>
        <w:rPr>
          <w:rFonts w:ascii="黑体" w:hAnsi="黑体" w:eastAsia="黑体"/>
          <w:b w:val="0"/>
          <w:sz w:val="30"/>
          <w:szCs w:val="30"/>
          <w:u w:val="none"/>
        </w:rPr>
      </w:pPr>
      <w:bookmarkStart w:id="11" w:name="_Toc18038"/>
      <w:r>
        <w:rPr>
          <w:rFonts w:hint="eastAsia" w:ascii="黑体" w:hAnsi="黑体" w:eastAsia="黑体"/>
          <w:b w:val="0"/>
          <w:sz w:val="30"/>
          <w:szCs w:val="30"/>
          <w:u w:val="none"/>
        </w:rPr>
        <w:t>八、</w:t>
      </w:r>
      <w:r>
        <w:rPr>
          <w:rFonts w:ascii="黑体" w:hAnsi="黑体" w:eastAsia="黑体"/>
          <w:b w:val="0"/>
          <w:sz w:val="30"/>
          <w:szCs w:val="30"/>
          <w:u w:val="none"/>
        </w:rPr>
        <w:t>《政府性基金预算财政拨款</w:t>
      </w:r>
      <w:r>
        <w:rPr>
          <w:rFonts w:hint="eastAsia" w:ascii="黑体" w:hAnsi="黑体" w:eastAsia="黑体"/>
          <w:b w:val="0"/>
          <w:sz w:val="30"/>
          <w:szCs w:val="30"/>
          <w:u w:val="none"/>
        </w:rPr>
        <w:t>收入</w:t>
      </w:r>
      <w:r>
        <w:rPr>
          <w:rFonts w:ascii="黑体" w:hAnsi="黑体" w:eastAsia="黑体"/>
          <w:b w:val="0"/>
          <w:sz w:val="30"/>
          <w:szCs w:val="30"/>
          <w:u w:val="none"/>
        </w:rPr>
        <w:t>支出</w:t>
      </w:r>
      <w:r>
        <w:rPr>
          <w:rFonts w:hint="eastAsia" w:ascii="黑体" w:hAnsi="黑体" w:eastAsia="黑体"/>
          <w:b w:val="0"/>
          <w:sz w:val="30"/>
          <w:szCs w:val="30"/>
          <w:u w:val="none"/>
        </w:rPr>
        <w:t>决算</w:t>
      </w:r>
      <w:r>
        <w:rPr>
          <w:rFonts w:ascii="黑体" w:hAnsi="黑体" w:eastAsia="黑体"/>
          <w:b w:val="0"/>
          <w:sz w:val="30"/>
          <w:szCs w:val="30"/>
          <w:u w:val="none"/>
        </w:rPr>
        <w:t>表》</w:t>
      </w:r>
      <w:bookmarkEnd w:id="11"/>
    </w:p>
    <w:p>
      <w:pPr>
        <w:pStyle w:val="3"/>
        <w:spacing w:before="0" w:after="0" w:line="800" w:lineRule="exact"/>
        <w:ind w:firstLine="600" w:firstLineChars="200"/>
        <w:rPr>
          <w:rFonts w:ascii="黑体" w:hAnsi="黑体" w:eastAsia="黑体"/>
          <w:b w:val="0"/>
          <w:sz w:val="30"/>
          <w:szCs w:val="30"/>
          <w:u w:val="none"/>
        </w:rPr>
      </w:pPr>
      <w:bookmarkStart w:id="12" w:name="_Toc13200"/>
      <w:r>
        <w:rPr>
          <w:rFonts w:hint="eastAsia" w:ascii="黑体" w:hAnsi="黑体" w:eastAsia="黑体"/>
          <w:b w:val="0"/>
          <w:sz w:val="30"/>
          <w:szCs w:val="30"/>
          <w:u w:val="none"/>
        </w:rPr>
        <w:t>九、</w:t>
      </w:r>
      <w:r>
        <w:rPr>
          <w:rFonts w:ascii="黑体" w:hAnsi="黑体" w:eastAsia="黑体"/>
          <w:b w:val="0"/>
          <w:sz w:val="30"/>
          <w:szCs w:val="30"/>
          <w:u w:val="none"/>
        </w:rPr>
        <w:t>《国有资本经营预算财政拨款</w:t>
      </w:r>
      <w:r>
        <w:rPr>
          <w:rFonts w:hint="eastAsia" w:ascii="黑体" w:hAnsi="黑体" w:eastAsia="黑体"/>
          <w:b w:val="0"/>
          <w:sz w:val="30"/>
          <w:szCs w:val="30"/>
          <w:u w:val="none"/>
        </w:rPr>
        <w:t>收入支出决算</w:t>
      </w:r>
      <w:r>
        <w:rPr>
          <w:rFonts w:ascii="黑体" w:hAnsi="黑体" w:eastAsia="黑体"/>
          <w:b w:val="0"/>
          <w:sz w:val="30"/>
          <w:szCs w:val="30"/>
          <w:u w:val="none"/>
        </w:rPr>
        <w:t>表》</w:t>
      </w:r>
      <w:bookmarkEnd w:id="12"/>
    </w:p>
    <w:p>
      <w:pPr>
        <w:pStyle w:val="3"/>
        <w:spacing w:before="0" w:after="0" w:line="800" w:lineRule="exact"/>
        <w:ind w:firstLine="600" w:firstLineChars="200"/>
        <w:rPr>
          <w:rFonts w:ascii="黑体" w:hAnsi="黑体" w:eastAsia="黑体"/>
          <w:b w:val="0"/>
          <w:sz w:val="30"/>
          <w:szCs w:val="30"/>
          <w:u w:val="none"/>
        </w:rPr>
      </w:pPr>
      <w:bookmarkStart w:id="13" w:name="_Toc3423"/>
      <w:r>
        <w:rPr>
          <w:rFonts w:hint="eastAsia" w:ascii="黑体" w:hAnsi="黑体" w:eastAsia="黑体"/>
          <w:b w:val="0"/>
          <w:sz w:val="30"/>
          <w:szCs w:val="30"/>
          <w:u w:val="none"/>
        </w:rPr>
        <w:t>十、</w:t>
      </w:r>
      <w:r>
        <w:rPr>
          <w:rFonts w:ascii="黑体" w:hAnsi="黑体" w:eastAsia="黑体"/>
          <w:b w:val="0"/>
          <w:sz w:val="30"/>
          <w:szCs w:val="30"/>
          <w:u w:val="none"/>
        </w:rPr>
        <w:t>《一般公共预算财政拨款“三公”经费支出</w:t>
      </w:r>
      <w:r>
        <w:rPr>
          <w:rFonts w:hint="eastAsia" w:ascii="黑体" w:hAnsi="黑体" w:eastAsia="黑体"/>
          <w:b w:val="0"/>
          <w:sz w:val="30"/>
          <w:szCs w:val="30"/>
          <w:u w:val="none"/>
        </w:rPr>
        <w:t>决算</w:t>
      </w:r>
      <w:r>
        <w:rPr>
          <w:rFonts w:ascii="黑体" w:hAnsi="黑体" w:eastAsia="黑体"/>
          <w:b w:val="0"/>
          <w:sz w:val="30"/>
          <w:szCs w:val="30"/>
          <w:u w:val="none"/>
        </w:rPr>
        <w:t>表》</w:t>
      </w:r>
      <w:bookmarkEnd w:id="13"/>
    </w:p>
    <w:p>
      <w:pPr>
        <w:pStyle w:val="3"/>
        <w:spacing w:before="0" w:after="0" w:line="800" w:lineRule="exact"/>
        <w:ind w:firstLine="600" w:firstLineChars="200"/>
        <w:rPr>
          <w:rFonts w:ascii="黑体" w:hAnsi="黑体" w:eastAsia="黑体"/>
          <w:b w:val="0"/>
          <w:sz w:val="30"/>
          <w:szCs w:val="30"/>
          <w:u w:val="none"/>
        </w:rPr>
      </w:pPr>
      <w:bookmarkStart w:id="14" w:name="_Toc3915"/>
      <w:r>
        <w:rPr>
          <w:rFonts w:ascii="黑体" w:hAnsi="黑体" w:eastAsia="黑体"/>
          <w:b w:val="0"/>
          <w:sz w:val="30"/>
          <w:szCs w:val="30"/>
          <w:u w:val="none"/>
        </w:rPr>
        <w:t>十</w:t>
      </w:r>
      <w:r>
        <w:rPr>
          <w:rFonts w:hint="eastAsia" w:ascii="黑体" w:hAnsi="黑体" w:eastAsia="黑体"/>
          <w:b w:val="0"/>
          <w:sz w:val="30"/>
          <w:szCs w:val="30"/>
          <w:u w:val="none"/>
        </w:rPr>
        <w:t>一、</w:t>
      </w:r>
      <w:r>
        <w:rPr>
          <w:rFonts w:ascii="黑体" w:hAnsi="黑体" w:eastAsia="黑体"/>
          <w:b w:val="0"/>
          <w:sz w:val="30"/>
          <w:szCs w:val="30"/>
          <w:u w:val="none"/>
        </w:rPr>
        <w:t>《项目支出决算表》</w:t>
      </w:r>
      <w:bookmarkEnd w:id="14"/>
    </w:p>
    <w:p>
      <w:pPr>
        <w:spacing w:line="800" w:lineRule="exact"/>
        <w:rPr>
          <w:u w:val="none"/>
        </w:rPr>
      </w:pPr>
      <w:r>
        <w:rPr>
          <w:rFonts w:hint="eastAsia" w:eastAsia="楷体"/>
          <w:sz w:val="30"/>
          <w:szCs w:val="30"/>
          <w:u w:val="none"/>
        </w:rPr>
        <w:t>注：以上决算公开表均作为附表，附于决算公开说明文档后。</w:t>
      </w:r>
    </w:p>
    <w:p>
      <w:pPr>
        <w:pStyle w:val="3"/>
        <w:numPr>
          <w:ilvl w:val="0"/>
          <w:numId w:val="1"/>
        </w:numPr>
        <w:spacing w:before="0" w:after="0" w:line="800" w:lineRule="exact"/>
        <w:ind w:firstLine="600" w:firstLineChars="200"/>
        <w:rPr>
          <w:rFonts w:ascii="黑体" w:hAnsi="黑体" w:eastAsia="黑体"/>
          <w:b w:val="0"/>
          <w:bCs w:val="0"/>
          <w:sz w:val="30"/>
          <w:szCs w:val="30"/>
          <w:u w:val="none"/>
        </w:rPr>
      </w:pPr>
      <w:bookmarkStart w:id="15" w:name="_Toc17260"/>
      <w:r>
        <w:rPr>
          <w:rFonts w:hint="eastAsia" w:ascii="黑体" w:hAnsi="黑体" w:eastAsia="黑体"/>
          <w:b w:val="0"/>
          <w:bCs w:val="0"/>
          <w:sz w:val="30"/>
          <w:szCs w:val="30"/>
          <w:u w:val="none"/>
        </w:rPr>
        <w:t>关于空表的说明</w:t>
      </w:r>
      <w:bookmarkEnd w:id="15"/>
    </w:p>
    <w:p>
      <w:pPr>
        <w:spacing w:line="600" w:lineRule="exact"/>
        <w:rPr>
          <w:rFonts w:ascii="仿宋_GB2312" w:eastAsia="仿宋_GB2312" w:cs="仿宋_GB2312"/>
          <w:sz w:val="30"/>
          <w:szCs w:val="30"/>
          <w:u w:val="none"/>
        </w:rPr>
        <w:sectPr>
          <w:pgSz w:w="11906" w:h="16838"/>
          <w:pgMar w:top="1440" w:right="1800" w:bottom="1440" w:left="1800" w:header="851" w:footer="992" w:gutter="0"/>
          <w:cols w:space="720" w:num="1"/>
          <w:docGrid w:type="lines" w:linePitch="312" w:charSpace="0"/>
        </w:sectPr>
      </w:pPr>
      <w:r>
        <w:rPr>
          <w:rFonts w:hint="eastAsia" w:ascii="仿宋_GB2312" w:eastAsia="仿宋_GB2312" w:cs="仿宋_GB2312"/>
          <w:sz w:val="30"/>
          <w:szCs w:val="30"/>
          <w:u w:val="none"/>
        </w:rPr>
        <w:t xml:space="preserve">    天津市津南区北闸口镇综合治理中心2022年度一般公共预算财政拨款基本支出决算表为空表。</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天津市津南区北闸口镇综合治理中心2022年度政府性基金预算财政拨款收入支出决算表为空表。</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天津市津南区北闸口镇综合治理中心2022年度国有资本经营预算财政拨款收入支出决算表为空表。</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天津市津南区北闸口镇综合治理中心2022年度一般公共预算财政拨款“三公”经费支出决算表为空表。</w:t>
      </w:r>
    </w:p>
    <w:p>
      <w:pPr>
        <w:spacing w:line="600" w:lineRule="exact"/>
        <w:rPr>
          <w:rFonts w:ascii="仿宋_GB2312" w:eastAsia="仿宋_GB2312" w:cs="仿宋_GB2312"/>
          <w:sz w:val="30"/>
          <w:szCs w:val="30"/>
          <w:u w:val="none"/>
        </w:rPr>
      </w:pPr>
    </w:p>
    <w:p>
      <w:pPr>
        <w:pStyle w:val="2"/>
        <w:spacing w:before="0" w:after="0" w:line="600" w:lineRule="exact"/>
        <w:jc w:val="center"/>
        <w:rPr>
          <w:rFonts w:ascii="方正小标宋简体" w:hAnsi="方正小标宋简体" w:eastAsia="方正小标宋简体" w:cs="方正小标宋简体"/>
          <w:b w:val="0"/>
          <w:u w:val="none"/>
        </w:rPr>
      </w:pPr>
      <w:bookmarkStart w:id="16" w:name="_Toc396"/>
      <w:r>
        <w:rPr>
          <w:rFonts w:ascii="方正小标宋简体" w:hAnsi="方正小标宋简体" w:eastAsia="方正小标宋简体" w:cs="方正小标宋简体"/>
          <w:b w:val="0"/>
          <w:u w:val="none"/>
        </w:rPr>
        <w:t>第</w:t>
      </w:r>
      <w:r>
        <w:rPr>
          <w:rFonts w:hint="eastAsia" w:ascii="方正小标宋简体" w:hAnsi="方正小标宋简体" w:eastAsia="方正小标宋简体" w:cs="方正小标宋简体"/>
          <w:b w:val="0"/>
          <w:u w:val="none"/>
        </w:rPr>
        <w:t>三</w:t>
      </w:r>
      <w:r>
        <w:rPr>
          <w:rFonts w:ascii="方正小标宋简体" w:hAnsi="方正小标宋简体" w:eastAsia="方正小标宋简体" w:cs="方正小标宋简体"/>
          <w:b w:val="0"/>
          <w:u w:val="none"/>
        </w:rPr>
        <w:t xml:space="preserve">部分  </w:t>
      </w:r>
      <w:r>
        <w:rPr>
          <w:rFonts w:hint="eastAsia" w:ascii="方正小标宋简体" w:hAnsi="方正小标宋简体" w:eastAsia="方正小标宋简体" w:cs="方正小标宋简体"/>
          <w:b w:val="0"/>
          <w:u w:val="none"/>
        </w:rPr>
        <w:t>2022</w:t>
      </w:r>
      <w:r>
        <w:rPr>
          <w:rFonts w:ascii="方正小标宋简体" w:hAnsi="方正小标宋简体" w:eastAsia="方正小标宋简体" w:cs="方正小标宋简体"/>
          <w:b w:val="0"/>
          <w:u w:val="none"/>
        </w:rPr>
        <w:t>年度部门决算</w:t>
      </w:r>
      <w:r>
        <w:rPr>
          <w:rFonts w:hint="eastAsia" w:ascii="方正小标宋简体" w:hAnsi="方正小标宋简体" w:eastAsia="方正小标宋简体" w:cs="方正小标宋简体"/>
          <w:b w:val="0"/>
          <w:u w:val="none"/>
        </w:rPr>
        <w:t>情况</w:t>
      </w:r>
      <w:r>
        <w:rPr>
          <w:rFonts w:ascii="方正小标宋简体" w:hAnsi="方正小标宋简体" w:eastAsia="方正小标宋简体" w:cs="方正小标宋简体"/>
          <w:b w:val="0"/>
          <w:u w:val="none"/>
        </w:rPr>
        <w:t>说明</w:t>
      </w:r>
      <w:bookmarkEnd w:id="16"/>
    </w:p>
    <w:p>
      <w:pPr>
        <w:spacing w:line="600" w:lineRule="exact"/>
        <w:ind w:firstLine="600" w:firstLineChars="200"/>
        <w:rPr>
          <w:rFonts w:ascii="黑体" w:eastAsia="黑体"/>
          <w:sz w:val="30"/>
          <w:szCs w:val="30"/>
          <w:u w:val="none"/>
        </w:rPr>
      </w:pPr>
    </w:p>
    <w:p>
      <w:pPr>
        <w:pStyle w:val="3"/>
        <w:spacing w:before="0" w:after="0" w:line="600" w:lineRule="exact"/>
        <w:ind w:firstLine="600" w:firstLineChars="200"/>
        <w:rPr>
          <w:rFonts w:ascii="黑体" w:hAnsi="黑体" w:eastAsia="黑体"/>
          <w:b w:val="0"/>
          <w:sz w:val="30"/>
          <w:szCs w:val="30"/>
          <w:u w:val="none"/>
        </w:rPr>
      </w:pPr>
      <w:bookmarkStart w:id="17" w:name="_Toc24340"/>
      <w:r>
        <w:rPr>
          <w:rFonts w:hint="eastAsia" w:ascii="黑体" w:hAnsi="黑体" w:eastAsia="黑体"/>
          <w:b w:val="0"/>
          <w:sz w:val="30"/>
          <w:szCs w:val="30"/>
          <w:u w:val="none"/>
        </w:rPr>
        <w:t>一、收入支出决算总体情况说明</w:t>
      </w:r>
      <w:bookmarkEnd w:id="17"/>
    </w:p>
    <w:p>
      <w:pPr>
        <w:spacing w:line="600" w:lineRule="exact"/>
        <w:rPr>
          <w:rFonts w:hint="eastAsia" w:ascii="仿宋_GB2312" w:eastAsia="仿宋_GB2312" w:cs="仿宋_GB2312"/>
          <w:sz w:val="30"/>
          <w:szCs w:val="30"/>
          <w:u w:val="none"/>
        </w:rPr>
      </w:pPr>
      <w:r>
        <w:rPr>
          <w:rFonts w:hint="eastAsia" w:eastAsia="仿宋_GB2312"/>
          <w:sz w:val="30"/>
          <w:szCs w:val="30"/>
          <w:u w:val="none"/>
        </w:rPr>
        <w:t xml:space="preserve">   </w:t>
      </w:r>
      <w:r>
        <w:rPr>
          <w:rFonts w:hint="eastAsia" w:ascii="仿宋_GB2312" w:eastAsia="仿宋_GB2312" w:cs="仿宋_GB2312"/>
          <w:sz w:val="30"/>
          <w:szCs w:val="30"/>
          <w:u w:val="none"/>
        </w:rPr>
        <w:t xml:space="preserve"> 天津市津南区北闸口镇综合治理中心2022年度收入、支出决算总计103929.41元。与2021年度相比，收、支总计各减少44509.38元，下降29.99%，主要原因是本年预算项目网格工作相关费用全年预算数比上年减少66840</w:t>
      </w:r>
      <w:r>
        <w:rPr>
          <w:rFonts w:hint="eastAsia" w:ascii="仿宋_GB2312" w:eastAsia="仿宋_GB2312" w:cs="仿宋_GB2312"/>
          <w:sz w:val="30"/>
          <w:szCs w:val="30"/>
          <w:u w:val="none"/>
          <w:lang w:val="en-US" w:eastAsia="zh-CN"/>
        </w:rPr>
        <w:t>.00</w:t>
      </w:r>
      <w:r>
        <w:rPr>
          <w:rFonts w:hint="eastAsia" w:ascii="仿宋_GB2312" w:eastAsia="仿宋_GB2312" w:cs="仿宋_GB2312"/>
          <w:sz w:val="30"/>
          <w:szCs w:val="30"/>
          <w:u w:val="none"/>
        </w:rPr>
        <w:t>元。</w:t>
      </w:r>
    </w:p>
    <w:p>
      <w:pPr>
        <w:pStyle w:val="3"/>
        <w:spacing w:before="0" w:after="0" w:line="600" w:lineRule="exact"/>
        <w:ind w:firstLine="600" w:firstLineChars="200"/>
        <w:rPr>
          <w:rFonts w:ascii="黑体" w:hAnsi="黑体" w:eastAsia="黑体" w:cs="仿宋_GB2312"/>
          <w:b w:val="0"/>
          <w:sz w:val="30"/>
          <w:szCs w:val="30"/>
          <w:u w:val="none"/>
        </w:rPr>
      </w:pPr>
      <w:bookmarkStart w:id="18" w:name="_Toc18552"/>
      <w:r>
        <w:rPr>
          <w:rFonts w:hint="eastAsia" w:ascii="黑体" w:hAnsi="黑体" w:eastAsia="黑体" w:cs="仿宋_GB2312"/>
          <w:b w:val="0"/>
          <w:sz w:val="30"/>
          <w:szCs w:val="30"/>
          <w:u w:val="none"/>
        </w:rPr>
        <w:t>二、收入决算情况说明</w:t>
      </w:r>
      <w:bookmarkEnd w:id="18"/>
    </w:p>
    <w:p>
      <w:pPr>
        <w:spacing w:line="600" w:lineRule="exact"/>
        <w:ind w:firstLine="600" w:firstLineChars="200"/>
        <w:rPr>
          <w:rFonts w:hint="eastAsia" w:ascii="仿宋_GB2312" w:eastAsia="仿宋_GB2312" w:cs="仿宋_GB2312"/>
          <w:sz w:val="30"/>
          <w:szCs w:val="30"/>
          <w:u w:val="none"/>
        </w:rPr>
      </w:pPr>
      <w:r>
        <w:rPr>
          <w:rFonts w:hint="eastAsia" w:ascii="仿宋_GB2312" w:eastAsia="仿宋_GB2312" w:cs="仿宋_GB2312"/>
          <w:sz w:val="30"/>
          <w:szCs w:val="30"/>
          <w:u w:val="none"/>
        </w:rPr>
        <w:t>天津市津南区北闸口镇综合治理中心2022年度本年收入合计103929.41元，与2021年度相比减少44509.38元，主要原因是</w:t>
      </w:r>
      <w:r>
        <w:rPr>
          <w:rFonts w:hint="eastAsia" w:eastAsia="仿宋_GB2312"/>
          <w:sz w:val="30"/>
          <w:szCs w:val="30"/>
          <w:u w:val="none"/>
        </w:rPr>
        <w:t>本年预算项目</w:t>
      </w:r>
      <w:r>
        <w:rPr>
          <w:rFonts w:hint="eastAsia" w:ascii="仿宋_GB2312" w:eastAsia="仿宋_GB2312" w:cs="仿宋_GB2312"/>
          <w:sz w:val="30"/>
          <w:szCs w:val="30"/>
          <w:u w:val="none"/>
        </w:rPr>
        <w:t>网格工作相关费用全年预算数比上年减少66840</w:t>
      </w:r>
      <w:r>
        <w:rPr>
          <w:rFonts w:hint="eastAsia" w:ascii="仿宋_GB2312" w:eastAsia="仿宋_GB2312" w:cs="仿宋_GB2312"/>
          <w:sz w:val="30"/>
          <w:szCs w:val="30"/>
          <w:u w:val="none"/>
          <w:lang w:val="en-US" w:eastAsia="zh-CN"/>
        </w:rPr>
        <w:t>.00</w:t>
      </w:r>
      <w:r>
        <w:rPr>
          <w:rFonts w:hint="eastAsia" w:ascii="仿宋_GB2312" w:eastAsia="仿宋_GB2312" w:cs="仿宋_GB2312"/>
          <w:sz w:val="30"/>
          <w:szCs w:val="30"/>
          <w:u w:val="none"/>
        </w:rPr>
        <w:t>元。其中：一般公共预算财政拨款收入103928.00元，占100.00%；其他收入1.41元，占0.00%。</w:t>
      </w:r>
    </w:p>
    <w:p>
      <w:pPr>
        <w:pStyle w:val="3"/>
        <w:spacing w:before="0" w:after="0" w:line="600" w:lineRule="exact"/>
        <w:ind w:firstLine="600" w:firstLineChars="200"/>
        <w:rPr>
          <w:rFonts w:ascii="黑体" w:hAnsi="黑体" w:eastAsia="黑体" w:cs="仿宋_GB2312"/>
          <w:b w:val="0"/>
          <w:sz w:val="30"/>
          <w:szCs w:val="30"/>
          <w:u w:val="none"/>
        </w:rPr>
      </w:pPr>
      <w:bookmarkStart w:id="19" w:name="_Toc26952"/>
      <w:r>
        <w:rPr>
          <w:rFonts w:hint="eastAsia" w:ascii="黑体" w:hAnsi="黑体" w:eastAsia="黑体" w:cs="仿宋_GB2312"/>
          <w:b w:val="0"/>
          <w:sz w:val="30"/>
          <w:szCs w:val="30"/>
          <w:u w:val="none"/>
        </w:rPr>
        <w:t>三、</w:t>
      </w:r>
      <w:r>
        <w:rPr>
          <w:rFonts w:ascii="黑体" w:hAnsi="黑体" w:eastAsia="黑体" w:cs="仿宋_GB2312"/>
          <w:b w:val="0"/>
          <w:sz w:val="30"/>
          <w:szCs w:val="30"/>
          <w:u w:val="none"/>
        </w:rPr>
        <w:t>支出</w:t>
      </w:r>
      <w:r>
        <w:rPr>
          <w:rFonts w:hint="eastAsia" w:ascii="黑体" w:hAnsi="黑体" w:eastAsia="黑体" w:cs="仿宋_GB2312"/>
          <w:b w:val="0"/>
          <w:sz w:val="30"/>
          <w:szCs w:val="30"/>
          <w:u w:val="none"/>
        </w:rPr>
        <w:t>决算</w:t>
      </w:r>
      <w:r>
        <w:rPr>
          <w:rFonts w:ascii="黑体" w:hAnsi="黑体" w:eastAsia="黑体" w:cs="仿宋_GB2312"/>
          <w:b w:val="0"/>
          <w:sz w:val="30"/>
          <w:szCs w:val="30"/>
          <w:u w:val="none"/>
        </w:rPr>
        <w:t>情况</w:t>
      </w:r>
      <w:r>
        <w:rPr>
          <w:rFonts w:hint="eastAsia" w:ascii="黑体" w:hAnsi="黑体" w:eastAsia="黑体" w:cs="仿宋_GB2312"/>
          <w:b w:val="0"/>
          <w:sz w:val="30"/>
          <w:szCs w:val="30"/>
          <w:u w:val="none"/>
        </w:rPr>
        <w:t>说明</w:t>
      </w:r>
      <w:bookmarkEnd w:id="19"/>
    </w:p>
    <w:p>
      <w:pPr>
        <w:spacing w:line="600" w:lineRule="exact"/>
        <w:ind w:firstLine="600" w:firstLineChars="200"/>
        <w:rPr>
          <w:rFonts w:hint="eastAsia" w:ascii="仿宋_GB2312" w:eastAsia="仿宋_GB2312" w:cs="仿宋_GB2312"/>
          <w:sz w:val="30"/>
          <w:szCs w:val="30"/>
          <w:u w:val="none"/>
        </w:rPr>
      </w:pPr>
      <w:r>
        <w:rPr>
          <w:rFonts w:hint="eastAsia" w:ascii="仿宋_GB2312" w:eastAsia="仿宋_GB2312" w:cs="仿宋_GB2312"/>
          <w:sz w:val="30"/>
          <w:szCs w:val="30"/>
          <w:u w:val="none"/>
        </w:rPr>
        <w:t>天津市津南区北闸口镇综合治理中心2022年度本年支出合计103928.00元，与2021年度相比减少44508.00元，主要原因是本年预算项目网格工作相关费用全年预算数比上年减少66840</w:t>
      </w:r>
      <w:r>
        <w:rPr>
          <w:rFonts w:hint="eastAsia" w:ascii="仿宋_GB2312" w:eastAsia="仿宋_GB2312" w:cs="仿宋_GB2312"/>
          <w:sz w:val="30"/>
          <w:szCs w:val="30"/>
          <w:u w:val="none"/>
          <w:lang w:val="en-US" w:eastAsia="zh-CN"/>
        </w:rPr>
        <w:t>.00</w:t>
      </w:r>
      <w:r>
        <w:rPr>
          <w:rFonts w:hint="eastAsia" w:ascii="仿宋_GB2312" w:eastAsia="仿宋_GB2312" w:cs="仿宋_GB2312"/>
          <w:sz w:val="30"/>
          <w:szCs w:val="30"/>
          <w:u w:val="none"/>
        </w:rPr>
        <w:t>元。其中：项目支出103928.00元，占100.00%。</w:t>
      </w:r>
    </w:p>
    <w:p>
      <w:pPr>
        <w:pStyle w:val="3"/>
        <w:spacing w:before="0" w:after="0" w:line="600" w:lineRule="exact"/>
        <w:ind w:firstLine="600" w:firstLineChars="200"/>
        <w:rPr>
          <w:rFonts w:ascii="黑体" w:hAnsi="黑体" w:eastAsia="黑体"/>
          <w:b w:val="0"/>
          <w:sz w:val="30"/>
          <w:szCs w:val="30"/>
          <w:u w:val="none"/>
        </w:rPr>
      </w:pPr>
      <w:bookmarkStart w:id="20" w:name="_Toc1812"/>
      <w:r>
        <w:rPr>
          <w:rFonts w:hint="eastAsia" w:ascii="黑体" w:hAnsi="黑体" w:eastAsia="黑体"/>
          <w:b w:val="0"/>
          <w:sz w:val="30"/>
          <w:szCs w:val="30"/>
          <w:u w:val="none"/>
        </w:rPr>
        <w:t>四、财政拨款收支决算总体情况说明</w:t>
      </w:r>
      <w:bookmarkEnd w:id="20"/>
    </w:p>
    <w:p>
      <w:pPr>
        <w:spacing w:line="600" w:lineRule="exact"/>
        <w:rPr>
          <w:rFonts w:eastAsia="楷体_GB2312"/>
          <w:b/>
          <w:sz w:val="30"/>
          <w:szCs w:val="30"/>
          <w:u w:val="none"/>
        </w:rPr>
      </w:pPr>
      <w:r>
        <w:rPr>
          <w:rFonts w:hint="eastAsia" w:eastAsia="仿宋_GB2312"/>
          <w:sz w:val="30"/>
          <w:szCs w:val="30"/>
          <w:u w:val="none"/>
        </w:rPr>
        <w:t xml:space="preserve">    </w:t>
      </w:r>
      <w:r>
        <w:rPr>
          <w:rFonts w:hint="eastAsia" w:ascii="仿宋_GB2312" w:eastAsia="仿宋_GB2312" w:cs="仿宋_GB2312"/>
          <w:sz w:val="30"/>
          <w:szCs w:val="30"/>
          <w:u w:val="none"/>
        </w:rPr>
        <w:t>天津市津南区北闸口镇综合治理中心2022年度财政拨款收入、支出决算总计103928.00元。与2021年度相比，财政拨款收、支总计各减少44508.00元，下降29.98%，主要原因是</w:t>
      </w:r>
      <w:r>
        <w:rPr>
          <w:rFonts w:hint="eastAsia" w:eastAsia="仿宋_GB2312"/>
          <w:sz w:val="30"/>
          <w:szCs w:val="30"/>
          <w:u w:val="none"/>
        </w:rPr>
        <w:t>本年预算项目网格工作相关费用全年预算数比上年</w:t>
      </w:r>
      <w:r>
        <w:rPr>
          <w:rFonts w:hint="eastAsia" w:ascii="仿宋_GB2312" w:eastAsia="仿宋_GB2312" w:cs="仿宋_GB2312"/>
          <w:sz w:val="30"/>
          <w:szCs w:val="30"/>
          <w:u w:val="none"/>
        </w:rPr>
        <w:t>减少66840</w:t>
      </w:r>
      <w:r>
        <w:rPr>
          <w:rFonts w:hint="eastAsia" w:ascii="仿宋_GB2312" w:eastAsia="仿宋_GB2312" w:cs="仿宋_GB2312"/>
          <w:sz w:val="30"/>
          <w:szCs w:val="30"/>
          <w:u w:val="none"/>
          <w:lang w:val="en-US" w:eastAsia="zh-CN"/>
        </w:rPr>
        <w:t>.00</w:t>
      </w:r>
      <w:r>
        <w:rPr>
          <w:rFonts w:hint="eastAsia" w:ascii="仿宋_GB2312" w:eastAsia="仿宋_GB2312" w:cs="仿宋_GB2312"/>
          <w:sz w:val="30"/>
          <w:szCs w:val="30"/>
          <w:u w:val="none"/>
        </w:rPr>
        <w:t>元</w:t>
      </w:r>
      <w:r>
        <w:rPr>
          <w:rFonts w:hint="eastAsia" w:eastAsia="仿宋_GB2312"/>
          <w:sz w:val="30"/>
          <w:szCs w:val="30"/>
          <w:u w:val="none"/>
        </w:rPr>
        <w:t>。</w:t>
      </w:r>
    </w:p>
    <w:p>
      <w:pPr>
        <w:pStyle w:val="3"/>
        <w:spacing w:before="0" w:after="0" w:line="600" w:lineRule="exact"/>
        <w:ind w:firstLine="600" w:firstLineChars="200"/>
        <w:rPr>
          <w:rFonts w:ascii="黑体" w:hAnsi="黑体" w:eastAsia="黑体"/>
          <w:b w:val="0"/>
          <w:sz w:val="30"/>
          <w:szCs w:val="30"/>
          <w:u w:val="none"/>
        </w:rPr>
      </w:pPr>
      <w:bookmarkStart w:id="21" w:name="_Toc10091"/>
      <w:r>
        <w:rPr>
          <w:rFonts w:ascii="黑体" w:hAnsi="黑体" w:eastAsia="黑体"/>
          <w:b w:val="0"/>
          <w:sz w:val="30"/>
          <w:szCs w:val="30"/>
          <w:u w:val="none"/>
        </w:rPr>
        <w:t>五</w:t>
      </w:r>
      <w:r>
        <w:rPr>
          <w:rFonts w:hint="eastAsia" w:ascii="黑体" w:hAnsi="黑体" w:eastAsia="黑体"/>
          <w:b w:val="0"/>
          <w:sz w:val="30"/>
          <w:szCs w:val="30"/>
          <w:u w:val="none"/>
        </w:rPr>
        <w:t>、</w:t>
      </w:r>
      <w:r>
        <w:rPr>
          <w:rFonts w:ascii="黑体" w:hAnsi="黑体" w:eastAsia="黑体"/>
          <w:b w:val="0"/>
          <w:sz w:val="30"/>
          <w:szCs w:val="30"/>
          <w:u w:val="none"/>
        </w:rPr>
        <w:t>一般公共预算财政拨款支出决算情况</w:t>
      </w:r>
      <w:r>
        <w:rPr>
          <w:rFonts w:hint="eastAsia" w:ascii="黑体" w:hAnsi="黑体" w:eastAsia="黑体"/>
          <w:b w:val="0"/>
          <w:sz w:val="30"/>
          <w:szCs w:val="30"/>
          <w:u w:val="none"/>
        </w:rPr>
        <w:t>说明</w:t>
      </w:r>
      <w:bookmarkEnd w:id="21"/>
    </w:p>
    <w:p>
      <w:pPr>
        <w:spacing w:line="600" w:lineRule="exact"/>
        <w:ind w:left="480" w:leftChars="200"/>
        <w:rPr>
          <w:rFonts w:ascii="楷体" w:hAnsi="楷体" w:eastAsia="楷体" w:cs="仿宋_GB2312"/>
          <w:b/>
          <w:sz w:val="30"/>
          <w:szCs w:val="30"/>
          <w:u w:val="none"/>
        </w:rPr>
      </w:pPr>
      <w:r>
        <w:rPr>
          <w:rFonts w:hint="eastAsia" w:ascii="楷体" w:hAnsi="楷体" w:eastAsia="楷体" w:cs="仿宋_GB2312"/>
          <w:b/>
          <w:sz w:val="30"/>
          <w:szCs w:val="30"/>
          <w:u w:val="none"/>
        </w:rPr>
        <w:t>（一）总体情况</w:t>
      </w:r>
    </w:p>
    <w:p>
      <w:pPr>
        <w:spacing w:line="600" w:lineRule="exact"/>
        <w:ind w:firstLine="600" w:firstLineChars="200"/>
        <w:rPr>
          <w:rFonts w:hint="eastAsia" w:ascii="仿宋_GB2312" w:eastAsia="仿宋_GB2312" w:cs="仿宋_GB2312"/>
          <w:sz w:val="30"/>
          <w:szCs w:val="30"/>
          <w:u w:val="none"/>
        </w:rPr>
      </w:pPr>
      <w:r>
        <w:rPr>
          <w:rFonts w:hint="eastAsia" w:ascii="仿宋_GB2312" w:eastAsia="仿宋_GB2312" w:cs="仿宋_GB2312"/>
          <w:sz w:val="30"/>
          <w:szCs w:val="30"/>
          <w:u w:val="none"/>
        </w:rPr>
        <w:t>天津市津南区北闸口镇综合治理中心2022年度一般公共预算财政拨款支出合计103928.00元，占本年支出合计的100.00%。与2021年度相比，一般公共预算财政拨款支出减少44508.00元，下降29.98%，主要原因是本年预算项目网格工作相关费用全年预算数比上年减少66840</w:t>
      </w:r>
      <w:r>
        <w:rPr>
          <w:rFonts w:hint="eastAsia" w:ascii="仿宋_GB2312" w:eastAsia="仿宋_GB2312" w:cs="仿宋_GB2312"/>
          <w:sz w:val="30"/>
          <w:szCs w:val="30"/>
          <w:u w:val="none"/>
          <w:lang w:val="en-US" w:eastAsia="zh-CN"/>
        </w:rPr>
        <w:t>.00</w:t>
      </w:r>
      <w:r>
        <w:rPr>
          <w:rFonts w:hint="eastAsia" w:ascii="仿宋_GB2312" w:eastAsia="仿宋_GB2312" w:cs="仿宋_GB2312"/>
          <w:sz w:val="30"/>
          <w:szCs w:val="30"/>
          <w:u w:val="none"/>
        </w:rPr>
        <w:t>元。</w:t>
      </w:r>
    </w:p>
    <w:p>
      <w:pPr>
        <w:spacing w:line="600" w:lineRule="exact"/>
        <w:ind w:firstLine="602" w:firstLineChars="200"/>
        <w:rPr>
          <w:rFonts w:ascii="楷体" w:hAnsi="楷体" w:eastAsia="楷体" w:cs="仿宋_GB2312"/>
          <w:b/>
          <w:sz w:val="30"/>
          <w:szCs w:val="30"/>
          <w:u w:val="none"/>
        </w:rPr>
      </w:pPr>
      <w:r>
        <w:rPr>
          <w:rFonts w:hint="eastAsia" w:ascii="楷体" w:hAnsi="楷体" w:eastAsia="楷体" w:cs="仿宋_GB2312"/>
          <w:b/>
          <w:sz w:val="30"/>
          <w:szCs w:val="30"/>
          <w:u w:val="none"/>
        </w:rPr>
        <w:t>（二）支出结构情况</w:t>
      </w:r>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2022年度一般公共预算财政拨款支出103928.00元，主要用于以下方面：</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公共安全支出（类）支出54000.00元，占51.96%；</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城乡社区支出（类）支出49928.00元，占48.04%。</w:t>
      </w:r>
    </w:p>
    <w:p>
      <w:pPr>
        <w:numPr>
          <w:ilvl w:val="0"/>
          <w:numId w:val="2"/>
        </w:numPr>
        <w:spacing w:line="600" w:lineRule="exact"/>
        <w:ind w:firstLine="602" w:firstLineChars="200"/>
        <w:rPr>
          <w:rFonts w:ascii="楷体" w:hAnsi="楷体" w:eastAsia="楷体" w:cs="仿宋_GB2312"/>
          <w:b/>
          <w:sz w:val="30"/>
          <w:szCs w:val="30"/>
          <w:u w:val="none"/>
        </w:rPr>
      </w:pPr>
      <w:r>
        <w:rPr>
          <w:rFonts w:ascii="楷体" w:hAnsi="楷体" w:eastAsia="楷体" w:cs="仿宋_GB2312"/>
          <w:b/>
          <w:sz w:val="30"/>
          <w:szCs w:val="30"/>
          <w:u w:val="none"/>
        </w:rPr>
        <w:t>具体情况</w:t>
      </w:r>
    </w:p>
    <w:p>
      <w:pPr>
        <w:spacing w:line="600" w:lineRule="exact"/>
        <w:ind w:firstLine="645"/>
        <w:jc w:val="both"/>
        <w:rPr>
          <w:rFonts w:hint="eastAsia" w:ascii="仿宋_GB2312" w:eastAsia="仿宋_GB2312" w:cs="仿宋_GB2312"/>
          <w:sz w:val="30"/>
          <w:szCs w:val="30"/>
          <w:u w:val="none"/>
          <w:lang w:eastAsia="zh-CN"/>
        </w:rPr>
      </w:pPr>
      <w:r>
        <w:rPr>
          <w:rFonts w:hint="eastAsia" w:ascii="仿宋_GB2312" w:eastAsia="仿宋_GB2312" w:cs="仿宋_GB2312"/>
          <w:sz w:val="30"/>
          <w:szCs w:val="30"/>
          <w:u w:val="none"/>
        </w:rPr>
        <w:t>2022年度一般公共预算财政拨款支出年初预算为105000.00元，支出决算为103928.00元，完成年初预算的98.98%。其中：</w:t>
      </w:r>
      <w:r>
        <w:rPr>
          <w:rFonts w:hint="eastAsia" w:ascii="仿宋_GB2312" w:eastAsia="仿宋_GB2312" w:cs="仿宋_GB2312"/>
          <w:sz w:val="30"/>
          <w:szCs w:val="30"/>
          <w:u w:val="none"/>
        </w:rPr>
        <w:br w:type="textWrapping"/>
      </w:r>
      <w:r>
        <w:rPr>
          <w:rFonts w:hint="eastAsia" w:ascii="仿宋_GB2312" w:eastAsia="仿宋_GB2312" w:cs="仿宋_GB2312"/>
          <w:sz w:val="30"/>
          <w:szCs w:val="30"/>
          <w:u w:val="none"/>
        </w:rPr>
        <w:t xml:space="preserve">    公共安全支出（类）其他公共安全支出（款）其他公共安全支出（项）年初预算为</w:t>
      </w:r>
      <w:r>
        <w:rPr>
          <w:rFonts w:hint="eastAsia" w:ascii="仿宋_GB2312" w:eastAsia="仿宋_GB2312" w:cs="仿宋_GB2312"/>
          <w:sz w:val="30"/>
          <w:szCs w:val="30"/>
          <w:u w:val="none"/>
          <w:lang w:val="en-US" w:eastAsia="zh-CN"/>
        </w:rPr>
        <w:t>54000.00</w:t>
      </w:r>
      <w:r>
        <w:rPr>
          <w:rFonts w:hint="eastAsia" w:ascii="仿宋_GB2312" w:eastAsia="仿宋_GB2312" w:cs="仿宋_GB2312"/>
          <w:sz w:val="30"/>
          <w:szCs w:val="30"/>
          <w:u w:val="none"/>
        </w:rPr>
        <w:t>元，支出决算为54000.00元，完成年初预算数的</w:t>
      </w:r>
      <w:r>
        <w:rPr>
          <w:rFonts w:hint="eastAsia" w:ascii="仿宋_GB2312" w:eastAsia="仿宋_GB2312" w:cs="仿宋_GB2312"/>
          <w:sz w:val="30"/>
          <w:szCs w:val="30"/>
          <w:u w:val="none"/>
          <w:lang w:val="en-US" w:eastAsia="zh-CN"/>
        </w:rPr>
        <w:t>100</w:t>
      </w:r>
      <w:r>
        <w:rPr>
          <w:rFonts w:hint="eastAsia" w:ascii="仿宋_GB2312" w:eastAsia="仿宋_GB2312" w:cs="仿宋_GB2312"/>
          <w:sz w:val="30"/>
          <w:szCs w:val="30"/>
          <w:u w:val="none"/>
        </w:rPr>
        <w:t>%</w:t>
      </w:r>
      <w:r>
        <w:rPr>
          <w:rFonts w:hint="eastAsia" w:ascii="仿宋_GB2312" w:eastAsia="仿宋_GB2312" w:cs="仿宋_GB2312"/>
          <w:sz w:val="30"/>
          <w:szCs w:val="30"/>
          <w:u w:val="none"/>
          <w:lang w:eastAsia="zh-CN"/>
        </w:rPr>
        <w:t>。</w:t>
      </w:r>
    </w:p>
    <w:p>
      <w:pPr>
        <w:spacing w:line="600" w:lineRule="exact"/>
        <w:jc w:val="both"/>
        <w:rPr>
          <w:rFonts w:ascii="仿宋_GB2312" w:eastAsia="仿宋_GB2312" w:cs="仿宋_GB2312"/>
          <w:sz w:val="30"/>
          <w:szCs w:val="30"/>
          <w:u w:val="none"/>
        </w:rPr>
      </w:pPr>
      <w:r>
        <w:rPr>
          <w:rFonts w:hint="eastAsia" w:ascii="仿宋_GB2312" w:eastAsia="仿宋_GB2312" w:cs="仿宋_GB2312"/>
          <w:sz w:val="30"/>
          <w:szCs w:val="30"/>
          <w:u w:val="none"/>
        </w:rPr>
        <w:t xml:space="preserve">    城乡社区支出（类）其他城乡社区支出（款）其他城乡社区支出（项）年初预算为</w:t>
      </w:r>
      <w:r>
        <w:rPr>
          <w:rFonts w:hint="eastAsia" w:ascii="仿宋_GB2312" w:eastAsia="仿宋_GB2312" w:cs="仿宋_GB2312"/>
          <w:sz w:val="30"/>
          <w:szCs w:val="30"/>
          <w:u w:val="none"/>
          <w:lang w:val="en-US" w:eastAsia="zh-CN"/>
        </w:rPr>
        <w:t>50000.00</w:t>
      </w:r>
      <w:r>
        <w:rPr>
          <w:rFonts w:hint="eastAsia" w:ascii="仿宋_GB2312" w:eastAsia="仿宋_GB2312" w:cs="仿宋_GB2312"/>
          <w:sz w:val="30"/>
          <w:szCs w:val="30"/>
          <w:u w:val="none"/>
        </w:rPr>
        <w:t>元，支出决算为49928.00元，完成年初预算数的</w:t>
      </w:r>
      <w:r>
        <w:rPr>
          <w:rFonts w:hint="eastAsia" w:ascii="仿宋_GB2312" w:eastAsia="仿宋_GB2312" w:cs="仿宋_GB2312"/>
          <w:sz w:val="30"/>
          <w:szCs w:val="30"/>
          <w:u w:val="none"/>
          <w:lang w:val="en-US" w:eastAsia="zh-CN"/>
        </w:rPr>
        <w:t>99.86</w:t>
      </w:r>
      <w:r>
        <w:rPr>
          <w:rFonts w:hint="eastAsia" w:ascii="仿宋_GB2312" w:eastAsia="仿宋_GB2312" w:cs="仿宋_GB2312"/>
          <w:sz w:val="30"/>
          <w:szCs w:val="30"/>
          <w:u w:val="none"/>
        </w:rPr>
        <w:t>%，决算数小于年初预算数的主要原因是</w:t>
      </w:r>
      <w:r>
        <w:rPr>
          <w:rFonts w:hint="eastAsia" w:ascii="仿宋_GB2312" w:eastAsia="仿宋_GB2312" w:cs="仿宋_GB2312"/>
          <w:sz w:val="30"/>
          <w:szCs w:val="30"/>
          <w:u w:val="none"/>
          <w:lang w:eastAsia="zh-CN"/>
        </w:rPr>
        <w:t>预算项目</w:t>
      </w:r>
      <w:r>
        <w:rPr>
          <w:rFonts w:hint="eastAsia" w:ascii="仿宋_GB2312" w:eastAsia="仿宋_GB2312" w:cs="仿宋_GB2312"/>
          <w:sz w:val="30"/>
          <w:szCs w:val="30"/>
          <w:u w:val="none"/>
        </w:rPr>
        <w:t>（镇级）网格化工作（综治信访网格</w:t>
      </w:r>
      <w:r>
        <w:rPr>
          <w:rFonts w:hint="eastAsia" w:ascii="仿宋_GB2312" w:eastAsia="仿宋_GB2312" w:cs="仿宋_GB2312"/>
          <w:sz w:val="30"/>
          <w:szCs w:val="30"/>
          <w:u w:val="none"/>
          <w:lang w:eastAsia="zh-CN"/>
        </w:rPr>
        <w:t>）有少许剩余</w:t>
      </w:r>
      <w:r>
        <w:rPr>
          <w:rFonts w:hint="eastAsia" w:ascii="仿宋_GB2312" w:eastAsia="仿宋_GB2312" w:cs="仿宋_GB2312"/>
          <w:sz w:val="30"/>
          <w:szCs w:val="30"/>
          <w:u w:val="none"/>
        </w:rPr>
        <w:t>。</w:t>
      </w:r>
    </w:p>
    <w:p>
      <w:pPr>
        <w:pStyle w:val="3"/>
        <w:spacing w:before="0" w:after="0" w:line="600" w:lineRule="exact"/>
        <w:ind w:firstLine="600" w:firstLineChars="200"/>
        <w:rPr>
          <w:rFonts w:ascii="黑体" w:hAnsi="黑体" w:eastAsia="黑体"/>
          <w:b w:val="0"/>
          <w:sz w:val="30"/>
          <w:szCs w:val="30"/>
          <w:u w:val="none"/>
        </w:rPr>
      </w:pPr>
      <w:bookmarkStart w:id="22" w:name="_Toc10721"/>
      <w:r>
        <w:rPr>
          <w:rFonts w:ascii="黑体" w:hAnsi="黑体" w:eastAsia="黑体"/>
          <w:b w:val="0"/>
          <w:sz w:val="30"/>
          <w:szCs w:val="30"/>
          <w:u w:val="none"/>
        </w:rPr>
        <w:t>六、一般公共预算财政拨款基本支出决算情况</w:t>
      </w:r>
      <w:r>
        <w:rPr>
          <w:rFonts w:hint="eastAsia" w:ascii="黑体" w:hAnsi="黑体" w:eastAsia="黑体"/>
          <w:b w:val="0"/>
          <w:sz w:val="30"/>
          <w:szCs w:val="30"/>
          <w:u w:val="none"/>
        </w:rPr>
        <w:t>说明</w:t>
      </w:r>
      <w:bookmarkEnd w:id="22"/>
    </w:p>
    <w:p>
      <w:pPr>
        <w:spacing w:line="600" w:lineRule="exact"/>
        <w:ind w:firstLine="645"/>
        <w:jc w:val="both"/>
        <w:rPr>
          <w:rFonts w:hint="eastAsia" w:ascii="仿宋_GB2312" w:eastAsia="仿宋_GB2312" w:cs="仿宋_GB2312"/>
          <w:sz w:val="30"/>
          <w:szCs w:val="30"/>
          <w:u w:val="none"/>
        </w:rPr>
      </w:pPr>
      <w:r>
        <w:rPr>
          <w:rFonts w:hint="eastAsia" w:ascii="仿宋_GB2312" w:eastAsia="仿宋_GB2312" w:cs="仿宋_GB2312"/>
          <w:sz w:val="30"/>
          <w:szCs w:val="30"/>
          <w:u w:val="none"/>
        </w:rPr>
        <w:t>天津市津南区北闸口镇综合治理中心2022年度一般公共预算财政拨款基本支出合计0.00元，与2021年度相比持平，主要原因是</w:t>
      </w:r>
      <w:r>
        <w:rPr>
          <w:rFonts w:hint="eastAsia" w:ascii="仿宋_GB2312" w:eastAsia="仿宋_GB2312" w:cs="仿宋_GB2312"/>
          <w:sz w:val="30"/>
          <w:szCs w:val="30"/>
          <w:u w:val="none"/>
          <w:lang w:eastAsia="zh-CN"/>
        </w:rPr>
        <w:t>本年暂未发生相关费用</w:t>
      </w:r>
      <w:r>
        <w:rPr>
          <w:rFonts w:hint="eastAsia" w:ascii="仿宋_GB2312" w:eastAsia="仿宋_GB2312" w:cs="仿宋_GB2312"/>
          <w:sz w:val="30"/>
          <w:szCs w:val="30"/>
          <w:u w:val="none"/>
        </w:rPr>
        <w:t>。</w:t>
      </w:r>
    </w:p>
    <w:p>
      <w:pPr>
        <w:pStyle w:val="3"/>
        <w:spacing w:before="0" w:after="0" w:line="600" w:lineRule="exact"/>
        <w:ind w:firstLine="600" w:firstLineChars="200"/>
        <w:rPr>
          <w:rFonts w:ascii="楷体" w:hAnsi="楷体" w:eastAsia="楷体" w:cs="仿宋_GB2312"/>
          <w:b w:val="0"/>
          <w:sz w:val="30"/>
          <w:szCs w:val="30"/>
          <w:u w:val="none"/>
        </w:rPr>
      </w:pPr>
      <w:bookmarkStart w:id="23" w:name="_Toc17918"/>
      <w:r>
        <w:rPr>
          <w:rFonts w:hint="eastAsia" w:ascii="黑体" w:hAnsi="黑体" w:eastAsia="黑体"/>
          <w:b w:val="0"/>
          <w:sz w:val="30"/>
          <w:szCs w:val="30"/>
          <w:u w:val="none"/>
        </w:rPr>
        <w:t>七</w:t>
      </w:r>
      <w:r>
        <w:rPr>
          <w:rFonts w:ascii="黑体" w:hAnsi="黑体" w:eastAsia="黑体"/>
          <w:b w:val="0"/>
          <w:sz w:val="30"/>
          <w:szCs w:val="30"/>
          <w:u w:val="none"/>
        </w:rPr>
        <w:t>、政府性基金预算财政拨款</w:t>
      </w:r>
      <w:r>
        <w:rPr>
          <w:rFonts w:hint="eastAsia" w:ascii="黑体" w:hAnsi="黑体" w:eastAsia="黑体"/>
          <w:b w:val="0"/>
          <w:sz w:val="30"/>
          <w:szCs w:val="30"/>
          <w:u w:val="none"/>
        </w:rPr>
        <w:t>收支决算</w:t>
      </w:r>
      <w:r>
        <w:rPr>
          <w:rFonts w:ascii="黑体" w:hAnsi="黑体" w:eastAsia="黑体"/>
          <w:b w:val="0"/>
          <w:sz w:val="30"/>
          <w:szCs w:val="30"/>
          <w:u w:val="none"/>
        </w:rPr>
        <w:t>情况</w:t>
      </w:r>
      <w:r>
        <w:rPr>
          <w:rFonts w:hint="eastAsia" w:ascii="黑体" w:hAnsi="黑体" w:eastAsia="黑体"/>
          <w:b w:val="0"/>
          <w:bCs w:val="0"/>
          <w:sz w:val="30"/>
          <w:szCs w:val="30"/>
          <w:u w:val="none"/>
        </w:rPr>
        <w:t>说明</w:t>
      </w:r>
      <w:bookmarkEnd w:id="23"/>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天津市津南区北闸口镇综合治理中心2022年度无政府性基金预算财政拨款收入、支出和结转结余。</w:t>
      </w:r>
    </w:p>
    <w:p>
      <w:pPr>
        <w:pStyle w:val="3"/>
        <w:spacing w:before="0" w:after="0" w:line="600" w:lineRule="exact"/>
        <w:ind w:firstLine="600" w:firstLineChars="200"/>
        <w:rPr>
          <w:rFonts w:eastAsia="黑体"/>
          <w:b w:val="0"/>
          <w:sz w:val="30"/>
          <w:szCs w:val="30"/>
          <w:u w:val="none"/>
        </w:rPr>
      </w:pPr>
      <w:bookmarkStart w:id="24" w:name="_Toc23897"/>
      <w:r>
        <w:rPr>
          <w:rFonts w:hint="eastAsia" w:eastAsia="黑体"/>
          <w:b w:val="0"/>
          <w:sz w:val="30"/>
          <w:szCs w:val="30"/>
          <w:u w:val="none"/>
        </w:rPr>
        <w:t>八、国有资本经营预算财政拨款收支决算情况</w:t>
      </w:r>
      <w:r>
        <w:rPr>
          <w:rFonts w:hint="eastAsia" w:ascii="黑体" w:hAnsi="黑体" w:eastAsia="黑体"/>
          <w:b w:val="0"/>
          <w:bCs w:val="0"/>
          <w:sz w:val="30"/>
          <w:szCs w:val="30"/>
          <w:u w:val="none"/>
        </w:rPr>
        <w:t>说明</w:t>
      </w:r>
      <w:bookmarkEnd w:id="24"/>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天津市津南区北闸口镇综合治理中心2022年度无国有资本经营预算财政拨款收入、支出和结转结余。</w:t>
      </w:r>
    </w:p>
    <w:p>
      <w:pPr>
        <w:pStyle w:val="3"/>
        <w:spacing w:before="0" w:after="0" w:line="600" w:lineRule="exact"/>
        <w:ind w:firstLine="600" w:firstLineChars="200"/>
        <w:rPr>
          <w:rFonts w:ascii="黑体" w:hAnsi="黑体" w:eastAsia="黑体"/>
          <w:b w:val="0"/>
          <w:sz w:val="30"/>
          <w:szCs w:val="30"/>
          <w:u w:val="none"/>
        </w:rPr>
      </w:pPr>
      <w:bookmarkStart w:id="25" w:name="_Toc4518"/>
      <w:r>
        <w:rPr>
          <w:rFonts w:hint="eastAsia" w:ascii="黑体" w:hAnsi="黑体" w:eastAsia="黑体"/>
          <w:b w:val="0"/>
          <w:sz w:val="30"/>
          <w:szCs w:val="30"/>
          <w:u w:val="none"/>
        </w:rPr>
        <w:t>九、</w:t>
      </w:r>
      <w:r>
        <w:rPr>
          <w:rFonts w:ascii="黑体" w:hAnsi="黑体" w:eastAsia="黑体"/>
          <w:b w:val="0"/>
          <w:sz w:val="30"/>
          <w:szCs w:val="30"/>
          <w:u w:val="none"/>
        </w:rPr>
        <w:t>一般公共预算财政拨款“三公”经费</w:t>
      </w:r>
      <w:r>
        <w:rPr>
          <w:rFonts w:hint="eastAsia" w:ascii="黑体" w:hAnsi="黑体" w:eastAsia="黑体"/>
          <w:b w:val="0"/>
          <w:sz w:val="30"/>
          <w:szCs w:val="30"/>
          <w:u w:val="none"/>
        </w:rPr>
        <w:t>支出决算</w:t>
      </w:r>
      <w:r>
        <w:rPr>
          <w:rFonts w:ascii="黑体" w:hAnsi="黑体" w:eastAsia="黑体"/>
          <w:b w:val="0"/>
          <w:sz w:val="30"/>
          <w:szCs w:val="30"/>
          <w:u w:val="none"/>
        </w:rPr>
        <w:t>情况</w:t>
      </w:r>
      <w:r>
        <w:rPr>
          <w:rFonts w:hint="eastAsia" w:ascii="黑体" w:hAnsi="黑体" w:eastAsia="黑体"/>
          <w:b w:val="0"/>
          <w:bCs w:val="0"/>
          <w:sz w:val="30"/>
          <w:szCs w:val="30"/>
          <w:u w:val="none"/>
        </w:rPr>
        <w:t>说明</w:t>
      </w:r>
      <w:bookmarkEnd w:id="25"/>
    </w:p>
    <w:p>
      <w:pPr>
        <w:spacing w:line="600" w:lineRule="exact"/>
        <w:ind w:firstLine="602" w:firstLineChars="200"/>
        <w:jc w:val="both"/>
        <w:rPr>
          <w:rFonts w:ascii="楷体" w:hAnsi="楷体" w:eastAsia="楷体" w:cs="楷体"/>
          <w:b/>
          <w:bCs/>
          <w:sz w:val="30"/>
          <w:szCs w:val="30"/>
          <w:u w:val="none"/>
        </w:rPr>
      </w:pPr>
      <w:r>
        <w:rPr>
          <w:rFonts w:hint="eastAsia" w:ascii="楷体" w:hAnsi="楷体" w:eastAsia="楷体" w:cs="楷体"/>
          <w:b/>
          <w:bCs/>
          <w:sz w:val="30"/>
          <w:szCs w:val="30"/>
          <w:u w:val="none"/>
        </w:rPr>
        <w:t>（一）总体情况</w:t>
      </w:r>
    </w:p>
    <w:p>
      <w:pPr>
        <w:spacing w:line="600" w:lineRule="exact"/>
        <w:ind w:firstLine="645"/>
        <w:jc w:val="both"/>
        <w:rPr>
          <w:rFonts w:hint="eastAsia" w:ascii="仿宋_GB2312" w:eastAsia="仿宋_GB2312" w:cs="仿宋_GB2312"/>
          <w:sz w:val="30"/>
          <w:szCs w:val="30"/>
          <w:u w:val="none"/>
        </w:rPr>
      </w:pPr>
      <w:r>
        <w:rPr>
          <w:rFonts w:hint="eastAsia" w:ascii="仿宋_GB2312" w:eastAsia="仿宋_GB2312" w:cs="仿宋_GB2312"/>
          <w:sz w:val="30"/>
          <w:szCs w:val="30"/>
          <w:u w:val="none"/>
        </w:rPr>
        <w:t>2022年一般公共预算财政拨款“三公”经费预算0.00元，支出决算0.00元（去年同期0.00元），支出决算与2022年预算相比持平；支出决算较上年持平。决算数与预算数持平的主要原因是本年度未用一般公共预算列支“三公”经费。决算数较上年持平的主要原因是本年度未用一般公共预算列支三公经费。</w:t>
      </w:r>
    </w:p>
    <w:p>
      <w:pPr>
        <w:spacing w:line="600" w:lineRule="exact"/>
        <w:ind w:firstLine="602" w:firstLineChars="200"/>
        <w:jc w:val="both"/>
        <w:rPr>
          <w:rFonts w:ascii="楷体" w:hAnsi="楷体" w:eastAsia="楷体" w:cs="楷体"/>
          <w:b/>
          <w:bCs/>
          <w:sz w:val="30"/>
          <w:szCs w:val="30"/>
          <w:u w:val="none"/>
        </w:rPr>
      </w:pPr>
      <w:r>
        <w:rPr>
          <w:rFonts w:hint="eastAsia" w:ascii="楷体" w:hAnsi="楷体" w:eastAsia="楷体" w:cs="楷体"/>
          <w:b/>
          <w:bCs/>
          <w:sz w:val="30"/>
          <w:szCs w:val="30"/>
          <w:u w:val="none"/>
        </w:rPr>
        <w:t>（二）具体情况</w:t>
      </w:r>
    </w:p>
    <w:p>
      <w:pPr>
        <w:spacing w:line="600" w:lineRule="exact"/>
        <w:ind w:firstLine="600" w:firstLineChars="200"/>
        <w:jc w:val="both"/>
        <w:rPr>
          <w:rFonts w:eastAsia="仿宋_GB2312"/>
          <w:sz w:val="30"/>
          <w:szCs w:val="30"/>
          <w:u w:val="none"/>
        </w:rPr>
      </w:pPr>
      <w:r>
        <w:rPr>
          <w:rFonts w:hint="eastAsia" w:eastAsia="仿宋_GB2312"/>
          <w:sz w:val="30"/>
          <w:szCs w:val="30"/>
          <w:u w:val="none"/>
        </w:rPr>
        <w:t>1.</w:t>
      </w:r>
      <w:r>
        <w:rPr>
          <w:rFonts w:hint="eastAsia" w:ascii="仿宋_GB2312" w:eastAsia="仿宋_GB2312" w:cs="仿宋_GB2312"/>
          <w:sz w:val="30"/>
          <w:szCs w:val="30"/>
          <w:u w:val="none"/>
        </w:rPr>
        <w:t>因公出国（境）费预算0.00元，支出决算0.00元（去年同期0.00元），支出决算与预算相比持平；支出决算较上年持平。</w:t>
      </w:r>
      <w:r>
        <w:rPr>
          <w:rFonts w:ascii="仿宋_GB2312" w:eastAsia="仿宋_GB2312" w:cs="仿宋_GB2312"/>
          <w:sz w:val="30"/>
          <w:szCs w:val="30"/>
          <w:u w:val="none"/>
        </w:rPr>
        <w:t>决算数与预算数持平的主要原因是本年度未用一般公共预算列支“因公出国（境）”经费。决算数较上年持平的主要原因是本年度未用一般公共预算列支“因公出国（境）”经费。2022</w:t>
      </w:r>
      <w:r>
        <w:rPr>
          <w:rFonts w:hint="eastAsia" w:ascii="仿宋_GB2312" w:eastAsia="仿宋_GB2312" w:cs="仿宋_GB2312"/>
          <w:sz w:val="30"/>
          <w:szCs w:val="30"/>
          <w:u w:val="none"/>
        </w:rPr>
        <w:t>年本单位组织的出国团组0个，出国0人次。</w:t>
      </w:r>
    </w:p>
    <w:p>
      <w:pPr>
        <w:spacing w:line="600" w:lineRule="exact"/>
        <w:ind w:firstLine="600" w:firstLineChars="200"/>
        <w:jc w:val="both"/>
        <w:rPr>
          <w:rFonts w:eastAsia="仿宋_GB2312"/>
          <w:sz w:val="30"/>
          <w:szCs w:val="30"/>
          <w:u w:val="none"/>
        </w:rPr>
      </w:pPr>
      <w:r>
        <w:rPr>
          <w:rFonts w:hint="eastAsia" w:eastAsia="仿宋_GB2312"/>
          <w:sz w:val="30"/>
          <w:szCs w:val="30"/>
          <w:u w:val="none"/>
        </w:rPr>
        <w:t>2.</w:t>
      </w:r>
      <w:r>
        <w:rPr>
          <w:rFonts w:hint="eastAsia" w:ascii="仿宋_GB2312" w:eastAsia="仿宋_GB2312" w:cs="仿宋_GB2312"/>
          <w:sz w:val="30"/>
          <w:szCs w:val="30"/>
          <w:u w:val="none"/>
        </w:rPr>
        <w:t>公务用车购置及运行维护费预算0.00元，支出决算0.00元（去年同期0.00元），支出决算与预算相比持平；支出决算较上年持平。其中：</w:t>
      </w:r>
    </w:p>
    <w:p>
      <w:pPr>
        <w:spacing w:line="600" w:lineRule="exact"/>
        <w:ind w:firstLine="600" w:firstLineChars="200"/>
        <w:jc w:val="both"/>
        <w:rPr>
          <w:rFonts w:eastAsia="仿宋_GB2312"/>
          <w:sz w:val="30"/>
          <w:szCs w:val="30"/>
          <w:u w:val="none"/>
        </w:rPr>
      </w:pPr>
      <w:r>
        <w:rPr>
          <w:rFonts w:hint="eastAsia" w:ascii="仿宋_GB2312" w:eastAsia="仿宋_GB2312" w:cs="仿宋_GB2312"/>
          <w:sz w:val="30"/>
          <w:szCs w:val="30"/>
          <w:u w:val="none"/>
        </w:rPr>
        <w:t>公务用车运行维护费预算0.00元，支出决算0.00元（去年同期0.00元），支出决算与预算相比持平；支出决算较上年持平。决算数与预算数持平的主要原因是本年度未用一般公共预算列支“公务用车运行维护费”经费。决算数较上年持平的主要原因是本年度未用一般公共预算列支三公经费。截至2022年12月31日，使用</w:t>
      </w:r>
      <w:r>
        <w:rPr>
          <w:rFonts w:hint="eastAsia" w:eastAsia="仿宋_GB2312"/>
          <w:sz w:val="30"/>
          <w:szCs w:val="30"/>
          <w:u w:val="none"/>
        </w:rPr>
        <w:t>一般公共预算</w:t>
      </w:r>
      <w:r>
        <w:rPr>
          <w:rFonts w:hint="eastAsia" w:ascii="仿宋_GB2312" w:eastAsia="仿宋_GB2312" w:cs="仿宋_GB2312"/>
          <w:sz w:val="30"/>
          <w:szCs w:val="30"/>
          <w:u w:val="none"/>
        </w:rPr>
        <w:t>财政拨款开支运行维护费的公务用车保有量为0辆。</w:t>
      </w:r>
    </w:p>
    <w:p>
      <w:pPr>
        <w:spacing w:line="600" w:lineRule="exact"/>
        <w:ind w:firstLine="600" w:firstLineChars="200"/>
        <w:jc w:val="both"/>
        <w:rPr>
          <w:rFonts w:eastAsia="仿宋_GB2312"/>
          <w:sz w:val="30"/>
          <w:szCs w:val="30"/>
          <w:u w:val="none"/>
        </w:rPr>
      </w:pPr>
      <w:r>
        <w:rPr>
          <w:rFonts w:hint="eastAsia" w:ascii="仿宋_GB2312" w:eastAsia="仿宋_GB2312" w:cs="仿宋_GB2312"/>
          <w:sz w:val="30"/>
          <w:szCs w:val="30"/>
          <w:u w:val="none"/>
        </w:rPr>
        <w:t>公务用车购置费预算0.00元，支出决算0.00元（去年同期0.00元），支出决算与预算相比持平；支出决算较上年持平。决算数与预算数持平的主要原因是本年度未用一般公共预算列支“公务用车购置”经费。决算数较上年持平的主要原因是本年度未用一般公共预算列支“公务用车购置”经费。2022年购置公务用车0辆。</w:t>
      </w:r>
    </w:p>
    <w:p>
      <w:pPr>
        <w:spacing w:line="600" w:lineRule="exact"/>
        <w:ind w:firstLine="645"/>
        <w:jc w:val="both"/>
        <w:rPr>
          <w:rFonts w:eastAsia="仿宋_GB2312" w:cs="仿宋_GB2312"/>
          <w:sz w:val="30"/>
          <w:szCs w:val="30"/>
          <w:u w:val="none"/>
        </w:rPr>
      </w:pPr>
      <w:r>
        <w:rPr>
          <w:rFonts w:hint="eastAsia" w:eastAsia="仿宋_GB2312"/>
          <w:sz w:val="30"/>
          <w:szCs w:val="30"/>
          <w:u w:val="none"/>
        </w:rPr>
        <w:t>3.</w:t>
      </w:r>
      <w:r>
        <w:rPr>
          <w:rFonts w:hint="eastAsia" w:ascii="仿宋_GB2312" w:eastAsia="仿宋_GB2312" w:cs="仿宋_GB2312"/>
          <w:sz w:val="30"/>
          <w:szCs w:val="30"/>
          <w:u w:val="none"/>
        </w:rPr>
        <w:t>公务接待费预算0.00元，支出决算0.00元（去年同期0.00元），支出决算与预算相比持平；支出决算较上年持平。</w:t>
      </w:r>
      <w:r>
        <w:rPr>
          <w:rFonts w:ascii="仿宋_GB2312" w:eastAsia="仿宋_GB2312" w:cs="仿宋_GB2312"/>
          <w:sz w:val="30"/>
          <w:szCs w:val="30"/>
          <w:u w:val="none"/>
        </w:rPr>
        <w:t>决算数与预算数持平的主要原因是本年度未用一般公共预算列支“公务接待”经费。决算数较上年持平的主要原因是本年度未用一般公共预算列支“公务接待”经费。2022</w:t>
      </w:r>
      <w:r>
        <w:rPr>
          <w:rFonts w:hint="eastAsia" w:ascii="仿宋_GB2312" w:eastAsia="仿宋_GB2312" w:cs="仿宋_GB2312"/>
          <w:sz w:val="30"/>
          <w:szCs w:val="30"/>
          <w:u w:val="none"/>
        </w:rPr>
        <w:t>年本单位国内公务接待0批</w:t>
      </w:r>
      <w:r>
        <w:rPr>
          <w:rFonts w:hint="eastAsia" w:eastAsia="仿宋_GB2312" w:cs="仿宋_GB2312"/>
          <w:sz w:val="30"/>
          <w:szCs w:val="30"/>
          <w:u w:val="none"/>
        </w:rPr>
        <w:t>次，</w:t>
      </w:r>
      <w:r>
        <w:rPr>
          <w:rFonts w:hint="eastAsia" w:ascii="仿宋_GB2312" w:eastAsia="仿宋_GB2312" w:cs="仿宋_GB2312"/>
          <w:sz w:val="30"/>
          <w:szCs w:val="30"/>
          <w:u w:val="none"/>
        </w:rPr>
        <w:t>0</w:t>
      </w:r>
      <w:r>
        <w:rPr>
          <w:rFonts w:hint="eastAsia" w:eastAsia="仿宋_GB2312" w:cs="仿宋_GB2312"/>
          <w:sz w:val="30"/>
          <w:szCs w:val="30"/>
          <w:u w:val="none"/>
        </w:rPr>
        <w:t>人次；其中，外事接待</w:t>
      </w:r>
      <w:r>
        <w:rPr>
          <w:rFonts w:hint="eastAsia" w:ascii="仿宋_GB2312" w:eastAsia="仿宋_GB2312" w:cs="仿宋_GB2312"/>
          <w:sz w:val="30"/>
          <w:szCs w:val="30"/>
          <w:u w:val="none"/>
        </w:rPr>
        <w:t>0</w:t>
      </w:r>
      <w:r>
        <w:rPr>
          <w:rFonts w:hint="eastAsia" w:eastAsia="仿宋_GB2312" w:cs="仿宋_GB2312"/>
          <w:sz w:val="30"/>
          <w:szCs w:val="30"/>
          <w:u w:val="none"/>
        </w:rPr>
        <w:t>批次，</w:t>
      </w:r>
      <w:r>
        <w:rPr>
          <w:rFonts w:hint="eastAsia" w:ascii="仿宋_GB2312" w:eastAsia="仿宋_GB2312" w:cs="仿宋_GB2312"/>
          <w:sz w:val="30"/>
          <w:szCs w:val="30"/>
          <w:u w:val="none"/>
        </w:rPr>
        <w:t>0</w:t>
      </w:r>
      <w:r>
        <w:rPr>
          <w:rFonts w:hint="eastAsia" w:eastAsia="仿宋_GB2312" w:cs="仿宋_GB2312"/>
          <w:sz w:val="30"/>
          <w:szCs w:val="30"/>
          <w:u w:val="none"/>
        </w:rPr>
        <w:t>人次。</w:t>
      </w:r>
    </w:p>
    <w:p>
      <w:pPr>
        <w:pStyle w:val="3"/>
        <w:spacing w:before="0" w:after="0" w:line="600" w:lineRule="exact"/>
        <w:ind w:firstLine="600" w:firstLineChars="200"/>
        <w:rPr>
          <w:rFonts w:ascii="黑体" w:hAnsi="黑体" w:eastAsia="黑体"/>
          <w:b w:val="0"/>
          <w:sz w:val="30"/>
          <w:szCs w:val="30"/>
          <w:u w:val="none"/>
        </w:rPr>
      </w:pPr>
      <w:bookmarkStart w:id="26" w:name="_Toc3411"/>
      <w:r>
        <w:rPr>
          <w:rFonts w:hint="eastAsia" w:ascii="黑体" w:hAnsi="黑体" w:eastAsia="黑体"/>
          <w:b w:val="0"/>
          <w:sz w:val="30"/>
          <w:szCs w:val="30"/>
          <w:u w:val="none"/>
        </w:rPr>
        <w:t>十、</w:t>
      </w:r>
      <w:r>
        <w:rPr>
          <w:rFonts w:ascii="黑体" w:hAnsi="黑体" w:eastAsia="黑体"/>
          <w:b w:val="0"/>
          <w:sz w:val="30"/>
          <w:szCs w:val="30"/>
          <w:u w:val="none"/>
        </w:rPr>
        <w:t>机关运行经费</w:t>
      </w:r>
      <w:r>
        <w:rPr>
          <w:rFonts w:hint="eastAsia" w:ascii="黑体" w:hAnsi="黑体" w:eastAsia="黑体"/>
          <w:b w:val="0"/>
          <w:sz w:val="30"/>
          <w:szCs w:val="30"/>
          <w:u w:val="none"/>
        </w:rPr>
        <w:t>支出情况</w:t>
      </w:r>
      <w:r>
        <w:rPr>
          <w:rFonts w:hint="eastAsia" w:ascii="黑体" w:hAnsi="黑体" w:eastAsia="黑体"/>
          <w:b w:val="0"/>
          <w:bCs w:val="0"/>
          <w:sz w:val="30"/>
          <w:szCs w:val="30"/>
          <w:u w:val="none"/>
        </w:rPr>
        <w:t>说明</w:t>
      </w:r>
      <w:bookmarkEnd w:id="26"/>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天津市津南区北闸口镇综合治理中心2022年度无机关运行经费。</w:t>
      </w:r>
    </w:p>
    <w:p>
      <w:pPr>
        <w:pStyle w:val="3"/>
        <w:spacing w:before="0" w:after="0" w:line="600" w:lineRule="exact"/>
        <w:ind w:firstLine="600" w:firstLineChars="200"/>
        <w:rPr>
          <w:rFonts w:ascii="黑体" w:hAnsi="黑体" w:eastAsia="黑体"/>
          <w:b w:val="0"/>
          <w:sz w:val="30"/>
          <w:szCs w:val="30"/>
          <w:u w:val="none"/>
        </w:rPr>
      </w:pPr>
      <w:bookmarkStart w:id="27" w:name="_Toc31102"/>
      <w:r>
        <w:rPr>
          <w:rFonts w:hint="eastAsia" w:ascii="黑体" w:hAnsi="黑体" w:eastAsia="黑体"/>
          <w:b w:val="0"/>
          <w:sz w:val="30"/>
          <w:szCs w:val="30"/>
          <w:u w:val="none"/>
        </w:rPr>
        <w:t>十一、</w:t>
      </w:r>
      <w:r>
        <w:rPr>
          <w:rFonts w:ascii="黑体" w:hAnsi="黑体" w:eastAsia="黑体"/>
          <w:b w:val="0"/>
          <w:sz w:val="30"/>
          <w:szCs w:val="30"/>
          <w:u w:val="none"/>
        </w:rPr>
        <w:t>政府采购</w:t>
      </w:r>
      <w:r>
        <w:rPr>
          <w:rFonts w:hint="eastAsia" w:ascii="黑体" w:hAnsi="黑体" w:eastAsia="黑体"/>
          <w:b w:val="0"/>
          <w:sz w:val="30"/>
          <w:szCs w:val="30"/>
          <w:u w:val="none"/>
        </w:rPr>
        <w:t>支出</w:t>
      </w:r>
      <w:r>
        <w:rPr>
          <w:rFonts w:ascii="黑体" w:hAnsi="黑体" w:eastAsia="黑体"/>
          <w:b w:val="0"/>
          <w:sz w:val="30"/>
          <w:szCs w:val="30"/>
          <w:u w:val="none"/>
        </w:rPr>
        <w:t>情况</w:t>
      </w:r>
      <w:r>
        <w:rPr>
          <w:rFonts w:hint="eastAsia" w:ascii="黑体" w:hAnsi="黑体" w:eastAsia="黑体"/>
          <w:b w:val="0"/>
          <w:bCs w:val="0"/>
          <w:sz w:val="30"/>
          <w:szCs w:val="30"/>
          <w:u w:val="none"/>
        </w:rPr>
        <w:t>说明</w:t>
      </w:r>
      <w:bookmarkEnd w:id="27"/>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天津市津南区北闸口镇综合治理中心2022年度无政府采购支出。</w:t>
      </w:r>
    </w:p>
    <w:p>
      <w:pPr>
        <w:pStyle w:val="3"/>
        <w:spacing w:before="0" w:after="0" w:line="600" w:lineRule="exact"/>
        <w:ind w:firstLine="600" w:firstLineChars="200"/>
        <w:rPr>
          <w:rFonts w:ascii="黑体" w:hAnsi="黑体" w:eastAsia="黑体"/>
          <w:b w:val="0"/>
          <w:sz w:val="30"/>
          <w:szCs w:val="30"/>
          <w:u w:val="none"/>
        </w:rPr>
      </w:pPr>
      <w:bookmarkStart w:id="28" w:name="_Toc23709"/>
      <w:r>
        <w:rPr>
          <w:rFonts w:hint="eastAsia" w:ascii="黑体" w:hAnsi="黑体" w:eastAsia="黑体"/>
          <w:b w:val="0"/>
          <w:sz w:val="30"/>
          <w:szCs w:val="30"/>
          <w:u w:val="none"/>
        </w:rPr>
        <w:t>十二、国有资产占有使用情况</w:t>
      </w:r>
      <w:r>
        <w:rPr>
          <w:rFonts w:hint="eastAsia" w:ascii="黑体" w:hAnsi="黑体" w:eastAsia="黑体"/>
          <w:b w:val="0"/>
          <w:bCs w:val="0"/>
          <w:sz w:val="30"/>
          <w:szCs w:val="30"/>
          <w:u w:val="none"/>
        </w:rPr>
        <w:t>说明</w:t>
      </w:r>
      <w:bookmarkEnd w:id="28"/>
    </w:p>
    <w:p>
      <w:pPr>
        <w:spacing w:line="600" w:lineRule="exact"/>
        <w:ind w:firstLine="645"/>
        <w:jc w:val="both"/>
        <w:rPr>
          <w:rFonts w:ascii="仿宋_GB2312" w:eastAsia="仿宋_GB2312" w:cs="仿宋_GB2312"/>
          <w:sz w:val="30"/>
          <w:szCs w:val="30"/>
          <w:u w:val="none"/>
        </w:rPr>
      </w:pPr>
      <w:r>
        <w:rPr>
          <w:rFonts w:hint="eastAsia" w:ascii="仿宋_GB2312" w:eastAsia="仿宋_GB2312" w:cs="仿宋_GB2312"/>
          <w:sz w:val="30"/>
          <w:szCs w:val="30"/>
          <w:u w:val="none"/>
        </w:rPr>
        <w:t>天津市津南区北闸口镇综合治理中心2022年度无国有资产占有使用情况。</w:t>
      </w:r>
    </w:p>
    <w:p>
      <w:pPr>
        <w:pStyle w:val="3"/>
        <w:numPr>
          <w:ilvl w:val="0"/>
          <w:numId w:val="1"/>
        </w:numPr>
        <w:spacing w:before="0" w:after="0" w:line="540" w:lineRule="exact"/>
        <w:ind w:left="0" w:leftChars="0" w:firstLine="600" w:firstLineChars="200"/>
        <w:rPr>
          <w:rFonts w:hint="eastAsia" w:ascii="黑体" w:hAnsi="黑体" w:eastAsia="黑体"/>
          <w:b w:val="0"/>
          <w:bCs w:val="0"/>
          <w:sz w:val="30"/>
          <w:szCs w:val="30"/>
          <w:u w:val="none"/>
        </w:rPr>
      </w:pPr>
      <w:bookmarkStart w:id="29" w:name="_Toc11467"/>
      <w:r>
        <w:rPr>
          <w:rFonts w:hint="eastAsia" w:ascii="黑体" w:hAnsi="黑体" w:eastAsia="黑体"/>
          <w:b w:val="0"/>
          <w:bCs w:val="0"/>
          <w:sz w:val="30"/>
          <w:szCs w:val="30"/>
          <w:u w:val="none"/>
        </w:rPr>
        <w:t>预算绩效情况说明</w:t>
      </w:r>
      <w:bookmarkEnd w:id="29"/>
    </w:p>
    <w:p>
      <w:pPr>
        <w:spacing w:line="600" w:lineRule="exact"/>
        <w:ind w:firstLine="645"/>
        <w:jc w:val="both"/>
        <w:rPr>
          <w:u w:val="none"/>
        </w:rPr>
      </w:pPr>
      <w:r>
        <w:rPr>
          <w:rFonts w:hint="eastAsia" w:ascii="仿宋_GB2312" w:eastAsia="仿宋_GB2312" w:cs="仿宋_GB2312"/>
          <w:sz w:val="30"/>
          <w:szCs w:val="30"/>
          <w:u w:val="none"/>
        </w:rPr>
        <w:t>根据预算绩效管理要求，天津市津南区北闸口镇综合治理中心2022年度已对</w:t>
      </w:r>
      <w:r>
        <w:rPr>
          <w:rFonts w:hint="eastAsia" w:ascii="仿宋_GB2312" w:eastAsia="仿宋_GB2312" w:cs="仿宋_GB2312"/>
          <w:sz w:val="30"/>
          <w:szCs w:val="30"/>
          <w:u w:val="none"/>
          <w:lang w:val="en-US" w:eastAsia="zh-CN"/>
        </w:rPr>
        <w:t>2</w:t>
      </w:r>
      <w:r>
        <w:rPr>
          <w:rFonts w:hint="eastAsia" w:ascii="仿宋_GB2312" w:eastAsia="仿宋_GB2312" w:cs="仿宋_GB2312"/>
          <w:sz w:val="30"/>
          <w:szCs w:val="30"/>
          <w:u w:val="none"/>
        </w:rPr>
        <w:t>个</w:t>
      </w:r>
      <w:r>
        <w:rPr>
          <w:rFonts w:hint="eastAsia" w:ascii="仿宋_GB2312" w:eastAsia="仿宋_GB2312" w:cs="仿宋_GB2312"/>
          <w:sz w:val="30"/>
          <w:szCs w:val="30"/>
          <w:u w:val="none"/>
          <w:lang w:eastAsia="zh-CN"/>
        </w:rPr>
        <w:t>镇</w:t>
      </w:r>
      <w:r>
        <w:rPr>
          <w:rFonts w:hint="eastAsia" w:ascii="仿宋_GB2312" w:eastAsia="仿宋_GB2312" w:cs="仿宋_GB2312"/>
          <w:sz w:val="30"/>
          <w:szCs w:val="30"/>
          <w:u w:val="none"/>
        </w:rPr>
        <w:t>级项目开展绩效自评，涉及金额</w:t>
      </w:r>
      <w:r>
        <w:rPr>
          <w:rFonts w:hint="eastAsia" w:ascii="仿宋_GB2312" w:eastAsia="仿宋_GB2312" w:cs="仿宋_GB2312"/>
          <w:sz w:val="30"/>
          <w:szCs w:val="30"/>
          <w:u w:val="none"/>
          <w:lang w:val="en-US" w:eastAsia="zh-CN"/>
        </w:rPr>
        <w:t>103928.00</w:t>
      </w:r>
      <w:r>
        <w:rPr>
          <w:rFonts w:hint="eastAsia" w:ascii="仿宋_GB2312" w:eastAsia="仿宋_GB2312" w:cs="仿宋_GB2312"/>
          <w:sz w:val="30"/>
          <w:szCs w:val="30"/>
          <w:u w:val="none"/>
        </w:rPr>
        <w:t>元，自评结果已随部门决算一并公开。</w:t>
      </w:r>
    </w:p>
    <w:p>
      <w:pPr>
        <w:pStyle w:val="3"/>
        <w:spacing w:before="0" w:after="0" w:line="600" w:lineRule="exact"/>
        <w:ind w:firstLine="600" w:firstLineChars="200"/>
        <w:rPr>
          <w:rFonts w:ascii="Times New Roman" w:hAnsi="Times New Roman" w:eastAsia="黑体"/>
          <w:b w:val="0"/>
          <w:color w:val="auto"/>
          <w:sz w:val="30"/>
          <w:szCs w:val="30"/>
          <w:u w:val="none"/>
        </w:rPr>
      </w:pPr>
      <w:bookmarkStart w:id="30" w:name="_Toc15949"/>
      <w:r>
        <w:rPr>
          <w:rFonts w:hint="eastAsia" w:ascii="Times New Roman" w:hAnsi="Times New Roman" w:eastAsia="黑体"/>
          <w:b w:val="0"/>
          <w:color w:val="auto"/>
          <w:sz w:val="30"/>
          <w:szCs w:val="30"/>
          <w:u w:val="none"/>
        </w:rPr>
        <w:t>十四、</w:t>
      </w:r>
      <w:r>
        <w:rPr>
          <w:rFonts w:ascii="Times New Roman" w:hAnsi="Times New Roman" w:eastAsia="黑体"/>
          <w:b w:val="0"/>
          <w:color w:val="auto"/>
          <w:sz w:val="30"/>
          <w:szCs w:val="30"/>
          <w:u w:val="none"/>
        </w:rPr>
        <w:t>教育、医疗卫生、社会保障和就业、住房保障、涉农补贴等民生支出情况</w:t>
      </w:r>
      <w:r>
        <w:rPr>
          <w:rFonts w:hint="eastAsia" w:ascii="黑体" w:hAnsi="黑体" w:eastAsia="黑体"/>
          <w:b w:val="0"/>
          <w:bCs w:val="0"/>
          <w:color w:val="auto"/>
          <w:sz w:val="30"/>
          <w:szCs w:val="30"/>
          <w:u w:val="none"/>
        </w:rPr>
        <w:t>说明</w:t>
      </w:r>
      <w:bookmarkEnd w:id="30"/>
    </w:p>
    <w:p>
      <w:pPr>
        <w:spacing w:line="600" w:lineRule="exact"/>
        <w:ind w:firstLine="645"/>
        <w:jc w:val="both"/>
        <w:rPr>
          <w:rFonts w:ascii="仿宋_GB2312" w:eastAsia="仿宋_GB2312" w:cs="仿宋_GB2312"/>
          <w:sz w:val="30"/>
          <w:szCs w:val="30"/>
          <w:u w:val="none"/>
        </w:rPr>
        <w:sectPr>
          <w:pgSz w:w="11906" w:h="16838"/>
          <w:pgMar w:top="1440" w:right="1800" w:bottom="1440" w:left="1800" w:header="851" w:footer="992" w:gutter="0"/>
          <w:cols w:space="720" w:num="1"/>
          <w:docGrid w:type="lines" w:linePitch="312" w:charSpace="0"/>
        </w:sectPr>
      </w:pPr>
      <w:r>
        <w:rPr>
          <w:rFonts w:hint="eastAsia" w:ascii="仿宋_GB2312" w:eastAsia="仿宋_GB2312" w:cs="仿宋_GB2312"/>
          <w:sz w:val="30"/>
          <w:szCs w:val="30"/>
          <w:u w:val="none"/>
        </w:rPr>
        <w:t>2022年度，天津市津南区北闸口镇综合治理中心</w:t>
      </w:r>
      <w:r>
        <w:rPr>
          <w:rFonts w:hint="eastAsia" w:ascii="仿宋_GB2312" w:eastAsia="仿宋_GB2312" w:cs="仿宋_GB2312"/>
          <w:sz w:val="30"/>
          <w:szCs w:val="30"/>
          <w:u w:val="none"/>
          <w:lang w:eastAsia="zh-CN"/>
        </w:rPr>
        <w:t>无</w:t>
      </w:r>
      <w:r>
        <w:rPr>
          <w:rFonts w:hint="eastAsia" w:ascii="仿宋_GB2312" w:eastAsia="仿宋_GB2312" w:cs="仿宋_GB2312"/>
          <w:sz w:val="30"/>
          <w:szCs w:val="30"/>
          <w:u w:val="none"/>
        </w:rPr>
        <w:t>教育、医疗卫生、社会保障和就业、住房保障、涉农补贴等民生支出情况</w:t>
      </w:r>
      <w:bookmarkStart w:id="32" w:name="_GoBack"/>
      <w:bookmarkEnd w:id="32"/>
      <w:r>
        <w:rPr>
          <w:rFonts w:hint="eastAsia" w:ascii="仿宋_GB2312" w:eastAsia="仿宋_GB2312" w:cs="仿宋_GB2312"/>
          <w:sz w:val="30"/>
          <w:szCs w:val="30"/>
          <w:u w:val="none"/>
        </w:rPr>
        <w:t>。</w:t>
      </w:r>
    </w:p>
    <w:p>
      <w:pPr>
        <w:pStyle w:val="2"/>
        <w:spacing w:before="0" w:after="0" w:line="600" w:lineRule="exact"/>
        <w:jc w:val="center"/>
        <w:rPr>
          <w:rFonts w:ascii="方正小标宋简体" w:hAnsi="方正小标宋简体" w:eastAsia="方正小标宋简体" w:cs="方正小标宋简体"/>
          <w:b w:val="0"/>
          <w:u w:val="none"/>
        </w:rPr>
      </w:pPr>
      <w:bookmarkStart w:id="31" w:name="_Toc30612"/>
      <w:r>
        <w:rPr>
          <w:rFonts w:hint="eastAsia" w:ascii="方正小标宋简体" w:hAnsi="方正小标宋简体" w:eastAsia="方正小标宋简体" w:cs="方正小标宋简体"/>
          <w:b w:val="0"/>
          <w:u w:val="none"/>
        </w:rPr>
        <w:t>第四部分  名词解释</w:t>
      </w:r>
      <w:bookmarkEnd w:id="31"/>
    </w:p>
    <w:p>
      <w:pPr>
        <w:spacing w:line="600" w:lineRule="exact"/>
        <w:ind w:firstLine="600" w:firstLineChars="200"/>
        <w:rPr>
          <w:rFonts w:ascii="仿宋_GB2312" w:eastAsia="仿宋_GB2312"/>
          <w:sz w:val="30"/>
          <w:szCs w:val="30"/>
          <w:u w:val="none"/>
        </w:rPr>
      </w:pPr>
    </w:p>
    <w:p>
      <w:pPr>
        <w:numPr>
          <w:ilvl w:val="0"/>
          <w:numId w:val="3"/>
        </w:numPr>
        <w:spacing w:line="600" w:lineRule="exact"/>
        <w:ind w:firstLine="600" w:firstLineChars="200"/>
        <w:rPr>
          <w:rFonts w:eastAsia="仿宋_GB2312"/>
          <w:sz w:val="30"/>
          <w:szCs w:val="30"/>
          <w:u w:val="none"/>
        </w:rPr>
      </w:pPr>
      <w:r>
        <w:rPr>
          <w:rFonts w:hint="eastAsia" w:eastAsia="仿宋_GB2312"/>
          <w:sz w:val="30"/>
          <w:szCs w:val="30"/>
          <w:u w:val="none"/>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spacing w:line="600" w:lineRule="exact"/>
        <w:ind w:firstLine="600" w:firstLineChars="200"/>
        <w:rPr>
          <w:rFonts w:eastAsia="仿宋_GB2312"/>
          <w:sz w:val="30"/>
          <w:szCs w:val="30"/>
          <w:u w:val="none"/>
        </w:rPr>
      </w:pPr>
      <w:r>
        <w:rPr>
          <w:rFonts w:hint="eastAsia" w:eastAsia="仿宋_GB2312"/>
          <w:sz w:val="30"/>
          <w:szCs w:val="30"/>
          <w:u w:val="none"/>
        </w:rPr>
        <w:t>2.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spacing w:line="600" w:lineRule="exact"/>
        <w:ind w:firstLine="600" w:firstLineChars="200"/>
        <w:rPr>
          <w:rFonts w:eastAsia="仿宋_GB2312"/>
          <w:sz w:val="30"/>
          <w:szCs w:val="30"/>
          <w:u w:val="none"/>
        </w:rPr>
      </w:pPr>
      <w:r>
        <w:rPr>
          <w:rFonts w:hint="eastAsia" w:eastAsia="仿宋_GB2312"/>
          <w:sz w:val="30"/>
          <w:szCs w:val="30"/>
          <w:u w:val="none"/>
        </w:rPr>
        <w:t>3.“三公”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pPr>
        <w:spacing w:line="600" w:lineRule="exact"/>
        <w:ind w:firstLine="600" w:firstLineChars="200"/>
        <w:rPr>
          <w:rFonts w:eastAsia="仿宋_GB2312"/>
          <w:sz w:val="30"/>
          <w:szCs w:val="30"/>
          <w:highlight w:val="yellow"/>
          <w:u w:val="none"/>
        </w:rPr>
      </w:pPr>
    </w:p>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j4x0QAgAABwQAAA4AAABkcnMvZTJvRG9jLnhtbK1TzY7TMBC+I/EO&#10;lu80aRG7VdV0VXZVhFSxKxXE2XWcJpL/ZLtNygPAG3Diwp3n6nPw2Wm6aJcT4mKPPeNvZr75PL/p&#10;lCQH4XxjdEHHo5wSobkpG70r6KePq1dTSnxgumTSaFHQo/D0ZvHyxby1MzExtZGlcAQg2s9aW9A6&#10;BDvLMs9roZgfGSs0nJVxigUc3S4rHWuBrmQ2yfOrrDWutM5w4T1u73onXST8qhI83FeVF4HIgqK2&#10;kFaX1m1cs8WczXaO2brh5zLYP1ShWKOR9AJ1xwIje9c8g1INd8abKoy4UZmpqoaL1AO6GedPutnU&#10;zIrUC8jx9kKT/3+w/MPhwZGmLOg1JZopjOj0/dvpx6/Tz6/kOtLTWj9D1MYiLnRvTYcxD/cel7Hr&#10;rnIq7uiHwA+ijxdyRRcIj4+mk+k0h4vDNxyAnz0+t86Hd8IoEo2COkwvkcoOax/60CEkZtNm1UiZ&#10;Jig1aQt69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oI+MdEAIAAAcEAAAOAAAAAAAAAAEAIAAA&#10;AB8BAABkcnMvZTJvRG9jLnhtbFBLBQYAAAAABgAGAFkBAACh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A6DC5"/>
    <w:multiLevelType w:val="singleLevel"/>
    <w:tmpl w:val="403A6DC5"/>
    <w:lvl w:ilvl="0" w:tentative="0">
      <w:start w:val="12"/>
      <w:numFmt w:val="chineseCounting"/>
      <w:suff w:val="nothing"/>
      <w:lvlText w:val="%1、"/>
      <w:lvlJc w:val="left"/>
      <w:rPr>
        <w:rFonts w:hint="eastAsia"/>
      </w:rPr>
    </w:lvl>
  </w:abstractNum>
  <w:abstractNum w:abstractNumId="1">
    <w:nsid w:val="62CB79B7"/>
    <w:multiLevelType w:val="singleLevel"/>
    <w:tmpl w:val="62CB79B7"/>
    <w:lvl w:ilvl="0" w:tentative="0">
      <w:start w:val="3"/>
      <w:numFmt w:val="chineseCounting"/>
      <w:suff w:val="nothing"/>
      <w:lvlText w:val="（%1）"/>
      <w:lvlJc w:val="left"/>
    </w:lvl>
  </w:abstractNum>
  <w:abstractNum w:abstractNumId="2">
    <w:nsid w:val="62CB88B4"/>
    <w:multiLevelType w:val="singleLevel"/>
    <w:tmpl w:val="62CB88B4"/>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ZmJjZTk2ZTkyODk0YjRhYzQ1MWY2MDgzOGJjMDUifQ=="/>
  </w:docVars>
  <w:rsids>
    <w:rsidRoot w:val="00172A27"/>
    <w:rsid w:val="00015911"/>
    <w:rsid w:val="000423B8"/>
    <w:rsid w:val="00046E1C"/>
    <w:rsid w:val="00047B48"/>
    <w:rsid w:val="00053901"/>
    <w:rsid w:val="000864BF"/>
    <w:rsid w:val="00092AB8"/>
    <w:rsid w:val="000B4E39"/>
    <w:rsid w:val="00112C55"/>
    <w:rsid w:val="001179AF"/>
    <w:rsid w:val="0012059C"/>
    <w:rsid w:val="00124993"/>
    <w:rsid w:val="0012531C"/>
    <w:rsid w:val="00126E2D"/>
    <w:rsid w:val="00145232"/>
    <w:rsid w:val="00172A27"/>
    <w:rsid w:val="001829A0"/>
    <w:rsid w:val="00186ED8"/>
    <w:rsid w:val="001974AC"/>
    <w:rsid w:val="001F61CD"/>
    <w:rsid w:val="00215444"/>
    <w:rsid w:val="00215EBD"/>
    <w:rsid w:val="00241712"/>
    <w:rsid w:val="002532F7"/>
    <w:rsid w:val="002566ED"/>
    <w:rsid w:val="00257643"/>
    <w:rsid w:val="002912A7"/>
    <w:rsid w:val="002D2BBE"/>
    <w:rsid w:val="002E091E"/>
    <w:rsid w:val="002F00A9"/>
    <w:rsid w:val="003365DD"/>
    <w:rsid w:val="00352CF7"/>
    <w:rsid w:val="003714D5"/>
    <w:rsid w:val="00381206"/>
    <w:rsid w:val="0038216E"/>
    <w:rsid w:val="003942CD"/>
    <w:rsid w:val="003A4529"/>
    <w:rsid w:val="004040D1"/>
    <w:rsid w:val="00432D37"/>
    <w:rsid w:val="0044208E"/>
    <w:rsid w:val="00464079"/>
    <w:rsid w:val="00465602"/>
    <w:rsid w:val="004918AD"/>
    <w:rsid w:val="004A1361"/>
    <w:rsid w:val="0050332F"/>
    <w:rsid w:val="00532C4C"/>
    <w:rsid w:val="00570354"/>
    <w:rsid w:val="005B60DB"/>
    <w:rsid w:val="005C22AF"/>
    <w:rsid w:val="005F2510"/>
    <w:rsid w:val="00676A5E"/>
    <w:rsid w:val="006A54BF"/>
    <w:rsid w:val="006D05B2"/>
    <w:rsid w:val="00722412"/>
    <w:rsid w:val="00727434"/>
    <w:rsid w:val="00734D29"/>
    <w:rsid w:val="0077787E"/>
    <w:rsid w:val="0079348B"/>
    <w:rsid w:val="007A3491"/>
    <w:rsid w:val="007B4B58"/>
    <w:rsid w:val="007B78DD"/>
    <w:rsid w:val="007F3679"/>
    <w:rsid w:val="007F448B"/>
    <w:rsid w:val="007F718E"/>
    <w:rsid w:val="00801B2B"/>
    <w:rsid w:val="0080287C"/>
    <w:rsid w:val="00803B43"/>
    <w:rsid w:val="00817AE2"/>
    <w:rsid w:val="008405C5"/>
    <w:rsid w:val="0085671E"/>
    <w:rsid w:val="00876FA4"/>
    <w:rsid w:val="00893EAC"/>
    <w:rsid w:val="008A6092"/>
    <w:rsid w:val="008C19C3"/>
    <w:rsid w:val="008C3474"/>
    <w:rsid w:val="008C677C"/>
    <w:rsid w:val="008D2605"/>
    <w:rsid w:val="008D64CE"/>
    <w:rsid w:val="008E4334"/>
    <w:rsid w:val="009142B8"/>
    <w:rsid w:val="00915276"/>
    <w:rsid w:val="00936468"/>
    <w:rsid w:val="009371C3"/>
    <w:rsid w:val="00977064"/>
    <w:rsid w:val="0098387F"/>
    <w:rsid w:val="009D4654"/>
    <w:rsid w:val="009E0EF5"/>
    <w:rsid w:val="009F18E1"/>
    <w:rsid w:val="009F712F"/>
    <w:rsid w:val="00A12C57"/>
    <w:rsid w:val="00A557F8"/>
    <w:rsid w:val="00AA676A"/>
    <w:rsid w:val="00B13870"/>
    <w:rsid w:val="00B14558"/>
    <w:rsid w:val="00B17258"/>
    <w:rsid w:val="00B210F5"/>
    <w:rsid w:val="00B53416"/>
    <w:rsid w:val="00B807AE"/>
    <w:rsid w:val="00BA3182"/>
    <w:rsid w:val="00BB0047"/>
    <w:rsid w:val="00BB051A"/>
    <w:rsid w:val="00BD343E"/>
    <w:rsid w:val="00BE682B"/>
    <w:rsid w:val="00C0672E"/>
    <w:rsid w:val="00C33362"/>
    <w:rsid w:val="00C47864"/>
    <w:rsid w:val="00C528B3"/>
    <w:rsid w:val="00C52B2B"/>
    <w:rsid w:val="00C53602"/>
    <w:rsid w:val="00C77332"/>
    <w:rsid w:val="00C83F29"/>
    <w:rsid w:val="00CA5CD5"/>
    <w:rsid w:val="00CE4C80"/>
    <w:rsid w:val="00CE7A0E"/>
    <w:rsid w:val="00CF0671"/>
    <w:rsid w:val="00CF4ADE"/>
    <w:rsid w:val="00D20562"/>
    <w:rsid w:val="00D56FBF"/>
    <w:rsid w:val="00D81609"/>
    <w:rsid w:val="00DA3A83"/>
    <w:rsid w:val="00DB0D2B"/>
    <w:rsid w:val="00DC0D31"/>
    <w:rsid w:val="00E124DF"/>
    <w:rsid w:val="00E21DD7"/>
    <w:rsid w:val="00E4337C"/>
    <w:rsid w:val="00E56EBF"/>
    <w:rsid w:val="00E56F06"/>
    <w:rsid w:val="00E576CC"/>
    <w:rsid w:val="00E8795B"/>
    <w:rsid w:val="00EB277E"/>
    <w:rsid w:val="00EB7B3B"/>
    <w:rsid w:val="00F01373"/>
    <w:rsid w:val="00F14DB8"/>
    <w:rsid w:val="00F3454D"/>
    <w:rsid w:val="00F3737B"/>
    <w:rsid w:val="00F6315A"/>
    <w:rsid w:val="00FF6CDB"/>
    <w:rsid w:val="01582EB3"/>
    <w:rsid w:val="01670A75"/>
    <w:rsid w:val="01D92F4B"/>
    <w:rsid w:val="021D09AE"/>
    <w:rsid w:val="02317CA1"/>
    <w:rsid w:val="02C26D17"/>
    <w:rsid w:val="032B2B72"/>
    <w:rsid w:val="03633F1C"/>
    <w:rsid w:val="03877CF5"/>
    <w:rsid w:val="03971CD2"/>
    <w:rsid w:val="03997587"/>
    <w:rsid w:val="03A73B20"/>
    <w:rsid w:val="04D27C6A"/>
    <w:rsid w:val="04DA6E85"/>
    <w:rsid w:val="054E0E8D"/>
    <w:rsid w:val="05901C8F"/>
    <w:rsid w:val="059D199E"/>
    <w:rsid w:val="06516202"/>
    <w:rsid w:val="065A73D7"/>
    <w:rsid w:val="068D56CD"/>
    <w:rsid w:val="068F1656"/>
    <w:rsid w:val="06CE3C39"/>
    <w:rsid w:val="070745F4"/>
    <w:rsid w:val="0750320D"/>
    <w:rsid w:val="080C427F"/>
    <w:rsid w:val="08496DC5"/>
    <w:rsid w:val="08601190"/>
    <w:rsid w:val="08610C17"/>
    <w:rsid w:val="08AB76E6"/>
    <w:rsid w:val="08B17C7F"/>
    <w:rsid w:val="09794F69"/>
    <w:rsid w:val="09BC7107"/>
    <w:rsid w:val="09C86481"/>
    <w:rsid w:val="09CD6F6A"/>
    <w:rsid w:val="0ABD2EA9"/>
    <w:rsid w:val="0AF02B7A"/>
    <w:rsid w:val="0B0C0657"/>
    <w:rsid w:val="0B2F7E6E"/>
    <w:rsid w:val="0B7057C8"/>
    <w:rsid w:val="0BF51CAC"/>
    <w:rsid w:val="0C327E5C"/>
    <w:rsid w:val="0D66464C"/>
    <w:rsid w:val="0D8439BF"/>
    <w:rsid w:val="0DCA24E7"/>
    <w:rsid w:val="0E1905E8"/>
    <w:rsid w:val="0E6B081A"/>
    <w:rsid w:val="0E812A35"/>
    <w:rsid w:val="0F3A7BBE"/>
    <w:rsid w:val="0FB146BC"/>
    <w:rsid w:val="10D0376E"/>
    <w:rsid w:val="11D75F2F"/>
    <w:rsid w:val="11D802DB"/>
    <w:rsid w:val="121401BA"/>
    <w:rsid w:val="12271E1A"/>
    <w:rsid w:val="122B009F"/>
    <w:rsid w:val="12946208"/>
    <w:rsid w:val="13150B0C"/>
    <w:rsid w:val="135D03D9"/>
    <w:rsid w:val="13A17616"/>
    <w:rsid w:val="144F5DF3"/>
    <w:rsid w:val="149264E6"/>
    <w:rsid w:val="14A04A70"/>
    <w:rsid w:val="14F31DE2"/>
    <w:rsid w:val="15127621"/>
    <w:rsid w:val="156A2C3E"/>
    <w:rsid w:val="157A3189"/>
    <w:rsid w:val="15E37C52"/>
    <w:rsid w:val="169221B4"/>
    <w:rsid w:val="16EA0A1B"/>
    <w:rsid w:val="17A617C9"/>
    <w:rsid w:val="181D0AF6"/>
    <w:rsid w:val="18E12A26"/>
    <w:rsid w:val="1A2F34CF"/>
    <w:rsid w:val="1B0B6786"/>
    <w:rsid w:val="1B2F536A"/>
    <w:rsid w:val="1BCC4E67"/>
    <w:rsid w:val="1BE24A05"/>
    <w:rsid w:val="1C12375B"/>
    <w:rsid w:val="1C2E1750"/>
    <w:rsid w:val="1C8A5079"/>
    <w:rsid w:val="1D520C3E"/>
    <w:rsid w:val="1DA340AC"/>
    <w:rsid w:val="1E2F4E67"/>
    <w:rsid w:val="1E506972"/>
    <w:rsid w:val="1E8146FC"/>
    <w:rsid w:val="1E8C7777"/>
    <w:rsid w:val="1E9B145E"/>
    <w:rsid w:val="1EC8639D"/>
    <w:rsid w:val="1EC97805"/>
    <w:rsid w:val="1EFB07B0"/>
    <w:rsid w:val="1F6101B7"/>
    <w:rsid w:val="1FABD71D"/>
    <w:rsid w:val="202C34F0"/>
    <w:rsid w:val="20505929"/>
    <w:rsid w:val="2093268B"/>
    <w:rsid w:val="228770CD"/>
    <w:rsid w:val="22A211C8"/>
    <w:rsid w:val="22F75B35"/>
    <w:rsid w:val="236906A5"/>
    <w:rsid w:val="23BA0D09"/>
    <w:rsid w:val="24593BF8"/>
    <w:rsid w:val="24BA0C0F"/>
    <w:rsid w:val="250B61A3"/>
    <w:rsid w:val="259F5563"/>
    <w:rsid w:val="25A662F9"/>
    <w:rsid w:val="25AD749C"/>
    <w:rsid w:val="25AE4162"/>
    <w:rsid w:val="261B2634"/>
    <w:rsid w:val="26872640"/>
    <w:rsid w:val="26C653DA"/>
    <w:rsid w:val="26EC5D21"/>
    <w:rsid w:val="27615821"/>
    <w:rsid w:val="27A13E6E"/>
    <w:rsid w:val="27A644E5"/>
    <w:rsid w:val="27D61221"/>
    <w:rsid w:val="28863E70"/>
    <w:rsid w:val="288A6337"/>
    <w:rsid w:val="28994B2A"/>
    <w:rsid w:val="28CD1B01"/>
    <w:rsid w:val="290441D9"/>
    <w:rsid w:val="292E4395"/>
    <w:rsid w:val="29867FF5"/>
    <w:rsid w:val="29D72E63"/>
    <w:rsid w:val="29F01BC9"/>
    <w:rsid w:val="2A1248CB"/>
    <w:rsid w:val="2A24302B"/>
    <w:rsid w:val="2A7456B8"/>
    <w:rsid w:val="2B330D0F"/>
    <w:rsid w:val="2C3B01C9"/>
    <w:rsid w:val="2CB024EC"/>
    <w:rsid w:val="2D2B1A30"/>
    <w:rsid w:val="2D5BB7F4"/>
    <w:rsid w:val="2DA87FE3"/>
    <w:rsid w:val="2DAB1C1C"/>
    <w:rsid w:val="2E6455AA"/>
    <w:rsid w:val="2E6E5875"/>
    <w:rsid w:val="2EAA1E45"/>
    <w:rsid w:val="2EBA2F30"/>
    <w:rsid w:val="2F8573F4"/>
    <w:rsid w:val="2FFC60D8"/>
    <w:rsid w:val="2FFD4B55"/>
    <w:rsid w:val="31F32BCC"/>
    <w:rsid w:val="322D5537"/>
    <w:rsid w:val="32500429"/>
    <w:rsid w:val="32B00783"/>
    <w:rsid w:val="33987EA4"/>
    <w:rsid w:val="33E55770"/>
    <w:rsid w:val="342060B3"/>
    <w:rsid w:val="343041E9"/>
    <w:rsid w:val="343E2C5A"/>
    <w:rsid w:val="34E404B6"/>
    <w:rsid w:val="353874A5"/>
    <w:rsid w:val="356C4B0F"/>
    <w:rsid w:val="357756D0"/>
    <w:rsid w:val="35F83418"/>
    <w:rsid w:val="35FA3DA7"/>
    <w:rsid w:val="36433E0B"/>
    <w:rsid w:val="3685618C"/>
    <w:rsid w:val="369B027F"/>
    <w:rsid w:val="36DF7E92"/>
    <w:rsid w:val="37210A48"/>
    <w:rsid w:val="37C605ED"/>
    <w:rsid w:val="37EC07D4"/>
    <w:rsid w:val="39054161"/>
    <w:rsid w:val="395157DA"/>
    <w:rsid w:val="39D81DB4"/>
    <w:rsid w:val="39DD1F63"/>
    <w:rsid w:val="3A875795"/>
    <w:rsid w:val="3B3A6848"/>
    <w:rsid w:val="3B5C22DF"/>
    <w:rsid w:val="3C7702D9"/>
    <w:rsid w:val="3C822FFF"/>
    <w:rsid w:val="3C987755"/>
    <w:rsid w:val="3CC35CF4"/>
    <w:rsid w:val="3D1712DB"/>
    <w:rsid w:val="3D6E4CFB"/>
    <w:rsid w:val="3DB948D9"/>
    <w:rsid w:val="3DED19CC"/>
    <w:rsid w:val="3E551C1D"/>
    <w:rsid w:val="3E6D1878"/>
    <w:rsid w:val="3EAA16DD"/>
    <w:rsid w:val="3EE7006C"/>
    <w:rsid w:val="3F043070"/>
    <w:rsid w:val="3F397145"/>
    <w:rsid w:val="419141BF"/>
    <w:rsid w:val="41C515FE"/>
    <w:rsid w:val="41F26234"/>
    <w:rsid w:val="42955F29"/>
    <w:rsid w:val="42C52D12"/>
    <w:rsid w:val="42EA0B90"/>
    <w:rsid w:val="436E1D48"/>
    <w:rsid w:val="442221E6"/>
    <w:rsid w:val="44FC0AD9"/>
    <w:rsid w:val="45C66F5A"/>
    <w:rsid w:val="464311BD"/>
    <w:rsid w:val="46762869"/>
    <w:rsid w:val="46800ECA"/>
    <w:rsid w:val="46D65DFF"/>
    <w:rsid w:val="46ED43C8"/>
    <w:rsid w:val="47655748"/>
    <w:rsid w:val="481F5D29"/>
    <w:rsid w:val="485B08F6"/>
    <w:rsid w:val="48E65506"/>
    <w:rsid w:val="49A95325"/>
    <w:rsid w:val="49C60D15"/>
    <w:rsid w:val="49EE18E7"/>
    <w:rsid w:val="4C72500A"/>
    <w:rsid w:val="4D7A6EA9"/>
    <w:rsid w:val="4E470451"/>
    <w:rsid w:val="4E5A4E46"/>
    <w:rsid w:val="4E776E4B"/>
    <w:rsid w:val="4EBE5040"/>
    <w:rsid w:val="4EC635D4"/>
    <w:rsid w:val="4ED6498C"/>
    <w:rsid w:val="4EF42DDE"/>
    <w:rsid w:val="4F021DFD"/>
    <w:rsid w:val="4F4E29DD"/>
    <w:rsid w:val="4FA93361"/>
    <w:rsid w:val="4FD44818"/>
    <w:rsid w:val="50491464"/>
    <w:rsid w:val="50EB4351"/>
    <w:rsid w:val="513E3E14"/>
    <w:rsid w:val="516E5D30"/>
    <w:rsid w:val="519A61B8"/>
    <w:rsid w:val="529328AD"/>
    <w:rsid w:val="52A26688"/>
    <w:rsid w:val="52C3106D"/>
    <w:rsid w:val="532D1C0A"/>
    <w:rsid w:val="53583E88"/>
    <w:rsid w:val="54D72BF4"/>
    <w:rsid w:val="54F6709D"/>
    <w:rsid w:val="566138B1"/>
    <w:rsid w:val="56832AE6"/>
    <w:rsid w:val="56F540E8"/>
    <w:rsid w:val="576B6402"/>
    <w:rsid w:val="57814C22"/>
    <w:rsid w:val="579303E0"/>
    <w:rsid w:val="57BD125F"/>
    <w:rsid w:val="57DB4D69"/>
    <w:rsid w:val="58CB2B06"/>
    <w:rsid w:val="59005937"/>
    <w:rsid w:val="596D5572"/>
    <w:rsid w:val="59DC23BD"/>
    <w:rsid w:val="5A106A61"/>
    <w:rsid w:val="5B012DD6"/>
    <w:rsid w:val="5B4A303E"/>
    <w:rsid w:val="5B867F38"/>
    <w:rsid w:val="5BBF1EDC"/>
    <w:rsid w:val="5C0D5EDF"/>
    <w:rsid w:val="5CCB520D"/>
    <w:rsid w:val="5CDE5F6B"/>
    <w:rsid w:val="5CE729B2"/>
    <w:rsid w:val="5D072615"/>
    <w:rsid w:val="5D820B03"/>
    <w:rsid w:val="5DDC291B"/>
    <w:rsid w:val="5DE919D2"/>
    <w:rsid w:val="5DE96BF2"/>
    <w:rsid w:val="5E3B56D9"/>
    <w:rsid w:val="5E7F01AB"/>
    <w:rsid w:val="5E910416"/>
    <w:rsid w:val="5FC652D8"/>
    <w:rsid w:val="6043407E"/>
    <w:rsid w:val="605F74B4"/>
    <w:rsid w:val="607B68FE"/>
    <w:rsid w:val="617007B5"/>
    <w:rsid w:val="61E56E86"/>
    <w:rsid w:val="621870FC"/>
    <w:rsid w:val="62DA2A3D"/>
    <w:rsid w:val="637B3A8F"/>
    <w:rsid w:val="63A65E89"/>
    <w:rsid w:val="65001203"/>
    <w:rsid w:val="65737FA2"/>
    <w:rsid w:val="65D920E1"/>
    <w:rsid w:val="65D9655D"/>
    <w:rsid w:val="6637149C"/>
    <w:rsid w:val="6656630C"/>
    <w:rsid w:val="66EC0C69"/>
    <w:rsid w:val="67AD24B8"/>
    <w:rsid w:val="67F5DAB5"/>
    <w:rsid w:val="68261741"/>
    <w:rsid w:val="693E2FAD"/>
    <w:rsid w:val="698062FC"/>
    <w:rsid w:val="69BD5EE8"/>
    <w:rsid w:val="6A740B43"/>
    <w:rsid w:val="6ABD46BF"/>
    <w:rsid w:val="6AF730BD"/>
    <w:rsid w:val="6B617BE2"/>
    <w:rsid w:val="6BA66029"/>
    <w:rsid w:val="6CA041B2"/>
    <w:rsid w:val="6DDD5EBF"/>
    <w:rsid w:val="6DFC4CD2"/>
    <w:rsid w:val="6E2E2D6D"/>
    <w:rsid w:val="6E3F51B6"/>
    <w:rsid w:val="6E460B96"/>
    <w:rsid w:val="6EA82131"/>
    <w:rsid w:val="6F046708"/>
    <w:rsid w:val="6F68529E"/>
    <w:rsid w:val="6FB410D2"/>
    <w:rsid w:val="6FC54BEF"/>
    <w:rsid w:val="706921FA"/>
    <w:rsid w:val="70B22C23"/>
    <w:rsid w:val="71411B5D"/>
    <w:rsid w:val="719931E1"/>
    <w:rsid w:val="7240055A"/>
    <w:rsid w:val="728E0BA0"/>
    <w:rsid w:val="73134A0E"/>
    <w:rsid w:val="736064A7"/>
    <w:rsid w:val="736159D6"/>
    <w:rsid w:val="73F71039"/>
    <w:rsid w:val="73F91498"/>
    <w:rsid w:val="74D5337C"/>
    <w:rsid w:val="74D975E2"/>
    <w:rsid w:val="756B7D6A"/>
    <w:rsid w:val="757C417D"/>
    <w:rsid w:val="759455DB"/>
    <w:rsid w:val="75D160D9"/>
    <w:rsid w:val="762914BB"/>
    <w:rsid w:val="76685F07"/>
    <w:rsid w:val="773A73AB"/>
    <w:rsid w:val="775767BB"/>
    <w:rsid w:val="7779068F"/>
    <w:rsid w:val="77B92148"/>
    <w:rsid w:val="77FFE39F"/>
    <w:rsid w:val="781B1736"/>
    <w:rsid w:val="78F051A8"/>
    <w:rsid w:val="79EF18A6"/>
    <w:rsid w:val="7A903B21"/>
    <w:rsid w:val="7AC3080E"/>
    <w:rsid w:val="7CF2196B"/>
    <w:rsid w:val="7D2E7430"/>
    <w:rsid w:val="7D993EC8"/>
    <w:rsid w:val="7D9A013D"/>
    <w:rsid w:val="7E9160CF"/>
    <w:rsid w:val="7EC677D3"/>
    <w:rsid w:val="7FDC2489"/>
    <w:rsid w:val="7FFDEEFD"/>
    <w:rsid w:val="BBFEB28B"/>
    <w:rsid w:val="D74FDF30"/>
    <w:rsid w:val="DEAEE68D"/>
    <w:rsid w:val="F7F97754"/>
    <w:rsid w:val="FB7FC3E7"/>
    <w:rsid w:val="FF3F61B6"/>
    <w:rsid w:val="FFC7E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4"/>
    <w:qFormat/>
    <w:uiPriority w:val="9"/>
    <w:pPr>
      <w:keepNext/>
      <w:keepLines/>
      <w:spacing w:before="340" w:after="330" w:line="578" w:lineRule="atLeast"/>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tLeast"/>
      <w:outlineLvl w:val="1"/>
    </w:pPr>
    <w:rPr>
      <w:rFonts w:ascii="Cambria" w:hAnsi="Cambria"/>
      <w:b/>
      <w:bCs/>
      <w:sz w:val="32"/>
      <w:szCs w:val="32"/>
    </w:rPr>
  </w:style>
  <w:style w:type="paragraph" w:styleId="4">
    <w:name w:val="heading 3"/>
    <w:basedOn w:val="1"/>
    <w:next w:val="1"/>
    <w:link w:val="16"/>
    <w:unhideWhenUsed/>
    <w:qFormat/>
    <w:uiPriority w:val="9"/>
    <w:pPr>
      <w:keepNext/>
      <w:keepLines/>
      <w:spacing w:before="260" w:after="260" w:line="416" w:lineRule="atLeast"/>
      <w:outlineLvl w:val="2"/>
    </w:pPr>
    <w:rPr>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styleId="6">
    <w:name w:val="Balloon Text"/>
    <w:basedOn w:val="1"/>
    <w:link w:val="17"/>
    <w:unhideWhenUsed/>
    <w:qFormat/>
    <w:uiPriority w:val="99"/>
    <w:pPr>
      <w:spacing w:line="240" w:lineRule="auto"/>
    </w:pPr>
    <w:rPr>
      <w:sz w:val="18"/>
      <w:szCs w:val="18"/>
    </w:rPr>
  </w:style>
  <w:style w:type="paragraph" w:styleId="7">
    <w:name w:val="footer"/>
    <w:basedOn w:val="1"/>
    <w:link w:val="18"/>
    <w:unhideWhenUsed/>
    <w:qFormat/>
    <w:uiPriority w:val="0"/>
    <w:pPr>
      <w:tabs>
        <w:tab w:val="center" w:pos="4153"/>
        <w:tab w:val="right" w:pos="8306"/>
      </w:tabs>
      <w:snapToGrid w:val="0"/>
      <w:spacing w:line="240" w:lineRule="atLeast"/>
    </w:pPr>
    <w:rPr>
      <w:sz w:val="18"/>
      <w:szCs w:val="18"/>
    </w:rPr>
  </w:style>
  <w:style w:type="paragraph" w:styleId="8">
    <w:name w:val="header"/>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character" w:styleId="13">
    <w:name w:val="Hyperlink"/>
    <w:unhideWhenUsed/>
    <w:qFormat/>
    <w:uiPriority w:val="99"/>
    <w:rPr>
      <w:color w:val="0000FF"/>
      <w:u w:val="single"/>
    </w:rPr>
  </w:style>
  <w:style w:type="character" w:customStyle="1" w:styleId="14">
    <w:name w:val="标题 1 字符"/>
    <w:link w:val="2"/>
    <w:qFormat/>
    <w:uiPriority w:val="9"/>
    <w:rPr>
      <w:b/>
      <w:bCs/>
      <w:kern w:val="44"/>
      <w:sz w:val="44"/>
      <w:szCs w:val="44"/>
    </w:rPr>
  </w:style>
  <w:style w:type="character" w:customStyle="1" w:styleId="15">
    <w:name w:val="标题 2 字符"/>
    <w:link w:val="3"/>
    <w:semiHidden/>
    <w:qFormat/>
    <w:uiPriority w:val="9"/>
    <w:rPr>
      <w:rFonts w:ascii="Cambria" w:hAnsi="Cambria" w:eastAsia="宋体" w:cs="Times New Roman"/>
      <w:b/>
      <w:bCs/>
      <w:sz w:val="32"/>
      <w:szCs w:val="32"/>
    </w:rPr>
  </w:style>
  <w:style w:type="character" w:customStyle="1" w:styleId="16">
    <w:name w:val="标题 3 字符"/>
    <w:link w:val="4"/>
    <w:semiHidden/>
    <w:qFormat/>
    <w:uiPriority w:val="9"/>
    <w:rPr>
      <w:b/>
      <w:bCs/>
      <w:sz w:val="32"/>
      <w:szCs w:val="32"/>
    </w:rPr>
  </w:style>
  <w:style w:type="character" w:customStyle="1" w:styleId="17">
    <w:name w:val="批注框文本 字符"/>
    <w:link w:val="6"/>
    <w:semiHidden/>
    <w:qFormat/>
    <w:uiPriority w:val="99"/>
    <w:rPr>
      <w:sz w:val="18"/>
      <w:szCs w:val="18"/>
    </w:rPr>
  </w:style>
  <w:style w:type="character" w:customStyle="1" w:styleId="18">
    <w:name w:val="页脚 字符"/>
    <w:link w:val="7"/>
    <w:semiHidden/>
    <w:qFormat/>
    <w:uiPriority w:val="0"/>
    <w:rPr>
      <w:sz w:val="18"/>
      <w:szCs w:val="18"/>
    </w:rPr>
  </w:style>
  <w:style w:type="character" w:customStyle="1" w:styleId="19">
    <w:name w:val="页眉 字符"/>
    <w:link w:val="8"/>
    <w:semiHidden/>
    <w:qFormat/>
    <w:uiPriority w:val="0"/>
    <w:rPr>
      <w:sz w:val="18"/>
      <w:szCs w:val="18"/>
    </w:rPr>
  </w:style>
  <w:style w:type="paragraph" w:customStyle="1" w:styleId="20">
    <w:name w:val="TOC 标题1"/>
    <w:basedOn w:val="2"/>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940</Words>
  <Characters>5361</Characters>
  <Lines>44</Lines>
  <Paragraphs>12</Paragraphs>
  <TotalTime>4</TotalTime>
  <ScaleCrop>false</ScaleCrop>
  <LinksUpToDate>false</LinksUpToDate>
  <CharactersWithSpaces>6289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2019-07-28T02:37:00Z</dcterms:created>
  <dc:creator>Administrator</dc:creator>
  <cp:lastModifiedBy>Administrator</cp:lastModifiedBy>
  <cp:lastPrinted>2012-09-19T14:00:00Z</cp:lastPrinted>
  <dcterms:modified xsi:type="dcterms:W3CDTF">2023-10-10T08:43:57Z</dcterms:modified>
  <dc:title>附件1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90D74AD8847844C8B6B3F08FF3278CF3_13</vt:lpwstr>
  </property>
</Properties>
</file>