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ascii="黑体" w:hAnsi="黑体" w:eastAsia="黑体" w:cs="黑体"/>
          <w:w w:val="95"/>
          <w:sz w:val="32"/>
          <w:szCs w:val="32"/>
          <w:u w:val="none"/>
          <w:lang w:val="en"/>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240" w:lineRule="auto"/>
        <w:jc w:val="center"/>
        <w:rPr>
          <w:rFonts w:ascii="方正小标宋简体" w:hAnsi="方正小标宋简体" w:eastAsia="方正小标宋简体" w:cs="方正小标宋简体"/>
          <w:sz w:val="48"/>
          <w:szCs w:val="48"/>
          <w:u w:val="none"/>
        </w:rPr>
      </w:pPr>
      <w:r>
        <w:rPr>
          <w:rFonts w:hint="eastAsia" w:ascii="方正小标宋简体" w:hAnsi="方正小标宋简体" w:eastAsia="方正小标宋简体" w:cs="方正小标宋简体"/>
          <w:sz w:val="48"/>
          <w:szCs w:val="48"/>
          <w:u w:val="none"/>
        </w:rPr>
        <w:t>天津市津南区北闸口镇退役军人服务站</w:t>
      </w:r>
    </w:p>
    <w:p>
      <w:pPr>
        <w:spacing w:line="580" w:lineRule="exact"/>
        <w:jc w:val="center"/>
        <w:rPr>
          <w:rFonts w:ascii="方正小标宋简体" w:hAnsi="方正小标宋简体" w:eastAsia="方正小标宋简体" w:cs="方正小标宋简体"/>
          <w:sz w:val="48"/>
          <w:szCs w:val="48"/>
          <w:u w:val="none"/>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r>
        <w:rPr>
          <w:rFonts w:hint="eastAsia" w:ascii="方正小标宋简体" w:hAnsi="方正小标宋简体" w:eastAsia="方正小标宋简体" w:cs="方正小标宋简体"/>
          <w:sz w:val="48"/>
          <w:szCs w:val="48"/>
          <w:u w:val="none"/>
        </w:rPr>
        <w:t>2022年度部门决算</w:t>
      </w:r>
    </w:p>
    <w:p>
      <w:pPr>
        <w:spacing w:line="600" w:lineRule="exact"/>
        <w:jc w:val="center"/>
        <w:rPr>
          <w:rFonts w:ascii="黑体" w:eastAsia="黑体"/>
          <w:sz w:val="44"/>
          <w:szCs w:val="44"/>
          <w:u w:val="none"/>
        </w:rPr>
      </w:pPr>
    </w:p>
    <w:p>
      <w:pPr>
        <w:spacing w:line="600" w:lineRule="exact"/>
        <w:jc w:val="center"/>
        <w:rPr>
          <w:rFonts w:ascii="黑体" w:eastAsia="黑体"/>
          <w:sz w:val="44"/>
          <w:szCs w:val="44"/>
          <w:u w:val="none"/>
        </w:rPr>
      </w:pPr>
      <w:r>
        <w:rPr>
          <w:rFonts w:hint="eastAsia" w:ascii="黑体" w:eastAsia="黑体"/>
          <w:sz w:val="44"/>
          <w:szCs w:val="44"/>
          <w:u w:val="none"/>
        </w:rPr>
        <w:t>目   录</w:t>
      </w:r>
    </w:p>
    <w:p>
      <w:pPr>
        <w:spacing w:line="600" w:lineRule="exact"/>
        <w:rPr>
          <w:rFonts w:ascii="黑体" w:eastAsia="黑体"/>
          <w:sz w:val="30"/>
          <w:szCs w:val="30"/>
          <w:u w:val="none"/>
        </w:rPr>
      </w:pPr>
    </w:p>
    <w:p>
      <w:pPr>
        <w:pStyle w:val="9"/>
        <w:tabs>
          <w:tab w:val="right" w:leader="dot" w:pos="8306"/>
          <w:tab w:val="clear" w:pos="8296"/>
        </w:tabs>
        <w:rPr>
          <w:rFonts w:ascii="仿宋_GB2312" w:hAnsi="Times New Roman" w:eastAsia="仿宋_GB2312" w:cs="Times New Roman"/>
          <w:sz w:val="30"/>
          <w:szCs w:val="30"/>
          <w:u w:val="none"/>
        </w:rPr>
      </w:pP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TOC \o "1-3" \h \z \u </w:instrText>
      </w:r>
      <w:r>
        <w:rPr>
          <w:rFonts w:hint="eastAsia" w:ascii="仿宋_GB2312" w:hAnsi="Times New Roman" w:eastAsia="仿宋_GB2312" w:cs="Times New Roman"/>
          <w:sz w:val="30"/>
          <w:szCs w:val="30"/>
          <w:u w:val="none"/>
        </w:rPr>
        <w:fldChar w:fldCharType="separate"/>
      </w:r>
      <w:r>
        <w:rPr>
          <w:u w:val="none"/>
        </w:rPr>
        <w:fldChar w:fldCharType="begin"/>
      </w:r>
      <w:r>
        <w:rPr>
          <w:u w:val="none"/>
        </w:rPr>
        <w:instrText xml:space="preserve"> HYPERLINK \l "_Toc859" </w:instrText>
      </w:r>
      <w:r>
        <w:rPr>
          <w:u w:val="none"/>
        </w:rPr>
        <w:fldChar w:fldCharType="separate"/>
      </w:r>
      <w:r>
        <w:rPr>
          <w:rFonts w:hint="eastAsia" w:ascii="仿宋_GB2312" w:hAnsi="Times New Roman" w:eastAsia="仿宋_GB2312" w:cs="Times New Roman"/>
          <w:sz w:val="30"/>
          <w:szCs w:val="30"/>
          <w:u w:val="none"/>
        </w:rPr>
        <w:t>第一部分  概 况</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_Toc859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1</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"_Toc21919" </w:instrText>
      </w:r>
      <w:r>
        <w:rPr>
          <w:u w:val="none"/>
        </w:rPr>
        <w:fldChar w:fldCharType="separate"/>
      </w:r>
      <w:r>
        <w:rPr>
          <w:rFonts w:hint="eastAsia" w:ascii="仿宋_GB2312" w:hAnsi="Times New Roman" w:eastAsia="仿宋_GB2312"/>
          <w:sz w:val="30"/>
          <w:szCs w:val="30"/>
          <w:u w:val="none"/>
        </w:rPr>
        <w:t>一、主要职责</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_Toc21919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1</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"_Toc17388" </w:instrText>
      </w:r>
      <w:r>
        <w:rPr>
          <w:u w:val="none"/>
        </w:rPr>
        <w:fldChar w:fldCharType="separate"/>
      </w:r>
      <w:r>
        <w:rPr>
          <w:rFonts w:hint="eastAsia" w:ascii="仿宋_GB2312" w:hAnsi="Times New Roman" w:eastAsia="仿宋_GB2312"/>
          <w:sz w:val="30"/>
          <w:szCs w:val="30"/>
          <w:u w:val="none"/>
        </w:rPr>
        <w:t>二、机构设置</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_Toc17388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1</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"_Toc24747" </w:instrText>
      </w:r>
      <w:r>
        <w:rPr>
          <w:u w:val="none"/>
        </w:rPr>
        <w:fldChar w:fldCharType="separate"/>
      </w:r>
      <w:r>
        <w:rPr>
          <w:rFonts w:hint="eastAsia" w:ascii="仿宋_GB2312" w:hAnsi="Times New Roman" w:eastAsia="仿宋_GB2312" w:cs="Times New Roman"/>
          <w:sz w:val="30"/>
          <w:szCs w:val="30"/>
          <w:u w:val="none"/>
        </w:rPr>
        <w:t>第二部分  2022年度部门决算表</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_Toc24747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2</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"_Toc20142" </w:instrText>
      </w:r>
      <w:r>
        <w:rPr>
          <w:u w:val="none"/>
        </w:rPr>
        <w:fldChar w:fldCharType="separate"/>
      </w:r>
      <w:r>
        <w:rPr>
          <w:rFonts w:hint="eastAsia" w:ascii="仿宋_GB2312" w:hAnsi="Times New Roman" w:eastAsia="仿宋_GB2312"/>
          <w:sz w:val="30"/>
          <w:szCs w:val="30"/>
          <w:u w:val="none"/>
        </w:rPr>
        <w:t>一、《收入支出决算总表》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_Toc20142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"_Toc1616" </w:instrText>
      </w:r>
      <w:r>
        <w:rPr>
          <w:u w:val="none"/>
        </w:rPr>
        <w:fldChar w:fldCharType="separate"/>
      </w:r>
      <w:r>
        <w:rPr>
          <w:rFonts w:hint="eastAsia" w:ascii="仿宋_GB2312" w:hAnsi="Times New Roman" w:eastAsia="仿宋_GB2312"/>
          <w:sz w:val="30"/>
          <w:szCs w:val="30"/>
          <w:u w:val="none"/>
        </w:rPr>
        <w:t>二、《收入决算表（按功能分类列示）》</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_Toc1616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"_Toc12050" </w:instrText>
      </w:r>
      <w:r>
        <w:rPr>
          <w:u w:val="none"/>
        </w:rPr>
        <w:fldChar w:fldCharType="separate"/>
      </w:r>
      <w:r>
        <w:rPr>
          <w:rFonts w:hint="eastAsia" w:ascii="仿宋_GB2312" w:hAnsi="Times New Roman" w:eastAsia="仿宋_GB2312"/>
          <w:sz w:val="30"/>
          <w:szCs w:val="30"/>
          <w:u w:val="none"/>
        </w:rPr>
        <w:t>三、《收入决算表（按单位列示）》</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_Toc12050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"_Toc1989" </w:instrText>
      </w:r>
      <w:r>
        <w:rPr>
          <w:u w:val="none"/>
        </w:rPr>
        <w:fldChar w:fldCharType="separate"/>
      </w:r>
      <w:r>
        <w:rPr>
          <w:rFonts w:hint="eastAsia" w:ascii="仿宋_GB2312" w:hAnsi="Times New Roman" w:eastAsia="仿宋_GB2312"/>
          <w:sz w:val="30"/>
          <w:szCs w:val="30"/>
          <w:u w:val="none"/>
        </w:rPr>
        <w:t>四、《支出决算表》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_Toc1989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"_Toc32498" </w:instrText>
      </w:r>
      <w:r>
        <w:rPr>
          <w:u w:val="none"/>
        </w:rPr>
        <w:fldChar w:fldCharType="separate"/>
      </w:r>
      <w:r>
        <w:rPr>
          <w:rFonts w:hint="eastAsia" w:ascii="仿宋_GB2312" w:hAnsi="Times New Roman" w:eastAsia="仿宋_GB2312"/>
          <w:sz w:val="30"/>
          <w:szCs w:val="30"/>
          <w:u w:val="none"/>
        </w:rPr>
        <w:t>五、《财政拨款收入支出决算总表》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_Toc32498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"_Toc26379" </w:instrText>
      </w:r>
      <w:r>
        <w:rPr>
          <w:u w:val="none"/>
        </w:rPr>
        <w:fldChar w:fldCharType="separate"/>
      </w:r>
      <w:r>
        <w:rPr>
          <w:rFonts w:hint="eastAsia" w:ascii="仿宋_GB2312" w:hAnsi="Times New Roman" w:eastAsia="仿宋_GB2312"/>
          <w:sz w:val="30"/>
          <w:szCs w:val="30"/>
          <w:u w:val="none"/>
        </w:rPr>
        <w:t>六、《一般公共预算财政拨款支出决算表》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_Toc26379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"_Toc4498" </w:instrText>
      </w:r>
      <w:r>
        <w:rPr>
          <w:u w:val="none"/>
        </w:rPr>
        <w:fldChar w:fldCharType="separate"/>
      </w:r>
      <w:r>
        <w:rPr>
          <w:rFonts w:hint="eastAsia" w:ascii="仿宋_GB2312" w:hAnsi="Times New Roman" w:eastAsia="仿宋_GB2312"/>
          <w:sz w:val="30"/>
          <w:szCs w:val="30"/>
          <w:u w:val="none"/>
        </w:rPr>
        <w:t>七、《一般公共预算财政拨款基本支出决算表》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_Toc4498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"_Toc18038" </w:instrText>
      </w:r>
      <w:r>
        <w:rPr>
          <w:u w:val="none"/>
        </w:rPr>
        <w:fldChar w:fldCharType="separate"/>
      </w:r>
      <w:r>
        <w:rPr>
          <w:rFonts w:hint="eastAsia" w:ascii="仿宋_GB2312" w:hAnsi="Times New Roman" w:eastAsia="仿宋_GB2312"/>
          <w:sz w:val="30"/>
          <w:szCs w:val="30"/>
          <w:u w:val="none"/>
        </w:rPr>
        <w:t>八、《政府性基金预算财政拨款收入支出决算表》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_Toc18038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"_Toc13200" </w:instrText>
      </w:r>
      <w:r>
        <w:rPr>
          <w:u w:val="none"/>
        </w:rPr>
        <w:fldChar w:fldCharType="separate"/>
      </w:r>
      <w:r>
        <w:rPr>
          <w:rFonts w:hint="eastAsia" w:ascii="仿宋_GB2312" w:hAnsi="Times New Roman" w:eastAsia="仿宋_GB2312"/>
          <w:sz w:val="30"/>
          <w:szCs w:val="30"/>
          <w:u w:val="none"/>
        </w:rPr>
        <w:t>九、《国有资本经营预算财政拨款收入支出决算表》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_Toc13200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"_Toc3423" </w:instrText>
      </w:r>
      <w:r>
        <w:rPr>
          <w:u w:val="none"/>
        </w:rPr>
        <w:fldChar w:fldCharType="separate"/>
      </w:r>
      <w:r>
        <w:rPr>
          <w:rFonts w:hint="eastAsia" w:ascii="仿宋_GB2312" w:hAnsi="Times New Roman" w:eastAsia="仿宋_GB2312"/>
          <w:sz w:val="30"/>
          <w:szCs w:val="30"/>
          <w:u w:val="none"/>
        </w:rPr>
        <w:t>十、《一般公共预算财政拨款“三公”经费支出决算表》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_Toc3423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"_Toc3915" </w:instrText>
      </w:r>
      <w:r>
        <w:rPr>
          <w:u w:val="none"/>
        </w:rPr>
        <w:fldChar w:fldCharType="separate"/>
      </w:r>
      <w:r>
        <w:rPr>
          <w:rFonts w:hint="eastAsia" w:ascii="仿宋_GB2312" w:hAnsi="Times New Roman" w:eastAsia="仿宋_GB2312"/>
          <w:sz w:val="30"/>
          <w:szCs w:val="30"/>
          <w:u w:val="none"/>
        </w:rPr>
        <w:t>十一、《项目支出决算表》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_Toc3915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"_Toc17260" </w:instrText>
      </w:r>
      <w:r>
        <w:rPr>
          <w:u w:val="none"/>
        </w:rPr>
        <w:fldChar w:fldCharType="separate"/>
      </w:r>
      <w:r>
        <w:rPr>
          <w:rFonts w:hint="eastAsia" w:ascii="仿宋_GB2312" w:hAnsi="Times New Roman" w:eastAsia="仿宋_GB2312"/>
          <w:sz w:val="30"/>
          <w:szCs w:val="30"/>
          <w:u w:val="none"/>
        </w:rPr>
        <w:t>十二、关于空表的说明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_Toc17260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"_Toc396" </w:instrText>
      </w:r>
      <w:r>
        <w:rPr>
          <w:u w:val="none"/>
        </w:rPr>
        <w:fldChar w:fldCharType="separate"/>
      </w:r>
      <w:r>
        <w:rPr>
          <w:rFonts w:hint="eastAsia" w:ascii="仿宋_GB2312" w:hAnsi="Times New Roman" w:eastAsia="仿宋_GB2312" w:cs="Times New Roman"/>
          <w:sz w:val="30"/>
          <w:szCs w:val="30"/>
          <w:u w:val="none"/>
        </w:rPr>
        <w:t>第三部分  2022年度部门决算情况说明</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_Toc396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4</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"_Toc24340" </w:instrText>
      </w:r>
      <w:r>
        <w:rPr>
          <w:u w:val="none"/>
        </w:rPr>
        <w:fldChar w:fldCharType="separate"/>
      </w:r>
      <w:r>
        <w:rPr>
          <w:rFonts w:hint="eastAsia" w:ascii="仿宋_GB2312" w:hAnsi="Times New Roman" w:eastAsia="仿宋_GB2312"/>
          <w:sz w:val="30"/>
          <w:szCs w:val="30"/>
          <w:u w:val="none"/>
        </w:rPr>
        <w:t>一、收入支出决算总体情况说明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_Toc24340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"_Toc18552" </w:instrText>
      </w:r>
      <w:r>
        <w:rPr>
          <w:u w:val="none"/>
        </w:rPr>
        <w:fldChar w:fldCharType="separate"/>
      </w:r>
      <w:r>
        <w:rPr>
          <w:rFonts w:hint="eastAsia" w:ascii="仿宋_GB2312" w:hAnsi="Times New Roman" w:eastAsia="仿宋_GB2312"/>
          <w:sz w:val="30"/>
          <w:szCs w:val="30"/>
          <w:u w:val="none"/>
        </w:rPr>
        <w:t>二、收入决算情况说明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_Toc18552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"_Toc26952" </w:instrText>
      </w:r>
      <w:r>
        <w:rPr>
          <w:u w:val="none"/>
        </w:rPr>
        <w:fldChar w:fldCharType="separate"/>
      </w:r>
      <w:r>
        <w:rPr>
          <w:rFonts w:hint="eastAsia" w:ascii="仿宋_GB2312" w:hAnsi="Times New Roman" w:eastAsia="仿宋_GB2312"/>
          <w:sz w:val="30"/>
          <w:szCs w:val="30"/>
          <w:u w:val="none"/>
        </w:rPr>
        <w:t>三、支出决算情况说明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_Toc26952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"_Toc1812" </w:instrText>
      </w:r>
      <w:r>
        <w:rPr>
          <w:u w:val="none"/>
        </w:rPr>
        <w:fldChar w:fldCharType="separate"/>
      </w:r>
      <w:r>
        <w:rPr>
          <w:rFonts w:hint="eastAsia" w:ascii="仿宋_GB2312" w:hAnsi="Times New Roman" w:eastAsia="仿宋_GB2312"/>
          <w:sz w:val="30"/>
          <w:szCs w:val="30"/>
          <w:u w:val="none"/>
        </w:rPr>
        <w:t>四、财政拨款收支决算总体情况说明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_Toc1812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"_Toc10091" </w:instrText>
      </w:r>
      <w:r>
        <w:rPr>
          <w:u w:val="none"/>
        </w:rPr>
        <w:fldChar w:fldCharType="separate"/>
      </w:r>
      <w:r>
        <w:rPr>
          <w:rFonts w:hint="eastAsia" w:ascii="仿宋_GB2312" w:hAnsi="Times New Roman" w:eastAsia="仿宋_GB2312"/>
          <w:sz w:val="30"/>
          <w:szCs w:val="30"/>
          <w:u w:val="none"/>
        </w:rPr>
        <w:t>五、一般公共预算财政拨款支出决算情况说明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_Toc10091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5</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"_Toc10721" </w:instrText>
      </w:r>
      <w:r>
        <w:rPr>
          <w:u w:val="none"/>
        </w:rPr>
        <w:fldChar w:fldCharType="separate"/>
      </w:r>
      <w:r>
        <w:rPr>
          <w:rFonts w:hint="eastAsia" w:ascii="仿宋_GB2312" w:hAnsi="Times New Roman" w:eastAsia="仿宋_GB2312"/>
          <w:sz w:val="30"/>
          <w:szCs w:val="30"/>
          <w:u w:val="none"/>
        </w:rPr>
        <w:t>六、一般公共预算财政拨款基本支出决算情况说明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_Toc10721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"_Toc17918" </w:instrText>
      </w:r>
      <w:r>
        <w:rPr>
          <w:u w:val="none"/>
        </w:rPr>
        <w:fldChar w:fldCharType="separate"/>
      </w:r>
      <w:r>
        <w:rPr>
          <w:rFonts w:hint="eastAsia" w:ascii="仿宋_GB2312" w:hAnsi="Times New Roman" w:eastAsia="仿宋_GB2312"/>
          <w:sz w:val="30"/>
          <w:szCs w:val="30"/>
          <w:u w:val="none"/>
        </w:rPr>
        <w:t>七、政府性基金预算财政拨款收支决算情况说明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_Toc17918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"_Toc23897" </w:instrText>
      </w:r>
      <w:r>
        <w:rPr>
          <w:u w:val="none"/>
        </w:rPr>
        <w:fldChar w:fldCharType="separate"/>
      </w:r>
      <w:r>
        <w:rPr>
          <w:rFonts w:hint="eastAsia" w:ascii="仿宋_GB2312" w:hAnsi="Times New Roman" w:eastAsia="仿宋_GB2312"/>
          <w:sz w:val="30"/>
          <w:szCs w:val="30"/>
          <w:u w:val="none"/>
        </w:rPr>
        <w:t>八、国有资本经营预算财政拨款收支决算情况说明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_Toc23897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"_Toc4518" </w:instrText>
      </w:r>
      <w:r>
        <w:rPr>
          <w:u w:val="none"/>
        </w:rPr>
        <w:fldChar w:fldCharType="separate"/>
      </w:r>
      <w:r>
        <w:rPr>
          <w:rFonts w:hint="eastAsia" w:ascii="仿宋_GB2312" w:hAnsi="Times New Roman" w:eastAsia="仿宋_GB2312"/>
          <w:sz w:val="30"/>
          <w:szCs w:val="30"/>
          <w:u w:val="none"/>
        </w:rPr>
        <w:t>九、一般公共预算财政拨款“三公”经费支出决算情况说明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_Toc4518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"_Toc3411" </w:instrText>
      </w:r>
      <w:r>
        <w:rPr>
          <w:u w:val="none"/>
        </w:rPr>
        <w:fldChar w:fldCharType="separate"/>
      </w:r>
      <w:r>
        <w:rPr>
          <w:rFonts w:hint="eastAsia" w:ascii="仿宋_GB2312" w:hAnsi="Times New Roman" w:eastAsia="仿宋_GB2312"/>
          <w:sz w:val="30"/>
          <w:szCs w:val="30"/>
          <w:u w:val="none"/>
        </w:rPr>
        <w:t>十、机关运行经费支出情况说明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_Toc3411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"_Toc31102" </w:instrText>
      </w:r>
      <w:r>
        <w:rPr>
          <w:u w:val="none"/>
        </w:rPr>
        <w:fldChar w:fldCharType="separate"/>
      </w:r>
      <w:r>
        <w:rPr>
          <w:rFonts w:hint="eastAsia" w:ascii="仿宋_GB2312" w:hAnsi="Times New Roman" w:eastAsia="仿宋_GB2312"/>
          <w:sz w:val="30"/>
          <w:szCs w:val="30"/>
          <w:u w:val="none"/>
        </w:rPr>
        <w:t>十一、政府采购支出情况说明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_Toc31102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"_Toc23709" </w:instrText>
      </w:r>
      <w:r>
        <w:rPr>
          <w:u w:val="none"/>
        </w:rPr>
        <w:fldChar w:fldCharType="separate"/>
      </w:r>
      <w:r>
        <w:rPr>
          <w:rFonts w:hint="eastAsia" w:ascii="仿宋_GB2312" w:hAnsi="Times New Roman" w:eastAsia="仿宋_GB2312"/>
          <w:sz w:val="30"/>
          <w:szCs w:val="30"/>
          <w:u w:val="none"/>
        </w:rPr>
        <w:t>十二、国有资产占有使用情况说明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_Toc23709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"_Toc11467" </w:instrText>
      </w:r>
      <w:r>
        <w:rPr>
          <w:u w:val="none"/>
        </w:rPr>
        <w:fldChar w:fldCharType="separate"/>
      </w:r>
      <w:r>
        <w:rPr>
          <w:rFonts w:hint="eastAsia" w:ascii="仿宋_GB2312" w:hAnsi="Times New Roman" w:eastAsia="仿宋_GB2312"/>
          <w:sz w:val="30"/>
          <w:szCs w:val="30"/>
          <w:u w:val="none"/>
        </w:rPr>
        <w:t>十三、预算绩效情况说明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_Toc11467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"_Toc15949" </w:instrText>
      </w:r>
      <w:r>
        <w:rPr>
          <w:u w:val="none"/>
        </w:rPr>
        <w:fldChar w:fldCharType="separate"/>
      </w:r>
      <w:r>
        <w:rPr>
          <w:rFonts w:hint="eastAsia" w:ascii="仿宋_GB2312" w:hAnsi="Times New Roman" w:eastAsia="仿宋_GB2312"/>
          <w:sz w:val="30"/>
          <w:szCs w:val="30"/>
          <w:u w:val="none"/>
        </w:rPr>
        <w:t>十四、教育、医疗卫生、社会保障和就业、住房保障、涉农补贴等民生支出情况说明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_Toc15949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9</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"_Toc30612" </w:instrText>
      </w:r>
      <w:r>
        <w:rPr>
          <w:u w:val="none"/>
        </w:rPr>
        <w:fldChar w:fldCharType="separate"/>
      </w:r>
      <w:r>
        <w:rPr>
          <w:rFonts w:hint="eastAsia" w:ascii="仿宋_GB2312" w:hAnsi="Times New Roman" w:eastAsia="仿宋_GB2312" w:cs="Times New Roman"/>
          <w:sz w:val="30"/>
          <w:szCs w:val="30"/>
          <w:u w:val="none"/>
        </w:rPr>
        <w:t>第四部分  名词解释</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_Toc30612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10</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296"/>
        </w:tabs>
        <w:spacing w:after="0" w:line="600" w:lineRule="exact"/>
        <w:rPr>
          <w:rFonts w:ascii="Times New Roman" w:hAnsi="Times New Roman" w:eastAsia="仿宋_GB2312"/>
          <w:sz w:val="32"/>
          <w:szCs w:val="32"/>
          <w:u w:val="none"/>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仿宋_GB2312" w:hAnsi="Times New Roman" w:eastAsia="仿宋_GB2312"/>
          <w:sz w:val="30"/>
          <w:szCs w:val="30"/>
          <w:u w:val="none"/>
        </w:rPr>
        <w:fldChar w:fldCharType="end"/>
      </w:r>
    </w:p>
    <w:p>
      <w:pPr>
        <w:rPr>
          <w:u w:val="none"/>
        </w:rPr>
      </w:pPr>
    </w:p>
    <w:p>
      <w:pPr>
        <w:pStyle w:val="2"/>
        <w:spacing w:before="0" w:after="0" w:line="600" w:lineRule="exact"/>
        <w:jc w:val="center"/>
        <w:rPr>
          <w:rFonts w:ascii="方正小标宋简体" w:hAnsi="方正小标宋简体" w:eastAsia="方正小标宋简体" w:cs="方正小标宋简体"/>
          <w:b w:val="0"/>
          <w:sz w:val="48"/>
          <w:szCs w:val="48"/>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0" w:name="_Toc859"/>
      <w:r>
        <w:rPr>
          <w:rFonts w:hint="eastAsia" w:ascii="方正小标宋简体" w:hAnsi="方正小标宋简体" w:eastAsia="方正小标宋简体" w:cs="方正小标宋简体"/>
          <w:b w:val="0"/>
          <w:u w:val="none"/>
        </w:rPr>
        <w:t>第一部分  概 况</w:t>
      </w:r>
      <w:bookmarkEnd w:id="0"/>
    </w:p>
    <w:p>
      <w:pPr>
        <w:spacing w:line="600" w:lineRule="exact"/>
        <w:rPr>
          <w:u w:val="none"/>
        </w:rPr>
      </w:pPr>
    </w:p>
    <w:p>
      <w:pPr>
        <w:pStyle w:val="3"/>
        <w:numPr>
          <w:ilvl w:val="0"/>
          <w:numId w:val="1"/>
        </w:numPr>
        <w:spacing w:before="0" w:after="0" w:line="600" w:lineRule="exact"/>
        <w:ind w:firstLine="600" w:firstLineChars="200"/>
        <w:rPr>
          <w:rFonts w:hint="eastAsia" w:ascii="黑体" w:hAnsi="黑体" w:eastAsia="黑体"/>
          <w:b w:val="0"/>
          <w:bCs w:val="0"/>
          <w:sz w:val="30"/>
          <w:szCs w:val="30"/>
          <w:u w:val="none"/>
        </w:rPr>
      </w:pPr>
      <w:bookmarkStart w:id="1" w:name="_Toc21919"/>
      <w:r>
        <w:rPr>
          <w:rFonts w:hint="eastAsia" w:ascii="黑体" w:hAnsi="黑体" w:eastAsia="黑体"/>
          <w:b w:val="0"/>
          <w:bCs w:val="0"/>
          <w:sz w:val="30"/>
          <w:szCs w:val="30"/>
          <w:u w:val="none"/>
        </w:rPr>
        <w:t>主要职责</w:t>
      </w:r>
      <w:bookmarkEnd w:id="1"/>
    </w:p>
    <w:p>
      <w:pPr>
        <w:spacing w:line="600" w:lineRule="exact"/>
        <w:ind w:firstLine="600" w:firstLineChars="200"/>
        <w:rPr>
          <w:u w:val="none"/>
        </w:rPr>
      </w:pPr>
      <w:r>
        <w:rPr>
          <w:rFonts w:hint="eastAsia" w:ascii="仿宋_GB2312" w:eastAsia="仿宋_GB2312" w:cs="仿宋_GB2312"/>
          <w:sz w:val="30"/>
          <w:szCs w:val="30"/>
          <w:u w:val="none"/>
          <w:lang w:eastAsia="zh-CN"/>
        </w:rPr>
        <w:t>负责退役军人的慰问和抚恤等服务工作，对全乡范围内全部的退役军人详细进行了全面准确采集并动态更新退役军人基础信息数据。</w:t>
      </w:r>
    </w:p>
    <w:p>
      <w:pPr>
        <w:pStyle w:val="3"/>
        <w:spacing w:before="0" w:after="0" w:line="600" w:lineRule="exact"/>
        <w:ind w:firstLine="600" w:firstLineChars="200"/>
        <w:rPr>
          <w:rFonts w:ascii="黑体" w:hAnsi="黑体" w:eastAsia="黑体"/>
          <w:b w:val="0"/>
          <w:bCs w:val="0"/>
          <w:sz w:val="30"/>
          <w:szCs w:val="30"/>
          <w:u w:val="none"/>
        </w:rPr>
      </w:pPr>
      <w:bookmarkStart w:id="2" w:name="_Toc17388"/>
      <w:r>
        <w:rPr>
          <w:rFonts w:hint="eastAsia" w:ascii="黑体" w:hAnsi="黑体" w:eastAsia="黑体"/>
          <w:b w:val="0"/>
          <w:bCs w:val="0"/>
          <w:sz w:val="30"/>
          <w:szCs w:val="30"/>
          <w:u w:val="none"/>
        </w:rPr>
        <w:t>二、机构设置</w:t>
      </w:r>
      <w:bookmarkEnd w:id="2"/>
    </w:p>
    <w:p>
      <w:pPr>
        <w:spacing w:line="600" w:lineRule="exact"/>
        <w:ind w:firstLine="600" w:firstLineChars="200"/>
        <w:rPr>
          <w:rFonts w:eastAsia="仿宋_GB2312"/>
          <w:sz w:val="30"/>
          <w:szCs w:val="30"/>
          <w:u w:val="none"/>
        </w:rPr>
      </w:pPr>
      <w:r>
        <w:rPr>
          <w:rFonts w:hint="eastAsia" w:ascii="仿宋_GB2312" w:eastAsia="仿宋_GB2312" w:cs="仿宋_GB2312"/>
          <w:sz w:val="30"/>
          <w:szCs w:val="30"/>
          <w:u w:val="none"/>
        </w:rPr>
        <w:t>天津市津南区北闸口镇退役军人服务站部门</w:t>
      </w:r>
      <w:r>
        <w:rPr>
          <w:rFonts w:eastAsia="仿宋_GB2312"/>
          <w:sz w:val="30"/>
          <w:szCs w:val="30"/>
          <w:u w:val="none"/>
        </w:rPr>
        <w:t>内设</w:t>
      </w:r>
      <w:r>
        <w:rPr>
          <w:rFonts w:hint="eastAsia" w:ascii="仿宋_GB2312" w:hAnsi="仿宋_GB2312" w:eastAsia="仿宋_GB2312" w:cs="仿宋_GB2312"/>
          <w:sz w:val="30"/>
          <w:szCs w:val="30"/>
          <w:u w:val="none"/>
          <w:lang w:val="en-US" w:eastAsia="zh-CN"/>
        </w:rPr>
        <w:t>1</w:t>
      </w:r>
      <w:r>
        <w:rPr>
          <w:rFonts w:eastAsia="仿宋_GB2312"/>
          <w:sz w:val="30"/>
          <w:szCs w:val="30"/>
          <w:u w:val="none"/>
        </w:rPr>
        <w:t>个职能处室</w:t>
      </w:r>
      <w:r>
        <w:rPr>
          <w:rFonts w:hint="eastAsia" w:ascii="仿宋_GB2312" w:eastAsia="仿宋_GB2312" w:cs="仿宋_GB2312"/>
          <w:sz w:val="30"/>
          <w:szCs w:val="30"/>
          <w:u w:val="none"/>
        </w:rPr>
        <w:t>。</w:t>
      </w:r>
    </w:p>
    <w:p>
      <w:pPr>
        <w:spacing w:line="600" w:lineRule="exact"/>
        <w:rPr>
          <w:rFonts w:eastAsia="楷体_GB2312"/>
          <w:b/>
          <w:sz w:val="30"/>
          <w:szCs w:val="30"/>
          <w:u w:val="none"/>
        </w:rPr>
        <w:sectPr>
          <w:footerReference r:id="rId6" w:type="default"/>
          <w:pgSz w:w="11906" w:h="16838"/>
          <w:pgMar w:top="1440" w:right="1800" w:bottom="1440" w:left="1800" w:header="851" w:footer="992" w:gutter="0"/>
          <w:pgNumType w:start="1"/>
          <w:cols w:space="720" w:num="1"/>
          <w:docGrid w:type="lines" w:linePitch="312" w:charSpace="0"/>
        </w:sectPr>
      </w:pPr>
      <w:r>
        <w:rPr>
          <w:rFonts w:eastAsia="楷体_GB2312"/>
          <w:b/>
          <w:sz w:val="30"/>
          <w:szCs w:val="30"/>
          <w:u w:val="none"/>
        </w:rPr>
        <w:br w:type="textWrapping"/>
      </w:r>
    </w:p>
    <w:p>
      <w:pPr>
        <w:spacing w:line="600" w:lineRule="exact"/>
        <w:rPr>
          <w:rFonts w:eastAsia="楷体_GB2312"/>
          <w:b/>
          <w:sz w:val="30"/>
          <w:szCs w:val="30"/>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3" w:name="_Toc24747"/>
      <w:r>
        <w:rPr>
          <w:rFonts w:ascii="方正小标宋简体" w:hAnsi="方正小标宋简体" w:eastAsia="方正小标宋简体" w:cs="方正小标宋简体"/>
          <w:b w:val="0"/>
          <w:u w:val="none"/>
        </w:rPr>
        <w:t>第</w:t>
      </w:r>
      <w:r>
        <w:rPr>
          <w:rFonts w:hint="eastAsia" w:ascii="方正小标宋简体" w:hAnsi="方正小标宋简体" w:eastAsia="方正小标宋简体" w:cs="方正小标宋简体"/>
          <w:b w:val="0"/>
          <w:u w:val="none"/>
        </w:rPr>
        <w:t>二</w:t>
      </w:r>
      <w:r>
        <w:rPr>
          <w:rFonts w:ascii="方正小标宋简体" w:hAnsi="方正小标宋简体" w:eastAsia="方正小标宋简体" w:cs="方正小标宋简体"/>
          <w:b w:val="0"/>
          <w:u w:val="none"/>
        </w:rPr>
        <w:t xml:space="preserve">部分  </w:t>
      </w:r>
      <w:r>
        <w:rPr>
          <w:rFonts w:hint="eastAsia" w:ascii="方正小标宋简体" w:hAnsi="方正小标宋简体" w:eastAsia="方正小标宋简体" w:cs="方正小标宋简体"/>
          <w:b w:val="0"/>
          <w:u w:val="none"/>
        </w:rPr>
        <w:t>2022</w:t>
      </w:r>
      <w:r>
        <w:rPr>
          <w:rFonts w:ascii="方正小标宋简体" w:hAnsi="方正小标宋简体" w:eastAsia="方正小标宋简体" w:cs="方正小标宋简体"/>
          <w:b w:val="0"/>
          <w:u w:val="none"/>
        </w:rPr>
        <w:t>年度部门决算</w:t>
      </w:r>
      <w:r>
        <w:rPr>
          <w:rFonts w:hint="eastAsia" w:ascii="方正小标宋简体" w:hAnsi="方正小标宋简体" w:eastAsia="方正小标宋简体" w:cs="方正小标宋简体"/>
          <w:b w:val="0"/>
          <w:u w:val="none"/>
        </w:rPr>
        <w:t>表</w:t>
      </w:r>
      <w:bookmarkEnd w:id="3"/>
    </w:p>
    <w:p>
      <w:pPr>
        <w:spacing w:line="600" w:lineRule="exact"/>
        <w:rPr>
          <w:u w:val="none"/>
        </w:rPr>
      </w:pPr>
    </w:p>
    <w:p>
      <w:pPr>
        <w:pStyle w:val="3"/>
        <w:spacing w:before="0" w:after="0" w:line="800" w:lineRule="exact"/>
        <w:ind w:firstLine="600" w:firstLineChars="200"/>
        <w:rPr>
          <w:rFonts w:ascii="黑体" w:hAnsi="黑体" w:eastAsia="黑体"/>
          <w:b w:val="0"/>
          <w:sz w:val="30"/>
          <w:szCs w:val="30"/>
          <w:u w:val="none"/>
        </w:rPr>
      </w:pPr>
      <w:bookmarkStart w:id="4" w:name="_Toc20142"/>
      <w:r>
        <w:rPr>
          <w:rFonts w:ascii="黑体" w:hAnsi="黑体" w:eastAsia="黑体"/>
          <w:b w:val="0"/>
          <w:sz w:val="30"/>
          <w:szCs w:val="30"/>
          <w:u w:val="none"/>
        </w:rPr>
        <w:t>一</w:t>
      </w:r>
      <w:r>
        <w:rPr>
          <w:rFonts w:hint="eastAsia" w:ascii="黑体" w:hAnsi="黑体" w:eastAsia="黑体"/>
          <w:b w:val="0"/>
          <w:sz w:val="30"/>
          <w:szCs w:val="30"/>
          <w:u w:val="none"/>
        </w:rPr>
        <w:t>、</w:t>
      </w:r>
      <w:r>
        <w:rPr>
          <w:rFonts w:ascii="黑体" w:hAnsi="黑体" w:eastAsia="黑体"/>
          <w:b w:val="0"/>
          <w:sz w:val="30"/>
          <w:szCs w:val="30"/>
          <w:u w:val="none"/>
        </w:rPr>
        <w:t>《</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决算总</w:t>
      </w:r>
      <w:r>
        <w:rPr>
          <w:rFonts w:ascii="黑体" w:hAnsi="黑体" w:eastAsia="黑体"/>
          <w:b w:val="0"/>
          <w:sz w:val="30"/>
          <w:szCs w:val="30"/>
          <w:u w:val="none"/>
        </w:rPr>
        <w:t>表》</w:t>
      </w:r>
      <w:bookmarkEnd w:id="4"/>
    </w:p>
    <w:p>
      <w:pPr>
        <w:pStyle w:val="3"/>
        <w:spacing w:before="0" w:after="0" w:line="800" w:lineRule="exact"/>
        <w:ind w:firstLine="600" w:firstLineChars="200"/>
        <w:rPr>
          <w:rFonts w:ascii="黑体" w:hAnsi="黑体" w:eastAsia="黑体"/>
          <w:b w:val="0"/>
          <w:sz w:val="30"/>
          <w:szCs w:val="30"/>
          <w:u w:val="none"/>
        </w:rPr>
      </w:pPr>
      <w:bookmarkStart w:id="5" w:name="_Toc1616"/>
      <w:r>
        <w:rPr>
          <w:rFonts w:ascii="黑体" w:hAnsi="黑体" w:eastAsia="黑体"/>
          <w:b w:val="0"/>
          <w:sz w:val="30"/>
          <w:szCs w:val="30"/>
          <w:u w:val="none"/>
        </w:rPr>
        <w:t>二、《收入</w:t>
      </w:r>
      <w:r>
        <w:rPr>
          <w:rFonts w:hint="eastAsia" w:ascii="黑体" w:hAnsi="黑体" w:eastAsia="黑体"/>
          <w:b w:val="0"/>
          <w:sz w:val="30"/>
          <w:szCs w:val="30"/>
          <w:u w:val="none"/>
        </w:rPr>
        <w:t>决算</w:t>
      </w:r>
      <w:r>
        <w:rPr>
          <w:rFonts w:ascii="黑体" w:hAnsi="黑体" w:eastAsia="黑体"/>
          <w:b w:val="0"/>
          <w:sz w:val="30"/>
          <w:szCs w:val="30"/>
          <w:u w:val="none"/>
        </w:rPr>
        <w:t>表</w:t>
      </w:r>
      <w:r>
        <w:rPr>
          <w:rFonts w:hint="eastAsia" w:ascii="黑体" w:hAnsi="黑体" w:eastAsia="黑体"/>
          <w:b w:val="0"/>
          <w:sz w:val="30"/>
          <w:szCs w:val="30"/>
          <w:u w:val="none"/>
        </w:rPr>
        <w:t>（按功能分类列示）</w:t>
      </w:r>
      <w:r>
        <w:rPr>
          <w:rFonts w:ascii="黑体" w:hAnsi="黑体" w:eastAsia="黑体"/>
          <w:b w:val="0"/>
          <w:sz w:val="30"/>
          <w:szCs w:val="30"/>
          <w:u w:val="none"/>
        </w:rPr>
        <w:t>》</w:t>
      </w:r>
      <w:bookmarkEnd w:id="5"/>
    </w:p>
    <w:p>
      <w:pPr>
        <w:pStyle w:val="3"/>
        <w:spacing w:before="0" w:after="0" w:line="800" w:lineRule="exact"/>
        <w:ind w:firstLine="600" w:firstLineChars="200"/>
        <w:rPr>
          <w:rFonts w:ascii="黑体" w:hAnsi="黑体" w:eastAsia="黑体"/>
          <w:b w:val="0"/>
          <w:sz w:val="30"/>
          <w:szCs w:val="30"/>
          <w:u w:val="none"/>
        </w:rPr>
      </w:pPr>
      <w:bookmarkStart w:id="6" w:name="_Toc12050"/>
      <w:r>
        <w:rPr>
          <w:rFonts w:hint="eastAsia" w:ascii="黑体" w:hAnsi="黑体" w:eastAsia="黑体"/>
          <w:b w:val="0"/>
          <w:sz w:val="30"/>
          <w:szCs w:val="30"/>
          <w:u w:val="none"/>
        </w:rPr>
        <w:t>三</w:t>
      </w:r>
      <w:r>
        <w:rPr>
          <w:rFonts w:ascii="黑体" w:hAnsi="黑体" w:eastAsia="黑体"/>
          <w:b w:val="0"/>
          <w:sz w:val="30"/>
          <w:szCs w:val="30"/>
          <w:u w:val="none"/>
        </w:rPr>
        <w:t>、《收入</w:t>
      </w:r>
      <w:r>
        <w:rPr>
          <w:rFonts w:hint="eastAsia" w:ascii="黑体" w:hAnsi="黑体" w:eastAsia="黑体"/>
          <w:b w:val="0"/>
          <w:sz w:val="30"/>
          <w:szCs w:val="30"/>
          <w:u w:val="none"/>
        </w:rPr>
        <w:t>决算</w:t>
      </w:r>
      <w:r>
        <w:rPr>
          <w:rFonts w:ascii="黑体" w:hAnsi="黑体" w:eastAsia="黑体"/>
          <w:b w:val="0"/>
          <w:sz w:val="30"/>
          <w:szCs w:val="30"/>
          <w:u w:val="none"/>
        </w:rPr>
        <w:t>表</w:t>
      </w:r>
      <w:r>
        <w:rPr>
          <w:rFonts w:hint="eastAsia" w:ascii="黑体" w:hAnsi="黑体" w:eastAsia="黑体"/>
          <w:b w:val="0"/>
          <w:sz w:val="30"/>
          <w:szCs w:val="30"/>
          <w:u w:val="none"/>
        </w:rPr>
        <w:t>（按单位列示）</w:t>
      </w:r>
      <w:r>
        <w:rPr>
          <w:rFonts w:ascii="黑体" w:hAnsi="黑体" w:eastAsia="黑体"/>
          <w:b w:val="0"/>
          <w:sz w:val="30"/>
          <w:szCs w:val="30"/>
          <w:u w:val="none"/>
        </w:rPr>
        <w:t>》</w:t>
      </w:r>
      <w:bookmarkEnd w:id="6"/>
    </w:p>
    <w:p>
      <w:pPr>
        <w:pStyle w:val="3"/>
        <w:spacing w:before="0" w:after="0" w:line="800" w:lineRule="exact"/>
        <w:ind w:firstLine="600" w:firstLineChars="200"/>
        <w:rPr>
          <w:rFonts w:ascii="黑体" w:hAnsi="黑体" w:eastAsia="黑体"/>
          <w:b w:val="0"/>
          <w:sz w:val="30"/>
          <w:szCs w:val="30"/>
          <w:u w:val="none"/>
        </w:rPr>
      </w:pPr>
      <w:bookmarkStart w:id="7" w:name="_Toc1989"/>
      <w:r>
        <w:rPr>
          <w:rFonts w:hint="eastAsia" w:ascii="黑体" w:hAnsi="黑体" w:eastAsia="黑体"/>
          <w:b w:val="0"/>
          <w:sz w:val="30"/>
          <w:szCs w:val="30"/>
          <w:u w:val="none"/>
        </w:rPr>
        <w:t>四、</w:t>
      </w:r>
      <w:r>
        <w:rPr>
          <w:rFonts w:ascii="黑体" w:hAnsi="黑体" w:eastAsia="黑体"/>
          <w:b w:val="0"/>
          <w:sz w:val="30"/>
          <w:szCs w:val="30"/>
          <w:u w:val="none"/>
        </w:rPr>
        <w:t>《支出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7"/>
    </w:p>
    <w:p>
      <w:pPr>
        <w:pStyle w:val="3"/>
        <w:spacing w:before="0" w:after="0" w:line="800" w:lineRule="exact"/>
        <w:ind w:firstLine="600" w:firstLineChars="200"/>
        <w:rPr>
          <w:rFonts w:ascii="黑体" w:hAnsi="黑体" w:eastAsia="黑体"/>
          <w:b w:val="0"/>
          <w:sz w:val="30"/>
          <w:szCs w:val="30"/>
          <w:u w:val="none"/>
        </w:rPr>
      </w:pPr>
      <w:bookmarkStart w:id="8" w:name="_Toc32498"/>
      <w:r>
        <w:rPr>
          <w:rFonts w:ascii="黑体" w:hAnsi="黑体" w:eastAsia="黑体"/>
          <w:b w:val="0"/>
          <w:sz w:val="30"/>
          <w:szCs w:val="30"/>
          <w:u w:val="none"/>
        </w:rPr>
        <w:t>五</w:t>
      </w:r>
      <w:r>
        <w:rPr>
          <w:rFonts w:hint="eastAsia" w:ascii="黑体" w:hAnsi="黑体" w:eastAsia="黑体"/>
          <w:b w:val="0"/>
          <w:sz w:val="30"/>
          <w:szCs w:val="30"/>
          <w:u w:val="none"/>
        </w:rPr>
        <w:t>、</w:t>
      </w:r>
      <w:r>
        <w:rPr>
          <w:rFonts w:ascii="黑体" w:hAnsi="黑体" w:eastAsia="黑体"/>
          <w:b w:val="0"/>
          <w:sz w:val="30"/>
          <w:szCs w:val="30"/>
          <w:u w:val="none"/>
        </w:rPr>
        <w:t>《财政拨款</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决算总</w:t>
      </w:r>
      <w:r>
        <w:rPr>
          <w:rFonts w:ascii="黑体" w:hAnsi="黑体" w:eastAsia="黑体"/>
          <w:b w:val="0"/>
          <w:sz w:val="30"/>
          <w:szCs w:val="30"/>
          <w:u w:val="none"/>
        </w:rPr>
        <w:t>表》</w:t>
      </w:r>
      <w:bookmarkEnd w:id="8"/>
    </w:p>
    <w:p>
      <w:pPr>
        <w:pStyle w:val="3"/>
        <w:spacing w:before="0" w:after="0" w:line="800" w:lineRule="exact"/>
        <w:ind w:firstLine="600" w:firstLineChars="200"/>
        <w:rPr>
          <w:rFonts w:ascii="黑体" w:hAnsi="黑体" w:eastAsia="黑体"/>
          <w:b w:val="0"/>
          <w:sz w:val="30"/>
          <w:szCs w:val="30"/>
          <w:u w:val="none"/>
        </w:rPr>
      </w:pPr>
      <w:bookmarkStart w:id="9" w:name="_Toc26379"/>
      <w:r>
        <w:rPr>
          <w:rFonts w:ascii="黑体" w:hAnsi="黑体" w:eastAsia="黑体"/>
          <w:b w:val="0"/>
          <w:sz w:val="30"/>
          <w:szCs w:val="30"/>
          <w:u w:val="none"/>
        </w:rPr>
        <w:t>六</w:t>
      </w:r>
      <w:r>
        <w:rPr>
          <w:rFonts w:hint="eastAsia" w:ascii="黑体" w:hAnsi="黑体" w:eastAsia="黑体"/>
          <w:b w:val="0"/>
          <w:sz w:val="30"/>
          <w:szCs w:val="30"/>
          <w:u w:val="none"/>
        </w:rPr>
        <w:t>、</w:t>
      </w:r>
      <w:r>
        <w:rPr>
          <w:rFonts w:ascii="黑体" w:hAnsi="黑体" w:eastAsia="黑体"/>
          <w:b w:val="0"/>
          <w:sz w:val="30"/>
          <w:szCs w:val="30"/>
          <w:u w:val="none"/>
        </w:rPr>
        <w:t>《一般公共预算财政拨款支出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9"/>
    </w:p>
    <w:p>
      <w:pPr>
        <w:pStyle w:val="3"/>
        <w:spacing w:before="0" w:after="0" w:line="800" w:lineRule="exact"/>
        <w:ind w:firstLine="600" w:firstLineChars="200"/>
        <w:rPr>
          <w:rFonts w:ascii="黑体" w:hAnsi="黑体" w:eastAsia="黑体"/>
          <w:b w:val="0"/>
          <w:sz w:val="30"/>
          <w:szCs w:val="30"/>
          <w:u w:val="none"/>
        </w:rPr>
      </w:pPr>
      <w:bookmarkStart w:id="10" w:name="_Toc4498"/>
      <w:r>
        <w:rPr>
          <w:rFonts w:ascii="黑体" w:hAnsi="黑体" w:eastAsia="黑体"/>
          <w:b w:val="0"/>
          <w:sz w:val="30"/>
          <w:szCs w:val="30"/>
          <w:u w:val="none"/>
        </w:rPr>
        <w:t>七</w:t>
      </w:r>
      <w:r>
        <w:rPr>
          <w:rFonts w:hint="eastAsia" w:ascii="黑体" w:hAnsi="黑体" w:eastAsia="黑体"/>
          <w:b w:val="0"/>
          <w:sz w:val="30"/>
          <w:szCs w:val="30"/>
          <w:u w:val="none"/>
        </w:rPr>
        <w:t>、</w:t>
      </w:r>
      <w:r>
        <w:rPr>
          <w:rFonts w:ascii="黑体" w:hAnsi="黑体" w:eastAsia="黑体"/>
          <w:b w:val="0"/>
          <w:sz w:val="30"/>
          <w:szCs w:val="30"/>
          <w:u w:val="none"/>
        </w:rPr>
        <w:t>《一般公共预算财政拨款基本支出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0"/>
    </w:p>
    <w:p>
      <w:pPr>
        <w:pStyle w:val="3"/>
        <w:spacing w:before="0" w:after="0" w:line="800" w:lineRule="exact"/>
        <w:ind w:firstLine="600" w:firstLineChars="200"/>
        <w:rPr>
          <w:rFonts w:ascii="黑体" w:hAnsi="黑体" w:eastAsia="黑体"/>
          <w:b w:val="0"/>
          <w:sz w:val="30"/>
          <w:szCs w:val="30"/>
          <w:u w:val="none"/>
        </w:rPr>
      </w:pPr>
      <w:bookmarkStart w:id="11" w:name="_Toc18038"/>
      <w:r>
        <w:rPr>
          <w:rFonts w:hint="eastAsia" w:ascii="黑体" w:hAnsi="黑体" w:eastAsia="黑体"/>
          <w:b w:val="0"/>
          <w:sz w:val="30"/>
          <w:szCs w:val="30"/>
          <w:u w:val="none"/>
        </w:rPr>
        <w:t>八、</w:t>
      </w:r>
      <w:r>
        <w:rPr>
          <w:rFonts w:ascii="黑体" w:hAnsi="黑体" w:eastAsia="黑体"/>
          <w:b w:val="0"/>
          <w:sz w:val="30"/>
          <w:szCs w:val="30"/>
          <w:u w:val="none"/>
        </w:rPr>
        <w:t>《政府性基金预算财政拨款</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1"/>
    </w:p>
    <w:p>
      <w:pPr>
        <w:pStyle w:val="3"/>
        <w:spacing w:before="0" w:after="0" w:line="800" w:lineRule="exact"/>
        <w:ind w:firstLine="600" w:firstLineChars="200"/>
        <w:rPr>
          <w:rFonts w:ascii="黑体" w:hAnsi="黑体" w:eastAsia="黑体"/>
          <w:b w:val="0"/>
          <w:sz w:val="30"/>
          <w:szCs w:val="30"/>
          <w:u w:val="none"/>
        </w:rPr>
      </w:pPr>
      <w:bookmarkStart w:id="12" w:name="_Toc13200"/>
      <w:r>
        <w:rPr>
          <w:rFonts w:hint="eastAsia" w:ascii="黑体" w:hAnsi="黑体" w:eastAsia="黑体"/>
          <w:b w:val="0"/>
          <w:sz w:val="30"/>
          <w:szCs w:val="30"/>
          <w:u w:val="none"/>
        </w:rPr>
        <w:t>九、</w:t>
      </w:r>
      <w:r>
        <w:rPr>
          <w:rFonts w:ascii="黑体" w:hAnsi="黑体" w:eastAsia="黑体"/>
          <w:b w:val="0"/>
          <w:sz w:val="30"/>
          <w:szCs w:val="30"/>
          <w:u w:val="none"/>
        </w:rPr>
        <w:t>《国有资本经营预算财政拨款</w:t>
      </w:r>
      <w:r>
        <w:rPr>
          <w:rFonts w:hint="eastAsia" w:ascii="黑体" w:hAnsi="黑体" w:eastAsia="黑体"/>
          <w:b w:val="0"/>
          <w:sz w:val="30"/>
          <w:szCs w:val="30"/>
          <w:u w:val="none"/>
        </w:rPr>
        <w:t>收入支出决算</w:t>
      </w:r>
      <w:r>
        <w:rPr>
          <w:rFonts w:ascii="黑体" w:hAnsi="黑体" w:eastAsia="黑体"/>
          <w:b w:val="0"/>
          <w:sz w:val="30"/>
          <w:szCs w:val="30"/>
          <w:u w:val="none"/>
        </w:rPr>
        <w:t>表》</w:t>
      </w:r>
      <w:bookmarkEnd w:id="12"/>
    </w:p>
    <w:p>
      <w:pPr>
        <w:pStyle w:val="3"/>
        <w:spacing w:before="0" w:after="0" w:line="800" w:lineRule="exact"/>
        <w:ind w:firstLine="600" w:firstLineChars="200"/>
        <w:rPr>
          <w:rFonts w:ascii="黑体" w:hAnsi="黑体" w:eastAsia="黑体"/>
          <w:b w:val="0"/>
          <w:sz w:val="30"/>
          <w:szCs w:val="30"/>
          <w:u w:val="none"/>
        </w:rPr>
      </w:pPr>
      <w:bookmarkStart w:id="13" w:name="_Toc3423"/>
      <w:r>
        <w:rPr>
          <w:rFonts w:hint="eastAsia" w:ascii="黑体" w:hAnsi="黑体" w:eastAsia="黑体"/>
          <w:b w:val="0"/>
          <w:sz w:val="30"/>
          <w:szCs w:val="30"/>
          <w:u w:val="none"/>
        </w:rPr>
        <w:t>十、</w:t>
      </w:r>
      <w:r>
        <w:rPr>
          <w:rFonts w:ascii="黑体" w:hAnsi="黑体" w:eastAsia="黑体"/>
          <w:b w:val="0"/>
          <w:sz w:val="30"/>
          <w:szCs w:val="30"/>
          <w:u w:val="none"/>
        </w:rPr>
        <w:t>《一般公共预算财政拨款“三公”经费支出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3"/>
    </w:p>
    <w:p>
      <w:pPr>
        <w:pStyle w:val="3"/>
        <w:spacing w:before="0" w:after="0" w:line="800" w:lineRule="exact"/>
        <w:ind w:firstLine="600" w:firstLineChars="200"/>
        <w:rPr>
          <w:rFonts w:ascii="黑体" w:hAnsi="黑体" w:eastAsia="黑体"/>
          <w:b w:val="0"/>
          <w:sz w:val="30"/>
          <w:szCs w:val="30"/>
          <w:u w:val="none"/>
        </w:rPr>
      </w:pPr>
      <w:bookmarkStart w:id="14" w:name="_Toc3915"/>
      <w:r>
        <w:rPr>
          <w:rFonts w:ascii="黑体" w:hAnsi="黑体" w:eastAsia="黑体"/>
          <w:b w:val="0"/>
          <w:sz w:val="30"/>
          <w:szCs w:val="30"/>
          <w:u w:val="none"/>
        </w:rPr>
        <w:t>十</w:t>
      </w:r>
      <w:r>
        <w:rPr>
          <w:rFonts w:hint="eastAsia" w:ascii="黑体" w:hAnsi="黑体" w:eastAsia="黑体"/>
          <w:b w:val="0"/>
          <w:sz w:val="30"/>
          <w:szCs w:val="30"/>
          <w:u w:val="none"/>
        </w:rPr>
        <w:t>一、</w:t>
      </w:r>
      <w:r>
        <w:rPr>
          <w:rFonts w:ascii="黑体" w:hAnsi="黑体" w:eastAsia="黑体"/>
          <w:b w:val="0"/>
          <w:sz w:val="30"/>
          <w:szCs w:val="30"/>
          <w:u w:val="none"/>
        </w:rPr>
        <w:t>《项目支出决算表》</w:t>
      </w:r>
      <w:bookmarkEnd w:id="14"/>
    </w:p>
    <w:p>
      <w:pPr>
        <w:spacing w:line="800" w:lineRule="exact"/>
        <w:rPr>
          <w:u w:val="none"/>
        </w:rPr>
      </w:pPr>
      <w:r>
        <w:rPr>
          <w:rFonts w:hint="eastAsia" w:eastAsia="楷体"/>
          <w:sz w:val="30"/>
          <w:szCs w:val="30"/>
          <w:u w:val="none"/>
        </w:rPr>
        <w:t>注：以上决算公开表均作为附表，附于决算公开说明文档后。</w:t>
      </w:r>
    </w:p>
    <w:p>
      <w:pPr>
        <w:pStyle w:val="3"/>
        <w:numPr>
          <w:ilvl w:val="0"/>
          <w:numId w:val="2"/>
        </w:numPr>
        <w:spacing w:before="0" w:after="0" w:line="800" w:lineRule="exact"/>
        <w:ind w:firstLine="600" w:firstLineChars="200"/>
        <w:rPr>
          <w:rFonts w:ascii="黑体" w:hAnsi="黑体" w:eastAsia="黑体"/>
          <w:b w:val="0"/>
          <w:bCs w:val="0"/>
          <w:sz w:val="30"/>
          <w:szCs w:val="30"/>
          <w:u w:val="none"/>
        </w:rPr>
      </w:pPr>
      <w:bookmarkStart w:id="15" w:name="_Toc17260"/>
      <w:r>
        <w:rPr>
          <w:rFonts w:hint="eastAsia" w:ascii="黑体" w:hAnsi="黑体" w:eastAsia="黑体"/>
          <w:b w:val="0"/>
          <w:bCs w:val="0"/>
          <w:sz w:val="30"/>
          <w:szCs w:val="30"/>
          <w:u w:val="none"/>
        </w:rPr>
        <w:t>关于空表的说明</w:t>
      </w:r>
      <w:bookmarkEnd w:id="15"/>
    </w:p>
    <w:p>
      <w:pPr>
        <w:spacing w:line="600" w:lineRule="exact"/>
        <w:rPr>
          <w:rFonts w:ascii="仿宋_GB2312" w:eastAsia="仿宋_GB2312" w:cs="仿宋_GB2312"/>
          <w:sz w:val="30"/>
          <w:szCs w:val="30"/>
          <w:u w:val="none"/>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u w:val="none"/>
        </w:rPr>
        <w:t xml:space="preserve">    天津市津南区北闸口镇退役军人服务站2022年度政府性基金预算财政拨款收入支出决算表为空表。</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天津市津南区北闸口镇退役军人服务站2022年度国有资本经营预算财政拨款收入支出决算表为空表。</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天津市津南区北闸口镇退役军人服务站2022年度一般公共预算财政拨款“三公”经费支出决算表为空表。</w:t>
      </w:r>
    </w:p>
    <w:p>
      <w:pPr>
        <w:spacing w:line="600" w:lineRule="exact"/>
        <w:rPr>
          <w:rFonts w:ascii="仿宋_GB2312" w:eastAsia="仿宋_GB2312" w:cs="仿宋_GB2312"/>
          <w:sz w:val="30"/>
          <w:szCs w:val="30"/>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16" w:name="_Toc396"/>
      <w:r>
        <w:rPr>
          <w:rFonts w:ascii="方正小标宋简体" w:hAnsi="方正小标宋简体" w:eastAsia="方正小标宋简体" w:cs="方正小标宋简体"/>
          <w:b w:val="0"/>
          <w:u w:val="none"/>
        </w:rPr>
        <w:t>第</w:t>
      </w:r>
      <w:r>
        <w:rPr>
          <w:rFonts w:hint="eastAsia" w:ascii="方正小标宋简体" w:hAnsi="方正小标宋简体" w:eastAsia="方正小标宋简体" w:cs="方正小标宋简体"/>
          <w:b w:val="0"/>
          <w:u w:val="none"/>
        </w:rPr>
        <w:t>三</w:t>
      </w:r>
      <w:r>
        <w:rPr>
          <w:rFonts w:ascii="方正小标宋简体" w:hAnsi="方正小标宋简体" w:eastAsia="方正小标宋简体" w:cs="方正小标宋简体"/>
          <w:b w:val="0"/>
          <w:u w:val="none"/>
        </w:rPr>
        <w:t xml:space="preserve">部分  </w:t>
      </w:r>
      <w:r>
        <w:rPr>
          <w:rFonts w:hint="eastAsia" w:ascii="方正小标宋简体" w:hAnsi="方正小标宋简体" w:eastAsia="方正小标宋简体" w:cs="方正小标宋简体"/>
          <w:b w:val="0"/>
          <w:u w:val="none"/>
        </w:rPr>
        <w:t>2022</w:t>
      </w:r>
      <w:r>
        <w:rPr>
          <w:rFonts w:ascii="方正小标宋简体" w:hAnsi="方正小标宋简体" w:eastAsia="方正小标宋简体" w:cs="方正小标宋简体"/>
          <w:b w:val="0"/>
          <w:u w:val="none"/>
        </w:rPr>
        <w:t>年度部门决算</w:t>
      </w:r>
      <w:r>
        <w:rPr>
          <w:rFonts w:hint="eastAsia" w:ascii="方正小标宋简体" w:hAnsi="方正小标宋简体" w:eastAsia="方正小标宋简体" w:cs="方正小标宋简体"/>
          <w:b w:val="0"/>
          <w:u w:val="none"/>
        </w:rPr>
        <w:t>情况</w:t>
      </w:r>
      <w:r>
        <w:rPr>
          <w:rFonts w:ascii="方正小标宋简体" w:hAnsi="方正小标宋简体" w:eastAsia="方正小标宋简体" w:cs="方正小标宋简体"/>
          <w:b w:val="0"/>
          <w:u w:val="none"/>
        </w:rPr>
        <w:t>说明</w:t>
      </w:r>
      <w:bookmarkEnd w:id="16"/>
    </w:p>
    <w:p>
      <w:pPr>
        <w:spacing w:line="600" w:lineRule="exact"/>
        <w:ind w:firstLine="600" w:firstLineChars="200"/>
        <w:rPr>
          <w:rFonts w:ascii="黑体" w:eastAsia="黑体"/>
          <w:sz w:val="30"/>
          <w:szCs w:val="30"/>
          <w:u w:val="none"/>
        </w:rPr>
      </w:pPr>
    </w:p>
    <w:p>
      <w:pPr>
        <w:pStyle w:val="3"/>
        <w:spacing w:before="0" w:after="0" w:line="600" w:lineRule="exact"/>
        <w:ind w:firstLine="600" w:firstLineChars="200"/>
        <w:rPr>
          <w:rFonts w:ascii="黑体" w:hAnsi="黑体" w:eastAsia="黑体"/>
          <w:b w:val="0"/>
          <w:sz w:val="30"/>
          <w:szCs w:val="30"/>
          <w:u w:val="none"/>
        </w:rPr>
      </w:pPr>
      <w:bookmarkStart w:id="17" w:name="_Toc24340"/>
      <w:r>
        <w:rPr>
          <w:rFonts w:hint="eastAsia" w:ascii="黑体" w:hAnsi="黑体" w:eastAsia="黑体"/>
          <w:b w:val="0"/>
          <w:sz w:val="30"/>
          <w:szCs w:val="30"/>
          <w:u w:val="none"/>
        </w:rPr>
        <w:t>一、收入支出决算总体情况说明</w:t>
      </w:r>
      <w:bookmarkEnd w:id="17"/>
    </w:p>
    <w:p>
      <w:pPr>
        <w:spacing w:line="600" w:lineRule="exact"/>
        <w:rPr>
          <w:rFonts w:hint="eastAsia" w:ascii="仿宋_GB2312" w:eastAsia="仿宋_GB2312" w:cs="仿宋_GB2312"/>
          <w:sz w:val="30"/>
          <w:szCs w:val="30"/>
          <w:u w:val="none"/>
        </w:rPr>
      </w:pPr>
      <w:r>
        <w:rPr>
          <w:rFonts w:hint="eastAsia" w:eastAsia="仿宋_GB2312"/>
          <w:sz w:val="30"/>
          <w:szCs w:val="30"/>
          <w:u w:val="none"/>
        </w:rPr>
        <w:t xml:space="preserve">    </w:t>
      </w:r>
      <w:r>
        <w:rPr>
          <w:rFonts w:hint="eastAsia" w:ascii="仿宋_GB2312" w:eastAsia="仿宋_GB2312" w:cs="仿宋_GB2312"/>
          <w:sz w:val="30"/>
          <w:szCs w:val="30"/>
          <w:u w:val="none"/>
        </w:rPr>
        <w:t>天津市津南区北闸口镇退役军人服务站2022年度收入、支出决算总计1850521.97元。与2021年度相比，收、支总计各减少2084362.98元，下降52.97%，主要原因是</w:t>
      </w:r>
      <w:r>
        <w:rPr>
          <w:rFonts w:hint="eastAsia" w:ascii="仿宋_GB2312" w:eastAsia="仿宋_GB2312" w:cs="仿宋_GB2312"/>
          <w:sz w:val="30"/>
          <w:szCs w:val="30"/>
          <w:u w:val="none"/>
          <w:lang w:eastAsia="zh-CN"/>
        </w:rPr>
        <w:t>本年退役军人部分补贴由上级单位统一发放</w:t>
      </w:r>
      <w:r>
        <w:rPr>
          <w:rFonts w:hint="eastAsia" w:ascii="仿宋_GB2312" w:eastAsia="仿宋_GB2312" w:cs="仿宋_GB2312"/>
          <w:sz w:val="30"/>
          <w:szCs w:val="30"/>
          <w:u w:val="none"/>
        </w:rPr>
        <w:t>。</w:t>
      </w:r>
    </w:p>
    <w:p>
      <w:pPr>
        <w:pStyle w:val="3"/>
        <w:spacing w:before="0" w:after="0" w:line="600" w:lineRule="exact"/>
        <w:ind w:firstLine="600" w:firstLineChars="200"/>
        <w:rPr>
          <w:rFonts w:ascii="黑体" w:hAnsi="黑体" w:eastAsia="黑体" w:cs="仿宋_GB2312"/>
          <w:b w:val="0"/>
          <w:sz w:val="30"/>
          <w:szCs w:val="30"/>
          <w:u w:val="none"/>
        </w:rPr>
      </w:pPr>
      <w:bookmarkStart w:id="18" w:name="_Toc18552"/>
      <w:r>
        <w:rPr>
          <w:rFonts w:hint="eastAsia" w:ascii="黑体" w:hAnsi="黑体" w:eastAsia="黑体" w:cs="仿宋_GB2312"/>
          <w:b w:val="0"/>
          <w:sz w:val="30"/>
          <w:szCs w:val="30"/>
          <w:u w:val="none"/>
        </w:rPr>
        <w:t>二、收入决算情况说明</w:t>
      </w:r>
      <w:bookmarkEnd w:id="18"/>
    </w:p>
    <w:p>
      <w:pPr>
        <w:spacing w:line="600" w:lineRule="exact"/>
        <w:ind w:firstLine="600" w:firstLineChars="200"/>
        <w:rPr>
          <w:rFonts w:eastAsia="仿宋_GB2312"/>
          <w:sz w:val="30"/>
          <w:szCs w:val="30"/>
          <w:u w:val="none"/>
        </w:rPr>
      </w:pPr>
      <w:r>
        <w:rPr>
          <w:rFonts w:hint="eastAsia" w:ascii="仿宋_GB2312" w:eastAsia="仿宋_GB2312" w:cs="仿宋_GB2312"/>
          <w:sz w:val="30"/>
          <w:szCs w:val="30"/>
          <w:u w:val="none"/>
        </w:rPr>
        <w:t>天津市津南区北闸口镇退役军人服务站2022年度本年收入合计241739.97元，与2021年度相比减少3613283.23元，主要原因是</w:t>
      </w:r>
      <w:r>
        <w:rPr>
          <w:rFonts w:hint="eastAsia" w:ascii="仿宋_GB2312" w:eastAsia="仿宋_GB2312" w:cs="仿宋_GB2312"/>
          <w:sz w:val="30"/>
          <w:szCs w:val="30"/>
          <w:u w:val="none"/>
          <w:lang w:eastAsia="zh-CN"/>
        </w:rPr>
        <w:t>本年退役军人部分补贴由上级单位统一发放</w:t>
      </w:r>
      <w:r>
        <w:rPr>
          <w:rFonts w:hint="eastAsia" w:eastAsia="仿宋_GB2312"/>
          <w:sz w:val="30"/>
          <w:szCs w:val="30"/>
          <w:u w:val="none"/>
        </w:rPr>
        <w:t>。</w:t>
      </w:r>
      <w:r>
        <w:rPr>
          <w:rFonts w:hint="eastAsia" w:ascii="仿宋_GB2312" w:eastAsia="仿宋_GB2312" w:cs="仿宋_GB2312"/>
          <w:sz w:val="30"/>
          <w:szCs w:val="30"/>
          <w:u w:val="none"/>
        </w:rPr>
        <w:t>其中：一般公共预算财政拨款收入235935.00元，占97.60%；其他收入5804.97元，占2.40%。</w:t>
      </w:r>
    </w:p>
    <w:p>
      <w:pPr>
        <w:pStyle w:val="3"/>
        <w:spacing w:before="0" w:after="0" w:line="600" w:lineRule="exact"/>
        <w:ind w:firstLine="600" w:firstLineChars="200"/>
        <w:rPr>
          <w:rFonts w:ascii="黑体" w:hAnsi="黑体" w:eastAsia="黑体" w:cs="仿宋_GB2312"/>
          <w:b w:val="0"/>
          <w:sz w:val="30"/>
          <w:szCs w:val="30"/>
          <w:u w:val="none"/>
        </w:rPr>
      </w:pPr>
      <w:bookmarkStart w:id="19" w:name="_Toc26952"/>
      <w:r>
        <w:rPr>
          <w:rFonts w:hint="eastAsia" w:ascii="黑体" w:hAnsi="黑体" w:eastAsia="黑体" w:cs="仿宋_GB2312"/>
          <w:b w:val="0"/>
          <w:sz w:val="30"/>
          <w:szCs w:val="30"/>
          <w:u w:val="none"/>
        </w:rPr>
        <w:t>三、</w:t>
      </w:r>
      <w:r>
        <w:rPr>
          <w:rFonts w:ascii="黑体" w:hAnsi="黑体" w:eastAsia="黑体" w:cs="仿宋_GB2312"/>
          <w:b w:val="0"/>
          <w:sz w:val="30"/>
          <w:szCs w:val="30"/>
          <w:u w:val="none"/>
        </w:rPr>
        <w:t>支出</w:t>
      </w:r>
      <w:r>
        <w:rPr>
          <w:rFonts w:hint="eastAsia" w:ascii="黑体" w:hAnsi="黑体" w:eastAsia="黑体" w:cs="仿宋_GB2312"/>
          <w:b w:val="0"/>
          <w:sz w:val="30"/>
          <w:szCs w:val="30"/>
          <w:u w:val="none"/>
        </w:rPr>
        <w:t>决算</w:t>
      </w:r>
      <w:r>
        <w:rPr>
          <w:rFonts w:ascii="黑体" w:hAnsi="黑体" w:eastAsia="黑体" w:cs="仿宋_GB2312"/>
          <w:b w:val="0"/>
          <w:sz w:val="30"/>
          <w:szCs w:val="30"/>
          <w:u w:val="none"/>
        </w:rPr>
        <w:t>情况</w:t>
      </w:r>
      <w:r>
        <w:rPr>
          <w:rFonts w:hint="eastAsia" w:ascii="黑体" w:hAnsi="黑体" w:eastAsia="黑体" w:cs="仿宋_GB2312"/>
          <w:b w:val="0"/>
          <w:sz w:val="30"/>
          <w:szCs w:val="30"/>
          <w:u w:val="none"/>
        </w:rPr>
        <w:t>说明</w:t>
      </w:r>
      <w:bookmarkEnd w:id="19"/>
    </w:p>
    <w:p>
      <w:pPr>
        <w:spacing w:line="600" w:lineRule="exact"/>
        <w:ind w:firstLine="600" w:firstLineChars="200"/>
        <w:rPr>
          <w:rFonts w:eastAsia="仿宋_GB2312"/>
          <w:sz w:val="30"/>
          <w:szCs w:val="30"/>
          <w:u w:val="none"/>
        </w:rPr>
      </w:pPr>
      <w:r>
        <w:rPr>
          <w:rFonts w:hint="eastAsia" w:ascii="仿宋_GB2312" w:eastAsia="仿宋_GB2312" w:cs="仿宋_GB2312"/>
          <w:sz w:val="30"/>
          <w:szCs w:val="30"/>
          <w:u w:val="none"/>
        </w:rPr>
        <w:t>天津市津南区北闸口镇退役军人服务站2022年度本年支出合计235935.00元，与2021年度相比减少3692264.34元，主要原因是</w:t>
      </w:r>
      <w:r>
        <w:rPr>
          <w:rFonts w:hint="eastAsia" w:ascii="仿宋_GB2312" w:eastAsia="仿宋_GB2312" w:cs="仿宋_GB2312"/>
          <w:sz w:val="30"/>
          <w:szCs w:val="30"/>
          <w:u w:val="none"/>
          <w:lang w:eastAsia="zh-CN"/>
        </w:rPr>
        <w:t>本年退役军人部分补贴由上级单位统一发放</w:t>
      </w:r>
      <w:r>
        <w:rPr>
          <w:rFonts w:hint="eastAsia" w:eastAsia="仿宋_GB2312"/>
          <w:sz w:val="30"/>
          <w:szCs w:val="30"/>
          <w:u w:val="none"/>
        </w:rPr>
        <w:t>。</w:t>
      </w:r>
      <w:r>
        <w:rPr>
          <w:rFonts w:hint="eastAsia" w:ascii="仿宋_GB2312" w:eastAsia="仿宋_GB2312" w:cs="仿宋_GB2312"/>
          <w:sz w:val="30"/>
          <w:szCs w:val="30"/>
          <w:u w:val="none"/>
        </w:rPr>
        <w:t>其中：基本支出11824.00元，占5.01%；项目支出224111.00元，占94.99%。</w:t>
      </w:r>
    </w:p>
    <w:p>
      <w:pPr>
        <w:pStyle w:val="3"/>
        <w:spacing w:before="0" w:after="0" w:line="600" w:lineRule="exact"/>
        <w:ind w:firstLine="600" w:firstLineChars="200"/>
        <w:rPr>
          <w:rFonts w:ascii="黑体" w:hAnsi="黑体" w:eastAsia="黑体"/>
          <w:b w:val="0"/>
          <w:sz w:val="30"/>
          <w:szCs w:val="30"/>
          <w:u w:val="none"/>
        </w:rPr>
      </w:pPr>
      <w:bookmarkStart w:id="20" w:name="_Toc1812"/>
      <w:r>
        <w:rPr>
          <w:rFonts w:hint="eastAsia" w:ascii="黑体" w:hAnsi="黑体" w:eastAsia="黑体"/>
          <w:b w:val="0"/>
          <w:sz w:val="30"/>
          <w:szCs w:val="30"/>
          <w:u w:val="none"/>
        </w:rPr>
        <w:t>四、财政拨款收支决算总体情况说明</w:t>
      </w:r>
      <w:bookmarkEnd w:id="20"/>
    </w:p>
    <w:p>
      <w:pPr>
        <w:spacing w:line="600" w:lineRule="exact"/>
        <w:rPr>
          <w:rFonts w:eastAsia="楷体_GB2312"/>
          <w:b/>
          <w:sz w:val="30"/>
          <w:szCs w:val="30"/>
          <w:u w:val="none"/>
        </w:rPr>
      </w:pPr>
      <w:r>
        <w:rPr>
          <w:rFonts w:hint="eastAsia" w:eastAsia="仿宋_GB2312"/>
          <w:sz w:val="30"/>
          <w:szCs w:val="30"/>
          <w:u w:val="none"/>
        </w:rPr>
        <w:t xml:space="preserve">    </w:t>
      </w:r>
      <w:r>
        <w:rPr>
          <w:rFonts w:hint="eastAsia" w:ascii="仿宋_GB2312" w:eastAsia="仿宋_GB2312" w:cs="仿宋_GB2312"/>
          <w:sz w:val="30"/>
          <w:szCs w:val="30"/>
          <w:u w:val="none"/>
        </w:rPr>
        <w:t>天津市津南区北闸口镇退役军人服务站2022年度财政拨款收入、支出决算总计235935.00元。与2021年度相比，财政拨款收、支总计各减少3633798.59元，下降93.90%，主要原因是</w:t>
      </w:r>
      <w:r>
        <w:rPr>
          <w:rFonts w:hint="eastAsia" w:ascii="仿宋_GB2312" w:eastAsia="仿宋_GB2312" w:cs="仿宋_GB2312"/>
          <w:sz w:val="30"/>
          <w:szCs w:val="30"/>
          <w:u w:val="none"/>
          <w:lang w:eastAsia="zh-CN"/>
        </w:rPr>
        <w:t>本年退役军人部分补贴由上级单位统一发放</w:t>
      </w:r>
      <w:r>
        <w:rPr>
          <w:rFonts w:hint="eastAsia" w:eastAsia="仿宋_GB2312"/>
          <w:sz w:val="30"/>
          <w:szCs w:val="30"/>
          <w:u w:val="none"/>
        </w:rPr>
        <w:t>。</w:t>
      </w:r>
    </w:p>
    <w:p>
      <w:pPr>
        <w:pStyle w:val="3"/>
        <w:spacing w:before="0" w:after="0" w:line="600" w:lineRule="exact"/>
        <w:ind w:firstLine="600" w:firstLineChars="200"/>
        <w:rPr>
          <w:rFonts w:ascii="黑体" w:hAnsi="黑体" w:eastAsia="黑体"/>
          <w:b w:val="0"/>
          <w:sz w:val="30"/>
          <w:szCs w:val="30"/>
          <w:u w:val="none"/>
        </w:rPr>
      </w:pPr>
      <w:bookmarkStart w:id="21" w:name="_Toc10091"/>
      <w:r>
        <w:rPr>
          <w:rFonts w:ascii="黑体" w:hAnsi="黑体" w:eastAsia="黑体"/>
          <w:b w:val="0"/>
          <w:sz w:val="30"/>
          <w:szCs w:val="30"/>
          <w:u w:val="none"/>
        </w:rPr>
        <w:t>五</w:t>
      </w:r>
      <w:r>
        <w:rPr>
          <w:rFonts w:hint="eastAsia" w:ascii="黑体" w:hAnsi="黑体" w:eastAsia="黑体"/>
          <w:b w:val="0"/>
          <w:sz w:val="30"/>
          <w:szCs w:val="30"/>
          <w:u w:val="none"/>
        </w:rPr>
        <w:t>、</w:t>
      </w:r>
      <w:r>
        <w:rPr>
          <w:rFonts w:ascii="黑体" w:hAnsi="黑体" w:eastAsia="黑体"/>
          <w:b w:val="0"/>
          <w:sz w:val="30"/>
          <w:szCs w:val="30"/>
          <w:u w:val="none"/>
        </w:rPr>
        <w:t>一般公共预算财政拨款支出决算情况</w:t>
      </w:r>
      <w:r>
        <w:rPr>
          <w:rFonts w:hint="eastAsia" w:ascii="黑体" w:hAnsi="黑体" w:eastAsia="黑体"/>
          <w:b w:val="0"/>
          <w:sz w:val="30"/>
          <w:szCs w:val="30"/>
          <w:u w:val="none"/>
        </w:rPr>
        <w:t>说明</w:t>
      </w:r>
      <w:bookmarkEnd w:id="21"/>
    </w:p>
    <w:p>
      <w:pPr>
        <w:spacing w:line="600" w:lineRule="exact"/>
        <w:ind w:left="480" w:leftChars="200"/>
        <w:rPr>
          <w:rFonts w:ascii="楷体" w:hAnsi="楷体" w:eastAsia="楷体" w:cs="仿宋_GB2312"/>
          <w:b/>
          <w:sz w:val="30"/>
          <w:szCs w:val="30"/>
          <w:u w:val="none"/>
        </w:rPr>
      </w:pPr>
      <w:r>
        <w:rPr>
          <w:rFonts w:hint="eastAsia" w:ascii="楷体" w:hAnsi="楷体" w:eastAsia="楷体" w:cs="仿宋_GB2312"/>
          <w:b/>
          <w:sz w:val="30"/>
          <w:szCs w:val="30"/>
          <w:u w:val="none"/>
        </w:rPr>
        <w:t>（一）总体情况</w:t>
      </w:r>
    </w:p>
    <w:p>
      <w:pPr>
        <w:spacing w:line="600" w:lineRule="exact"/>
        <w:ind w:firstLine="600" w:firstLineChars="200"/>
        <w:rPr>
          <w:rFonts w:eastAsia="仿宋_GB2312"/>
          <w:sz w:val="30"/>
          <w:szCs w:val="30"/>
          <w:u w:val="none"/>
        </w:rPr>
      </w:pPr>
      <w:r>
        <w:rPr>
          <w:rFonts w:hint="eastAsia" w:ascii="仿宋_GB2312" w:eastAsia="仿宋_GB2312" w:cs="仿宋_GB2312"/>
          <w:sz w:val="30"/>
          <w:szCs w:val="30"/>
          <w:u w:val="none"/>
        </w:rPr>
        <w:t>天津市津南区北闸口镇退役军人服务站2022年度一般公共预算财政拨款支出合计235935.00元，占本年支出合计的</w:t>
      </w:r>
      <w:r>
        <w:rPr>
          <w:rFonts w:hint="eastAsia" w:ascii="仿宋_GB2312" w:eastAsia="仿宋_GB2312" w:cs="仿宋_GB2312"/>
          <w:sz w:val="30"/>
          <w:szCs w:val="30"/>
          <w:u w:val="none"/>
          <w:lang w:val="en-US" w:eastAsia="zh-CN"/>
        </w:rPr>
        <w:t>100</w:t>
      </w:r>
      <w:r>
        <w:rPr>
          <w:rFonts w:hint="eastAsia" w:ascii="仿宋_GB2312" w:eastAsia="仿宋_GB2312" w:cs="仿宋_GB2312"/>
          <w:sz w:val="30"/>
          <w:szCs w:val="30"/>
          <w:u w:val="none"/>
        </w:rPr>
        <w:t>%。与2021年度相比，一般公共预算财政拨款支出减少3633798.59元，下降93.90%，主要原因是</w:t>
      </w:r>
      <w:r>
        <w:rPr>
          <w:rFonts w:hint="eastAsia" w:ascii="仿宋_GB2312" w:eastAsia="仿宋_GB2312" w:cs="仿宋_GB2312"/>
          <w:sz w:val="30"/>
          <w:szCs w:val="30"/>
          <w:u w:val="none"/>
          <w:lang w:eastAsia="zh-CN"/>
        </w:rPr>
        <w:t>本年退役军人部分补贴由上级单位统一发放</w:t>
      </w:r>
      <w:r>
        <w:rPr>
          <w:rFonts w:hint="eastAsia" w:eastAsia="仿宋_GB2312"/>
          <w:sz w:val="30"/>
          <w:szCs w:val="30"/>
          <w:u w:val="none"/>
        </w:rPr>
        <w:t>。</w:t>
      </w:r>
    </w:p>
    <w:p>
      <w:pPr>
        <w:spacing w:line="600" w:lineRule="exact"/>
        <w:ind w:firstLine="602" w:firstLineChars="200"/>
        <w:rPr>
          <w:rFonts w:ascii="楷体" w:hAnsi="楷体" w:eastAsia="楷体" w:cs="仿宋_GB2312"/>
          <w:b/>
          <w:sz w:val="30"/>
          <w:szCs w:val="30"/>
          <w:u w:val="none"/>
        </w:rPr>
      </w:pPr>
      <w:r>
        <w:rPr>
          <w:rFonts w:hint="eastAsia" w:ascii="楷体" w:hAnsi="楷体" w:eastAsia="楷体" w:cs="仿宋_GB2312"/>
          <w:b/>
          <w:sz w:val="30"/>
          <w:szCs w:val="30"/>
          <w:u w:val="none"/>
        </w:rPr>
        <w:t>（二）支出结构情况</w:t>
      </w:r>
    </w:p>
    <w:p>
      <w:pPr>
        <w:spacing w:line="600" w:lineRule="exact"/>
        <w:ind w:firstLine="645"/>
        <w:jc w:val="both"/>
        <w:rPr>
          <w:rFonts w:ascii="仿宋_GB2312" w:eastAsia="仿宋_GB2312" w:cs="仿宋_GB2312"/>
          <w:sz w:val="30"/>
          <w:szCs w:val="30"/>
          <w:u w:val="none"/>
        </w:rPr>
      </w:pPr>
      <w:r>
        <w:rPr>
          <w:rFonts w:hint="eastAsia" w:eastAsia="楷体"/>
          <w:sz w:val="30"/>
          <w:szCs w:val="30"/>
          <w:u w:val="none"/>
        </w:rPr>
        <w:t>2022</w:t>
      </w:r>
      <w:r>
        <w:rPr>
          <w:rFonts w:hint="eastAsia" w:ascii="仿宋_GB2312" w:eastAsia="仿宋_GB2312" w:cs="仿宋_GB2312"/>
          <w:sz w:val="30"/>
          <w:szCs w:val="30"/>
          <w:u w:val="none"/>
        </w:rPr>
        <w:t>年度一般公共预算财政拨款支出235935.00元，主要用于以下方面：</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一般公共服务支出（类）支出11824.00元，占5.01%；</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社会保障和就业支出（类）支出224111.00元，占94.99%。</w:t>
      </w:r>
    </w:p>
    <w:p>
      <w:pPr>
        <w:numPr>
          <w:ilvl w:val="0"/>
          <w:numId w:val="3"/>
        </w:numPr>
        <w:spacing w:line="600" w:lineRule="exact"/>
        <w:ind w:firstLine="602" w:firstLineChars="200"/>
        <w:rPr>
          <w:rFonts w:ascii="楷体" w:hAnsi="楷体" w:eastAsia="楷体" w:cs="仿宋_GB2312"/>
          <w:b/>
          <w:sz w:val="30"/>
          <w:szCs w:val="30"/>
          <w:u w:val="none"/>
        </w:rPr>
      </w:pPr>
      <w:r>
        <w:rPr>
          <w:rFonts w:ascii="楷体" w:hAnsi="楷体" w:eastAsia="楷体" w:cs="仿宋_GB2312"/>
          <w:b/>
          <w:sz w:val="30"/>
          <w:szCs w:val="30"/>
          <w:u w:val="none"/>
        </w:rPr>
        <w:t>具体情况</w:t>
      </w:r>
    </w:p>
    <w:p>
      <w:pPr>
        <w:spacing w:line="600" w:lineRule="exact"/>
        <w:ind w:firstLine="645"/>
        <w:jc w:val="both"/>
        <w:rPr>
          <w:rFonts w:hint="eastAsia" w:ascii="仿宋_GB2312" w:eastAsia="仿宋_GB2312" w:cs="仿宋_GB2312"/>
          <w:sz w:val="30"/>
          <w:szCs w:val="30"/>
          <w:u w:val="none"/>
          <w:lang w:eastAsia="zh-CN"/>
        </w:rPr>
      </w:pPr>
      <w:r>
        <w:rPr>
          <w:rFonts w:hint="eastAsia" w:ascii="仿宋_GB2312" w:eastAsia="仿宋_GB2312" w:cs="仿宋_GB2312"/>
          <w:sz w:val="30"/>
          <w:szCs w:val="30"/>
          <w:u w:val="none"/>
        </w:rPr>
        <w:t>2022年度一般公共预算财政拨款支出年初预算为389500.00元，支出决算为235935.00元，完成年初预算的60.57%。其中：</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一般公共服务支出（类）政府办公厅（室）及相关机构事务（款）事业运行（项）年初预算为</w:t>
      </w:r>
      <w:r>
        <w:rPr>
          <w:rFonts w:hint="eastAsia" w:ascii="仿宋_GB2312" w:eastAsia="仿宋_GB2312" w:cs="仿宋_GB2312"/>
          <w:sz w:val="30"/>
          <w:szCs w:val="30"/>
          <w:u w:val="none"/>
          <w:lang w:val="en-US" w:eastAsia="zh-CN"/>
        </w:rPr>
        <w:t>63000.00</w:t>
      </w:r>
      <w:r>
        <w:rPr>
          <w:rFonts w:hint="eastAsia" w:ascii="仿宋_GB2312" w:eastAsia="仿宋_GB2312" w:cs="仿宋_GB2312"/>
          <w:sz w:val="30"/>
          <w:szCs w:val="30"/>
          <w:u w:val="none"/>
        </w:rPr>
        <w:t>元，支出决算为11824.00元，完成年初预算数的</w:t>
      </w:r>
      <w:r>
        <w:rPr>
          <w:rFonts w:hint="eastAsia" w:ascii="仿宋_GB2312" w:eastAsia="仿宋_GB2312" w:cs="仿宋_GB2312"/>
          <w:sz w:val="30"/>
          <w:szCs w:val="30"/>
          <w:u w:val="none"/>
          <w:lang w:val="en-US" w:eastAsia="zh-CN"/>
        </w:rPr>
        <w:t>18.77</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部门整体缩减开支</w:t>
      </w:r>
      <w:r>
        <w:rPr>
          <w:rFonts w:hint="eastAsia" w:ascii="仿宋_GB2312" w:eastAsia="仿宋_GB2312" w:cs="仿宋_GB2312"/>
          <w:sz w:val="30"/>
          <w:szCs w:val="30"/>
          <w:u w:val="none"/>
        </w:rPr>
        <w:t>。</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社会保障和就业支出（类）抚恤（款）其他优抚支出（项）年初预算为</w:t>
      </w:r>
      <w:r>
        <w:rPr>
          <w:rFonts w:hint="eastAsia" w:ascii="仿宋_GB2312" w:eastAsia="仿宋_GB2312" w:cs="仿宋_GB2312"/>
          <w:sz w:val="30"/>
          <w:szCs w:val="30"/>
          <w:u w:val="none"/>
          <w:lang w:val="en-US" w:eastAsia="zh-CN"/>
        </w:rPr>
        <w:t>50000.00</w:t>
      </w:r>
      <w:r>
        <w:rPr>
          <w:rFonts w:hint="eastAsia" w:ascii="仿宋_GB2312" w:eastAsia="仿宋_GB2312" w:cs="仿宋_GB2312"/>
          <w:sz w:val="30"/>
          <w:szCs w:val="30"/>
          <w:u w:val="none"/>
        </w:rPr>
        <w:t>元，支出决算为39067.00元，完成年初预算数的</w:t>
      </w:r>
      <w:r>
        <w:rPr>
          <w:rFonts w:hint="eastAsia" w:ascii="仿宋_GB2312" w:eastAsia="仿宋_GB2312" w:cs="仿宋_GB2312"/>
          <w:sz w:val="30"/>
          <w:szCs w:val="30"/>
          <w:u w:val="none"/>
          <w:lang w:val="en-US" w:eastAsia="zh-CN"/>
        </w:rPr>
        <w:t>78.13</w:t>
      </w:r>
      <w:r>
        <w:rPr>
          <w:rFonts w:hint="eastAsia" w:ascii="仿宋_GB2312" w:eastAsia="仿宋_GB2312" w:cs="仿宋_GB2312"/>
          <w:sz w:val="30"/>
          <w:szCs w:val="30"/>
          <w:u w:val="none"/>
        </w:rPr>
        <w:t>%，决算数小于年初预算数的主要原因</w:t>
      </w:r>
      <w:r>
        <w:rPr>
          <w:rFonts w:hint="eastAsia" w:ascii="仿宋_GB2312" w:eastAsia="仿宋_GB2312" w:cs="仿宋_GB2312"/>
          <w:sz w:val="30"/>
          <w:szCs w:val="30"/>
          <w:u w:val="none"/>
          <w:lang w:eastAsia="zh-CN"/>
        </w:rPr>
        <w:t>本年退役军人部分补贴由上级单位统一发放。</w:t>
      </w:r>
    </w:p>
    <w:p>
      <w:pPr>
        <w:spacing w:line="600" w:lineRule="exact"/>
        <w:jc w:val="both"/>
        <w:rPr>
          <w:rFonts w:ascii="仿宋_GB2312" w:eastAsia="仿宋_GB2312" w:cs="仿宋_GB2312"/>
          <w:sz w:val="30"/>
          <w:szCs w:val="30"/>
          <w:u w:val="none"/>
        </w:rPr>
      </w:pPr>
      <w:r>
        <w:rPr>
          <w:rFonts w:hint="eastAsia" w:ascii="仿宋_GB2312" w:eastAsia="仿宋_GB2312" w:cs="仿宋_GB2312"/>
          <w:sz w:val="30"/>
          <w:szCs w:val="30"/>
          <w:u w:val="none"/>
        </w:rPr>
        <w:t xml:space="preserve">    社会保障和就业支出（类）退役军人管理事务（款）其他退役军人事务管理支出（项）年初预算为</w:t>
      </w:r>
      <w:r>
        <w:rPr>
          <w:rFonts w:hint="eastAsia" w:ascii="仿宋_GB2312" w:eastAsia="仿宋_GB2312" w:cs="仿宋_GB2312"/>
          <w:sz w:val="30"/>
          <w:szCs w:val="30"/>
          <w:u w:val="none"/>
          <w:lang w:val="en-US" w:eastAsia="zh-CN"/>
        </w:rPr>
        <w:t>276500.00</w:t>
      </w:r>
      <w:r>
        <w:rPr>
          <w:rFonts w:hint="eastAsia" w:ascii="仿宋_GB2312" w:eastAsia="仿宋_GB2312" w:cs="仿宋_GB2312"/>
          <w:sz w:val="30"/>
          <w:szCs w:val="30"/>
          <w:u w:val="none"/>
        </w:rPr>
        <w:t>元，支出决算为185044.00元，完成年初预算数的</w:t>
      </w:r>
      <w:r>
        <w:rPr>
          <w:rFonts w:hint="eastAsia" w:ascii="仿宋_GB2312" w:eastAsia="仿宋_GB2312" w:cs="仿宋_GB2312"/>
          <w:sz w:val="30"/>
          <w:szCs w:val="30"/>
          <w:u w:val="none"/>
          <w:lang w:val="en-US" w:eastAsia="zh-CN"/>
        </w:rPr>
        <w:t>66.92</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本年退役军人部分补贴由上级单位统一发放</w:t>
      </w:r>
      <w:r>
        <w:rPr>
          <w:rFonts w:hint="eastAsia" w:ascii="仿宋_GB2312" w:eastAsia="仿宋_GB2312" w:cs="仿宋_GB2312"/>
          <w:sz w:val="30"/>
          <w:szCs w:val="30"/>
          <w:u w:val="none"/>
        </w:rPr>
        <w:t>。</w:t>
      </w:r>
    </w:p>
    <w:p>
      <w:pPr>
        <w:pStyle w:val="3"/>
        <w:spacing w:before="0" w:after="0" w:line="600" w:lineRule="exact"/>
        <w:ind w:firstLine="600" w:firstLineChars="200"/>
        <w:rPr>
          <w:rFonts w:ascii="黑体" w:hAnsi="黑体" w:eastAsia="黑体"/>
          <w:b w:val="0"/>
          <w:sz w:val="30"/>
          <w:szCs w:val="30"/>
          <w:u w:val="none"/>
        </w:rPr>
      </w:pPr>
      <w:bookmarkStart w:id="22" w:name="_Toc10721"/>
      <w:r>
        <w:rPr>
          <w:rFonts w:ascii="黑体" w:hAnsi="黑体" w:eastAsia="黑体"/>
          <w:b w:val="0"/>
          <w:sz w:val="30"/>
          <w:szCs w:val="30"/>
          <w:u w:val="none"/>
        </w:rPr>
        <w:t>六、一般公共预算财政拨款基本支出决算情况</w:t>
      </w:r>
      <w:r>
        <w:rPr>
          <w:rFonts w:hint="eastAsia" w:ascii="黑体" w:hAnsi="黑体" w:eastAsia="黑体"/>
          <w:b w:val="0"/>
          <w:sz w:val="30"/>
          <w:szCs w:val="30"/>
          <w:u w:val="none"/>
        </w:rPr>
        <w:t>说明</w:t>
      </w:r>
      <w:bookmarkEnd w:id="22"/>
    </w:p>
    <w:p>
      <w:pPr>
        <w:spacing w:line="600" w:lineRule="exact"/>
        <w:ind w:firstLine="645"/>
        <w:jc w:val="both"/>
        <w:rPr>
          <w:rFonts w:hint="eastAsia" w:ascii="仿宋_GB2312" w:eastAsia="仿宋_GB2312" w:cs="仿宋_GB2312"/>
          <w:sz w:val="30"/>
          <w:szCs w:val="30"/>
          <w:u w:val="none"/>
          <w:lang w:eastAsia="zh-CN"/>
        </w:rPr>
      </w:pPr>
      <w:r>
        <w:rPr>
          <w:rFonts w:hint="eastAsia" w:ascii="仿宋_GB2312" w:eastAsia="仿宋_GB2312" w:cs="仿宋_GB2312"/>
          <w:sz w:val="30"/>
          <w:szCs w:val="30"/>
          <w:u w:val="none"/>
        </w:rPr>
        <w:t>天津市津南区北闸口镇退役军人服务站2022年度一般公共预算财政拨款基本支出合计11824.00元，与2021年度相比增加11789.00元，主要原因是本年增加了预算水电费</w:t>
      </w:r>
      <w:r>
        <w:rPr>
          <w:rFonts w:hint="eastAsia" w:ascii="仿宋_GB2312" w:eastAsia="仿宋_GB2312" w:cs="仿宋_GB2312"/>
          <w:sz w:val="30"/>
          <w:szCs w:val="30"/>
          <w:u w:val="none"/>
          <w:lang w:val="en-US" w:eastAsia="zh-CN"/>
        </w:rPr>
        <w:t>50000.00</w:t>
      </w:r>
      <w:r>
        <w:rPr>
          <w:rFonts w:hint="eastAsia" w:ascii="仿宋_GB2312" w:eastAsia="仿宋_GB2312" w:cs="仿宋_GB2312"/>
          <w:sz w:val="30"/>
          <w:szCs w:val="30"/>
          <w:u w:val="none"/>
          <w:lang w:eastAsia="zh-CN"/>
        </w:rPr>
        <w:t>元</w:t>
      </w:r>
      <w:r>
        <w:rPr>
          <w:rFonts w:hint="eastAsia" w:ascii="仿宋_GB2312" w:eastAsia="仿宋_GB2312" w:cs="仿宋_GB2312"/>
          <w:sz w:val="30"/>
          <w:szCs w:val="30"/>
          <w:u w:val="none"/>
        </w:rPr>
        <w:t>，办公费1</w:t>
      </w:r>
      <w:r>
        <w:rPr>
          <w:rFonts w:hint="eastAsia" w:ascii="仿宋_GB2312" w:eastAsia="仿宋_GB2312" w:cs="仿宋_GB2312"/>
          <w:sz w:val="30"/>
          <w:szCs w:val="30"/>
          <w:u w:val="none"/>
          <w:lang w:val="en-US" w:eastAsia="zh-CN"/>
        </w:rPr>
        <w:t>3000.00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eastAsia="zh-CN"/>
        </w:rPr>
        <w:t>。</w:t>
      </w:r>
    </w:p>
    <w:p>
      <w:pPr>
        <w:pStyle w:val="3"/>
        <w:spacing w:before="0" w:after="0" w:line="600" w:lineRule="exact"/>
        <w:ind w:firstLine="600" w:firstLineChars="200"/>
        <w:rPr>
          <w:rFonts w:ascii="楷体" w:hAnsi="楷体" w:eastAsia="楷体" w:cs="仿宋_GB2312"/>
          <w:b w:val="0"/>
          <w:sz w:val="30"/>
          <w:szCs w:val="30"/>
          <w:u w:val="none"/>
        </w:rPr>
      </w:pPr>
      <w:bookmarkStart w:id="23" w:name="_Toc17918"/>
      <w:r>
        <w:rPr>
          <w:rFonts w:hint="eastAsia" w:ascii="黑体" w:hAnsi="黑体" w:eastAsia="黑体"/>
          <w:b w:val="0"/>
          <w:sz w:val="30"/>
          <w:szCs w:val="30"/>
          <w:u w:val="none"/>
        </w:rPr>
        <w:t>七</w:t>
      </w:r>
      <w:r>
        <w:rPr>
          <w:rFonts w:ascii="黑体" w:hAnsi="黑体" w:eastAsia="黑体"/>
          <w:b w:val="0"/>
          <w:sz w:val="30"/>
          <w:szCs w:val="30"/>
          <w:u w:val="none"/>
        </w:rPr>
        <w:t>、政府性基金预算财政拨款</w:t>
      </w:r>
      <w:r>
        <w:rPr>
          <w:rFonts w:hint="eastAsia" w:ascii="黑体" w:hAnsi="黑体" w:eastAsia="黑体"/>
          <w:b w:val="0"/>
          <w:sz w:val="30"/>
          <w:szCs w:val="30"/>
          <w:u w:val="none"/>
        </w:rPr>
        <w:t>收支决算</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3"/>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天津市津南区北闸口镇退役军人服务站2022年度无政府性基金预算财政拨款收入、支出和结转结余。</w:t>
      </w:r>
    </w:p>
    <w:p>
      <w:pPr>
        <w:pStyle w:val="3"/>
        <w:spacing w:before="0" w:after="0" w:line="600" w:lineRule="exact"/>
        <w:ind w:firstLine="600" w:firstLineChars="200"/>
        <w:rPr>
          <w:rFonts w:eastAsia="黑体"/>
          <w:b w:val="0"/>
          <w:sz w:val="30"/>
          <w:szCs w:val="30"/>
          <w:u w:val="none"/>
        </w:rPr>
      </w:pPr>
      <w:bookmarkStart w:id="24" w:name="_Toc23897"/>
      <w:r>
        <w:rPr>
          <w:rFonts w:hint="eastAsia" w:eastAsia="黑体"/>
          <w:b w:val="0"/>
          <w:sz w:val="30"/>
          <w:szCs w:val="30"/>
          <w:u w:val="none"/>
        </w:rPr>
        <w:t>八、国有资本经营预算财政拨款收支决算情况</w:t>
      </w:r>
      <w:r>
        <w:rPr>
          <w:rFonts w:hint="eastAsia" w:ascii="黑体" w:hAnsi="黑体" w:eastAsia="黑体"/>
          <w:b w:val="0"/>
          <w:bCs w:val="0"/>
          <w:sz w:val="30"/>
          <w:szCs w:val="30"/>
          <w:u w:val="none"/>
        </w:rPr>
        <w:t>说明</w:t>
      </w:r>
      <w:bookmarkEnd w:id="24"/>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天津市津南区北闸口镇退役军人服务站2022年度无国有资本经营预算财政拨款收入、支出和结转结余。</w:t>
      </w:r>
    </w:p>
    <w:p>
      <w:pPr>
        <w:pStyle w:val="3"/>
        <w:spacing w:before="0" w:after="0" w:line="600" w:lineRule="exact"/>
        <w:ind w:firstLine="600" w:firstLineChars="200"/>
        <w:rPr>
          <w:rFonts w:ascii="黑体" w:hAnsi="黑体" w:eastAsia="黑体"/>
          <w:b w:val="0"/>
          <w:sz w:val="30"/>
          <w:szCs w:val="30"/>
          <w:u w:val="none"/>
        </w:rPr>
      </w:pPr>
      <w:bookmarkStart w:id="25" w:name="_Toc4518"/>
      <w:r>
        <w:rPr>
          <w:rFonts w:hint="eastAsia" w:ascii="黑体" w:hAnsi="黑体" w:eastAsia="黑体"/>
          <w:b w:val="0"/>
          <w:sz w:val="30"/>
          <w:szCs w:val="30"/>
          <w:u w:val="none"/>
        </w:rPr>
        <w:t>九、</w:t>
      </w:r>
      <w:r>
        <w:rPr>
          <w:rFonts w:ascii="黑体" w:hAnsi="黑体" w:eastAsia="黑体"/>
          <w:b w:val="0"/>
          <w:sz w:val="30"/>
          <w:szCs w:val="30"/>
          <w:u w:val="none"/>
        </w:rPr>
        <w:t>一般公共预算财政拨款“三公”经费</w:t>
      </w:r>
      <w:r>
        <w:rPr>
          <w:rFonts w:hint="eastAsia" w:ascii="黑体" w:hAnsi="黑体" w:eastAsia="黑体"/>
          <w:b w:val="0"/>
          <w:sz w:val="30"/>
          <w:szCs w:val="30"/>
          <w:u w:val="none"/>
        </w:rPr>
        <w:t>支出决算</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5"/>
    </w:p>
    <w:p>
      <w:pPr>
        <w:spacing w:line="600" w:lineRule="exact"/>
        <w:ind w:firstLine="602" w:firstLineChars="200"/>
        <w:jc w:val="both"/>
        <w:rPr>
          <w:rFonts w:ascii="楷体" w:hAnsi="楷体" w:eastAsia="楷体" w:cs="楷体"/>
          <w:b/>
          <w:bCs/>
          <w:sz w:val="30"/>
          <w:szCs w:val="30"/>
          <w:u w:val="none"/>
        </w:rPr>
      </w:pPr>
      <w:r>
        <w:rPr>
          <w:rFonts w:hint="eastAsia" w:ascii="楷体" w:hAnsi="楷体" w:eastAsia="楷体" w:cs="楷体"/>
          <w:b/>
          <w:bCs/>
          <w:sz w:val="30"/>
          <w:szCs w:val="30"/>
          <w:u w:val="none"/>
        </w:rPr>
        <w:t>（一）总体情况</w:t>
      </w:r>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2022年一般公共预算财政拨款“三公”经费预算0.00元，支出决算0.00元（去年同期0.00元），支出决算与2022年预算相比持平；支出决算较上年持平。决算数与预算数持平的主要原因是本年度未用一般公共预算列支“三公”经费。决算数较上年持平的主要原因是本年度未用一般公共预算列支三公经费。</w:t>
      </w:r>
    </w:p>
    <w:p>
      <w:pPr>
        <w:spacing w:line="600" w:lineRule="exact"/>
        <w:ind w:firstLine="602" w:firstLineChars="200"/>
        <w:jc w:val="both"/>
        <w:rPr>
          <w:rFonts w:ascii="楷体" w:hAnsi="楷体" w:eastAsia="楷体" w:cs="楷体"/>
          <w:b/>
          <w:bCs/>
          <w:sz w:val="30"/>
          <w:szCs w:val="30"/>
          <w:u w:val="none"/>
        </w:rPr>
      </w:pPr>
      <w:r>
        <w:rPr>
          <w:rFonts w:hint="eastAsia" w:ascii="楷体" w:hAnsi="楷体" w:eastAsia="楷体" w:cs="楷体"/>
          <w:b/>
          <w:bCs/>
          <w:sz w:val="30"/>
          <w:szCs w:val="30"/>
          <w:u w:val="none"/>
        </w:rPr>
        <w:t>（二）具体情况</w:t>
      </w:r>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1.因公出国（境）费预算0.00元，支出决算0.00元（去年同期0.00元），支出决算与预算相比持平；支出决算较上年持平。决算数与预算数持平的主要原因是本年度未用一般公共预算列支“因公出国（境）”经费。决算数较上年持平的主要原因是本年度未用一般公共预算列支“因公出国（境）”经费。2022年本单位组织的出国团组0个，出国0人次。</w:t>
      </w:r>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2.公务用车购置及运行维护费预算0.00元，支出决算0.00元（去年同期0.00元），支出决算与预算相比持平；支出决算较上年持平。其中：</w:t>
      </w:r>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公务用车运行维护费预算0.00元，支出决算0.00元（去年同期0.00元），支出决算与预算相比持平；支出决算较上年持平。决算数与预算数持平的主要原因是本年度未用一般公共预算列支“公务用车运行维护费”经费。决算数较上年持平的主要原因是本年度未用一般公共预算列支三公经费。截至2022年12月31日，使用一般公共预算财政拨款开支运行维护费的公务用车保有量为0辆。</w:t>
      </w:r>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公务用车购置费预算0.00元，支出决算0.00元（去年同期0.00元），支出决算与预算相比持平；支出决算较上年持平。决算数与预算数持平的主要原因是本年度未用一般公共预算列支“公务用车购置”经费。决算数较上年持平的主要原因是本年度未用一般公共预算列支“公务用车购置”经费。2022年购置公务用车0辆。</w:t>
      </w:r>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3.公务接待费预算0.00元，支出决算0.00元（去年同期0.00元），支出决算与预算相比持平；支出决算较上年持平。决算数与预算数持平的主要原因是本年度未用一般公共预算列支“公务接待”经费。决算数较上年持平的主要原因是本年度未用一般公共预算列支“公务接待”经费。2022年本单位国内公务接待0批次，0人次；其中，外事接待0批次，0人次。</w:t>
      </w:r>
    </w:p>
    <w:p>
      <w:pPr>
        <w:pStyle w:val="3"/>
        <w:spacing w:before="0" w:after="0" w:line="600" w:lineRule="exact"/>
        <w:ind w:firstLine="600" w:firstLineChars="200"/>
        <w:rPr>
          <w:rFonts w:hint="eastAsia" w:ascii="黑体" w:hAnsi="黑体" w:eastAsia="黑体"/>
          <w:b w:val="0"/>
          <w:sz w:val="30"/>
          <w:szCs w:val="30"/>
          <w:u w:val="none"/>
        </w:rPr>
      </w:pPr>
      <w:bookmarkStart w:id="26" w:name="_Toc3411"/>
      <w:r>
        <w:rPr>
          <w:rFonts w:hint="eastAsia" w:ascii="黑体" w:hAnsi="黑体" w:eastAsia="黑体"/>
          <w:b w:val="0"/>
          <w:sz w:val="30"/>
          <w:szCs w:val="30"/>
          <w:u w:val="none"/>
        </w:rPr>
        <w:t>十、机关运行经费支出情况说明</w:t>
      </w:r>
      <w:bookmarkEnd w:id="26"/>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天津市津南区北闸口镇退役军人服务站2022年度无机关运行经费。</w:t>
      </w:r>
    </w:p>
    <w:p>
      <w:pPr>
        <w:pStyle w:val="3"/>
        <w:spacing w:before="0" w:after="0" w:line="600" w:lineRule="exact"/>
        <w:ind w:firstLine="600" w:firstLineChars="200"/>
        <w:rPr>
          <w:rFonts w:ascii="黑体" w:hAnsi="黑体" w:eastAsia="黑体"/>
          <w:b w:val="0"/>
          <w:sz w:val="30"/>
          <w:szCs w:val="30"/>
          <w:u w:val="none"/>
        </w:rPr>
      </w:pPr>
      <w:bookmarkStart w:id="27" w:name="_Toc31102"/>
      <w:r>
        <w:rPr>
          <w:rFonts w:hint="eastAsia" w:ascii="黑体" w:hAnsi="黑体" w:eastAsia="黑体"/>
          <w:b w:val="0"/>
          <w:sz w:val="30"/>
          <w:szCs w:val="30"/>
          <w:u w:val="none"/>
        </w:rPr>
        <w:t>十一、</w:t>
      </w:r>
      <w:r>
        <w:rPr>
          <w:rFonts w:ascii="黑体" w:hAnsi="黑体" w:eastAsia="黑体"/>
          <w:b w:val="0"/>
          <w:sz w:val="30"/>
          <w:szCs w:val="30"/>
          <w:u w:val="none"/>
        </w:rPr>
        <w:t>政府采购</w:t>
      </w:r>
      <w:r>
        <w:rPr>
          <w:rFonts w:hint="eastAsia" w:ascii="黑体" w:hAnsi="黑体" w:eastAsia="黑体"/>
          <w:b w:val="0"/>
          <w:sz w:val="30"/>
          <w:szCs w:val="30"/>
          <w:u w:val="none"/>
        </w:rPr>
        <w:t>支出</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7"/>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天津市津南区北闸口镇退役军人服务站2022年度无政府采购支出。</w:t>
      </w:r>
    </w:p>
    <w:p>
      <w:pPr>
        <w:pStyle w:val="3"/>
        <w:spacing w:before="0" w:after="0" w:line="600" w:lineRule="exact"/>
        <w:ind w:firstLine="600" w:firstLineChars="200"/>
        <w:rPr>
          <w:rFonts w:ascii="黑体" w:hAnsi="黑体" w:eastAsia="黑体"/>
          <w:b w:val="0"/>
          <w:sz w:val="30"/>
          <w:szCs w:val="30"/>
          <w:u w:val="none"/>
        </w:rPr>
      </w:pPr>
      <w:bookmarkStart w:id="28" w:name="_Toc23709"/>
      <w:r>
        <w:rPr>
          <w:rFonts w:hint="eastAsia" w:ascii="黑体" w:hAnsi="黑体" w:eastAsia="黑体"/>
          <w:b w:val="0"/>
          <w:sz w:val="30"/>
          <w:szCs w:val="30"/>
          <w:u w:val="none"/>
        </w:rPr>
        <w:t>十二、国有资产占有使用情况</w:t>
      </w:r>
      <w:r>
        <w:rPr>
          <w:rFonts w:hint="eastAsia" w:ascii="黑体" w:hAnsi="黑体" w:eastAsia="黑体"/>
          <w:b w:val="0"/>
          <w:bCs w:val="0"/>
          <w:sz w:val="30"/>
          <w:szCs w:val="30"/>
          <w:u w:val="none"/>
        </w:rPr>
        <w:t>说明</w:t>
      </w:r>
      <w:bookmarkEnd w:id="28"/>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天津市津南区北闸口镇退役军人服务站2022年度无国有资产占有使用情况。</w:t>
      </w:r>
    </w:p>
    <w:p>
      <w:pPr>
        <w:pStyle w:val="3"/>
        <w:numPr>
          <w:ilvl w:val="0"/>
          <w:numId w:val="2"/>
        </w:numPr>
        <w:spacing w:before="0" w:after="0" w:line="540" w:lineRule="exact"/>
        <w:ind w:left="0" w:leftChars="0" w:firstLine="600" w:firstLineChars="200"/>
        <w:rPr>
          <w:rFonts w:hint="eastAsia" w:ascii="黑体" w:hAnsi="黑体" w:eastAsia="黑体"/>
          <w:b w:val="0"/>
          <w:bCs w:val="0"/>
          <w:sz w:val="30"/>
          <w:szCs w:val="30"/>
          <w:u w:val="none"/>
        </w:rPr>
      </w:pPr>
      <w:bookmarkStart w:id="29" w:name="_Toc11467"/>
      <w:r>
        <w:rPr>
          <w:rFonts w:hint="eastAsia" w:ascii="黑体" w:hAnsi="黑体" w:eastAsia="黑体"/>
          <w:b w:val="0"/>
          <w:bCs w:val="0"/>
          <w:sz w:val="30"/>
          <w:szCs w:val="30"/>
          <w:u w:val="none"/>
        </w:rPr>
        <w:t>预算绩效情况说明</w:t>
      </w:r>
      <w:bookmarkEnd w:id="29"/>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根据预算绩效管理要求，天津市津南区北闸口镇退役军人服务站2022年度已对</w:t>
      </w:r>
      <w:r>
        <w:rPr>
          <w:rFonts w:hint="eastAsia" w:ascii="仿宋_GB2312" w:eastAsia="仿宋_GB2312" w:cs="仿宋_GB2312"/>
          <w:sz w:val="30"/>
          <w:szCs w:val="30"/>
          <w:u w:val="none"/>
          <w:lang w:val="en-US" w:eastAsia="zh-CN"/>
        </w:rPr>
        <w:t>8</w:t>
      </w:r>
      <w:r>
        <w:rPr>
          <w:rFonts w:hint="eastAsia" w:ascii="仿宋_GB2312" w:eastAsia="仿宋_GB2312" w:cs="仿宋_GB2312"/>
          <w:sz w:val="30"/>
          <w:szCs w:val="30"/>
          <w:u w:val="none"/>
        </w:rPr>
        <w:t>个</w:t>
      </w:r>
      <w:r>
        <w:rPr>
          <w:rFonts w:hint="eastAsia" w:ascii="仿宋_GB2312" w:eastAsia="仿宋_GB2312" w:cs="仿宋_GB2312"/>
          <w:sz w:val="30"/>
          <w:szCs w:val="30"/>
          <w:u w:val="none"/>
          <w:lang w:eastAsia="zh-CN"/>
        </w:rPr>
        <w:t>镇</w:t>
      </w:r>
      <w:r>
        <w:rPr>
          <w:rFonts w:hint="eastAsia" w:ascii="仿宋_GB2312" w:eastAsia="仿宋_GB2312" w:cs="仿宋_GB2312"/>
          <w:sz w:val="30"/>
          <w:szCs w:val="30"/>
          <w:u w:val="none"/>
        </w:rPr>
        <w:t>级项目开展绩效自评，涉及金额</w:t>
      </w:r>
      <w:r>
        <w:rPr>
          <w:rFonts w:hint="eastAsia" w:ascii="仿宋_GB2312" w:eastAsia="仿宋_GB2312" w:cs="仿宋_GB2312"/>
          <w:sz w:val="30"/>
          <w:szCs w:val="30"/>
          <w:u w:val="none"/>
          <w:lang w:val="en-US" w:eastAsia="zh-CN"/>
        </w:rPr>
        <w:t>160022.00</w:t>
      </w:r>
      <w:r>
        <w:rPr>
          <w:rFonts w:hint="eastAsia" w:ascii="仿宋_GB2312" w:eastAsia="仿宋_GB2312" w:cs="仿宋_GB2312"/>
          <w:sz w:val="30"/>
          <w:szCs w:val="30"/>
          <w:u w:val="none"/>
        </w:rPr>
        <w:t>元，自评结果已随部门决算一并公开。</w:t>
      </w:r>
    </w:p>
    <w:p>
      <w:pPr>
        <w:pStyle w:val="3"/>
        <w:spacing w:before="0" w:after="0" w:line="600" w:lineRule="exact"/>
        <w:ind w:firstLine="600" w:firstLineChars="200"/>
        <w:rPr>
          <w:rFonts w:ascii="Times New Roman" w:hAnsi="Times New Roman" w:eastAsia="黑体"/>
          <w:b w:val="0"/>
          <w:sz w:val="30"/>
          <w:szCs w:val="30"/>
          <w:u w:val="none"/>
        </w:rPr>
      </w:pPr>
      <w:bookmarkStart w:id="30" w:name="_Toc15949"/>
      <w:r>
        <w:rPr>
          <w:rFonts w:hint="eastAsia" w:ascii="Times New Roman" w:hAnsi="Times New Roman" w:eastAsia="黑体"/>
          <w:b w:val="0"/>
          <w:sz w:val="30"/>
          <w:szCs w:val="30"/>
          <w:u w:val="none"/>
        </w:rPr>
        <w:t>十四、</w:t>
      </w:r>
      <w:r>
        <w:rPr>
          <w:rFonts w:ascii="Times New Roman" w:hAnsi="Times New Roman" w:eastAsia="黑体"/>
          <w:b w:val="0"/>
          <w:sz w:val="30"/>
          <w:szCs w:val="30"/>
          <w:u w:val="none"/>
        </w:rPr>
        <w:t>教育、医疗卫生、社会保障和就业、住房保障、涉农补贴等民生支出情况</w:t>
      </w:r>
      <w:r>
        <w:rPr>
          <w:rFonts w:hint="eastAsia" w:ascii="黑体" w:hAnsi="黑体" w:eastAsia="黑体"/>
          <w:b w:val="0"/>
          <w:bCs w:val="0"/>
          <w:sz w:val="30"/>
          <w:szCs w:val="30"/>
          <w:u w:val="none"/>
        </w:rPr>
        <w:t>说明</w:t>
      </w:r>
      <w:bookmarkEnd w:id="30"/>
    </w:p>
    <w:p>
      <w:pPr>
        <w:spacing w:line="600" w:lineRule="exact"/>
        <w:ind w:firstLine="645"/>
        <w:jc w:val="both"/>
        <w:rPr>
          <w:rFonts w:ascii="仿宋_GB2312" w:eastAsia="仿宋_GB2312" w:cs="仿宋_GB2312"/>
          <w:sz w:val="30"/>
          <w:szCs w:val="30"/>
          <w:u w:val="none"/>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u w:val="none"/>
        </w:rPr>
        <w:t>2022年度，天津市津南区北闸口镇退役军人服务站</w:t>
      </w:r>
      <w:r>
        <w:rPr>
          <w:rFonts w:hint="eastAsia" w:ascii="仿宋_GB2312" w:eastAsia="仿宋_GB2312" w:cs="仿宋_GB2312"/>
          <w:sz w:val="30"/>
          <w:szCs w:val="30"/>
          <w:u w:val="none"/>
          <w:lang w:eastAsia="zh-CN"/>
        </w:rPr>
        <w:t>无</w:t>
      </w:r>
      <w:r>
        <w:rPr>
          <w:rFonts w:hint="eastAsia" w:ascii="仿宋_GB2312" w:eastAsia="仿宋_GB2312" w:cs="仿宋_GB2312"/>
          <w:sz w:val="30"/>
          <w:szCs w:val="30"/>
          <w:u w:val="none"/>
        </w:rPr>
        <w:t>教育、医疗卫生、社会保障和就业、住房保障、涉农补贴等民生支出情况。</w:t>
      </w:r>
      <w:bookmarkStart w:id="32" w:name="_GoBack"/>
      <w:bookmarkEnd w:id="32"/>
    </w:p>
    <w:p>
      <w:pPr>
        <w:pStyle w:val="2"/>
        <w:spacing w:before="0" w:after="0" w:line="600" w:lineRule="exact"/>
        <w:jc w:val="center"/>
        <w:rPr>
          <w:rFonts w:ascii="方正小标宋简体" w:hAnsi="方正小标宋简体" w:eastAsia="方正小标宋简体" w:cs="方正小标宋简体"/>
          <w:b w:val="0"/>
          <w:u w:val="none"/>
        </w:rPr>
      </w:pPr>
      <w:bookmarkStart w:id="31" w:name="_Toc30612"/>
      <w:r>
        <w:rPr>
          <w:rFonts w:hint="eastAsia" w:ascii="方正小标宋简体" w:hAnsi="方正小标宋简体" w:eastAsia="方正小标宋简体" w:cs="方正小标宋简体"/>
          <w:b w:val="0"/>
          <w:u w:val="none"/>
        </w:rPr>
        <w:t>第四部分  名词解释</w:t>
      </w:r>
      <w:bookmarkEnd w:id="31"/>
    </w:p>
    <w:p>
      <w:pPr>
        <w:spacing w:line="600" w:lineRule="exact"/>
        <w:ind w:firstLine="600" w:firstLineChars="200"/>
        <w:rPr>
          <w:rFonts w:ascii="仿宋_GB2312" w:eastAsia="仿宋_GB2312"/>
          <w:sz w:val="30"/>
          <w:szCs w:val="30"/>
          <w:u w:val="none"/>
        </w:rPr>
      </w:pPr>
    </w:p>
    <w:p>
      <w:pPr>
        <w:numPr>
          <w:ilvl w:val="0"/>
          <w:numId w:val="4"/>
        </w:numPr>
        <w:spacing w:line="600" w:lineRule="exact"/>
        <w:ind w:firstLine="600" w:firstLineChars="200"/>
        <w:rPr>
          <w:rFonts w:eastAsia="仿宋_GB2312"/>
          <w:sz w:val="30"/>
          <w:szCs w:val="30"/>
          <w:u w:val="none"/>
        </w:rPr>
      </w:pPr>
      <w:r>
        <w:rPr>
          <w:rFonts w:hint="eastAsia" w:eastAsia="仿宋_GB2312"/>
          <w:sz w:val="30"/>
          <w:szCs w:val="30"/>
          <w:u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u w:val="none"/>
        </w:rPr>
      </w:pPr>
      <w:r>
        <w:rPr>
          <w:rFonts w:hint="eastAsia" w:eastAsia="仿宋_GB2312"/>
          <w:sz w:val="30"/>
          <w:szCs w:val="30"/>
          <w:u w:val="none"/>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u w:val="none"/>
        </w:rPr>
      </w:pPr>
      <w:r>
        <w:rPr>
          <w:rFonts w:hint="eastAsia" w:eastAsia="仿宋_GB2312"/>
          <w:sz w:val="30"/>
          <w:szCs w:val="30"/>
          <w:u w:val="none"/>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firstLineChars="200"/>
        <w:rPr>
          <w:rFonts w:eastAsia="仿宋_GB2312"/>
          <w:sz w:val="30"/>
          <w:szCs w:val="30"/>
          <w:highlight w:val="yellow"/>
          <w:u w:val="none"/>
        </w:rPr>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CAB30"/>
    <w:multiLevelType w:val="singleLevel"/>
    <w:tmpl w:val="0ADCAB30"/>
    <w:lvl w:ilvl="0" w:tentative="0">
      <w:start w:val="1"/>
      <w:numFmt w:val="chineseCounting"/>
      <w:suff w:val="nothing"/>
      <w:lvlText w:val="%1、"/>
      <w:lvlJc w:val="left"/>
      <w:rPr>
        <w:rFonts w:hint="eastAsia"/>
      </w:rPr>
    </w:lvl>
  </w:abstractNum>
  <w:abstractNum w:abstractNumId="1">
    <w:nsid w:val="403A6DC5"/>
    <w:multiLevelType w:val="singleLevel"/>
    <w:tmpl w:val="403A6DC5"/>
    <w:lvl w:ilvl="0" w:tentative="0">
      <w:start w:val="12"/>
      <w:numFmt w:val="chineseCounting"/>
      <w:suff w:val="nothing"/>
      <w:lvlText w:val="%1、"/>
      <w:lvlJc w:val="left"/>
      <w:rPr>
        <w:rFonts w:hint="eastAsia"/>
      </w:rPr>
    </w:lvl>
  </w:abstractNum>
  <w:abstractNum w:abstractNumId="2">
    <w:nsid w:val="62CB79B7"/>
    <w:multiLevelType w:val="singleLevel"/>
    <w:tmpl w:val="62CB79B7"/>
    <w:lvl w:ilvl="0" w:tentative="0">
      <w:start w:val="3"/>
      <w:numFmt w:val="chineseCounting"/>
      <w:suff w:val="nothing"/>
      <w:lvlText w:val="（%1）"/>
      <w:lvlJc w:val="left"/>
    </w:lvl>
  </w:abstractNum>
  <w:abstractNum w:abstractNumId="3">
    <w:nsid w:val="62CB88B4"/>
    <w:multiLevelType w:val="singleLevel"/>
    <w:tmpl w:val="62CB88B4"/>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ZmJjZTk2ZTkyODk0YjRhYzQ1MWY2MDgzOGJjMDUifQ=="/>
  </w:docVars>
  <w:rsids>
    <w:rsidRoot w:val="00172A27"/>
    <w:rsid w:val="00015911"/>
    <w:rsid w:val="000423B8"/>
    <w:rsid w:val="00046E1C"/>
    <w:rsid w:val="00053901"/>
    <w:rsid w:val="000864BF"/>
    <w:rsid w:val="00092AB8"/>
    <w:rsid w:val="000B4E39"/>
    <w:rsid w:val="00112C55"/>
    <w:rsid w:val="001179AF"/>
    <w:rsid w:val="0012059C"/>
    <w:rsid w:val="00124993"/>
    <w:rsid w:val="0012531C"/>
    <w:rsid w:val="00126E2D"/>
    <w:rsid w:val="00172A27"/>
    <w:rsid w:val="001829A0"/>
    <w:rsid w:val="00186ED8"/>
    <w:rsid w:val="001974AC"/>
    <w:rsid w:val="001F61CD"/>
    <w:rsid w:val="00215444"/>
    <w:rsid w:val="00215EBD"/>
    <w:rsid w:val="00241712"/>
    <w:rsid w:val="002532F7"/>
    <w:rsid w:val="002566ED"/>
    <w:rsid w:val="00257643"/>
    <w:rsid w:val="002912A7"/>
    <w:rsid w:val="002D2BBE"/>
    <w:rsid w:val="002E091E"/>
    <w:rsid w:val="002F00A9"/>
    <w:rsid w:val="003365DD"/>
    <w:rsid w:val="00352CF7"/>
    <w:rsid w:val="003714D5"/>
    <w:rsid w:val="00381206"/>
    <w:rsid w:val="0038216E"/>
    <w:rsid w:val="003942CD"/>
    <w:rsid w:val="003A4529"/>
    <w:rsid w:val="004040D1"/>
    <w:rsid w:val="00432D37"/>
    <w:rsid w:val="0044208E"/>
    <w:rsid w:val="00464079"/>
    <w:rsid w:val="00465602"/>
    <w:rsid w:val="004918AD"/>
    <w:rsid w:val="004A1361"/>
    <w:rsid w:val="0050332F"/>
    <w:rsid w:val="00532C4C"/>
    <w:rsid w:val="00570354"/>
    <w:rsid w:val="005B60DB"/>
    <w:rsid w:val="005C22AF"/>
    <w:rsid w:val="005F2510"/>
    <w:rsid w:val="00676A5E"/>
    <w:rsid w:val="006A54BF"/>
    <w:rsid w:val="006D05B2"/>
    <w:rsid w:val="00722412"/>
    <w:rsid w:val="00727434"/>
    <w:rsid w:val="00734D29"/>
    <w:rsid w:val="00754A95"/>
    <w:rsid w:val="0077787E"/>
    <w:rsid w:val="0079348B"/>
    <w:rsid w:val="007A3491"/>
    <w:rsid w:val="007B4B58"/>
    <w:rsid w:val="007B78DD"/>
    <w:rsid w:val="007F3679"/>
    <w:rsid w:val="007F448B"/>
    <w:rsid w:val="007F718E"/>
    <w:rsid w:val="00801B2B"/>
    <w:rsid w:val="0080287C"/>
    <w:rsid w:val="00803B43"/>
    <w:rsid w:val="00817AE2"/>
    <w:rsid w:val="008405C5"/>
    <w:rsid w:val="0085671E"/>
    <w:rsid w:val="00876FA4"/>
    <w:rsid w:val="00893EAC"/>
    <w:rsid w:val="008A6092"/>
    <w:rsid w:val="008C19C3"/>
    <w:rsid w:val="008C3474"/>
    <w:rsid w:val="008C677C"/>
    <w:rsid w:val="008D2605"/>
    <w:rsid w:val="008D64CE"/>
    <w:rsid w:val="008E4334"/>
    <w:rsid w:val="009142B8"/>
    <w:rsid w:val="00915276"/>
    <w:rsid w:val="00936468"/>
    <w:rsid w:val="009371C3"/>
    <w:rsid w:val="00977064"/>
    <w:rsid w:val="0098387F"/>
    <w:rsid w:val="009D4654"/>
    <w:rsid w:val="009E0EF5"/>
    <w:rsid w:val="009F18E1"/>
    <w:rsid w:val="009F712F"/>
    <w:rsid w:val="00A12C57"/>
    <w:rsid w:val="00A557F8"/>
    <w:rsid w:val="00AA676A"/>
    <w:rsid w:val="00B13870"/>
    <w:rsid w:val="00B14558"/>
    <w:rsid w:val="00B17258"/>
    <w:rsid w:val="00B210F5"/>
    <w:rsid w:val="00B53416"/>
    <w:rsid w:val="00B807AE"/>
    <w:rsid w:val="00B95DF2"/>
    <w:rsid w:val="00BA3182"/>
    <w:rsid w:val="00BB0047"/>
    <w:rsid w:val="00BB051A"/>
    <w:rsid w:val="00BD343E"/>
    <w:rsid w:val="00BE682B"/>
    <w:rsid w:val="00C0672E"/>
    <w:rsid w:val="00C33362"/>
    <w:rsid w:val="00C47864"/>
    <w:rsid w:val="00C528B3"/>
    <w:rsid w:val="00C52B2B"/>
    <w:rsid w:val="00C53602"/>
    <w:rsid w:val="00C77332"/>
    <w:rsid w:val="00C83F29"/>
    <w:rsid w:val="00CA5CD5"/>
    <w:rsid w:val="00CE4C80"/>
    <w:rsid w:val="00CE7A0E"/>
    <w:rsid w:val="00CF0671"/>
    <w:rsid w:val="00CF4ADE"/>
    <w:rsid w:val="00D20562"/>
    <w:rsid w:val="00D56FBF"/>
    <w:rsid w:val="00D81609"/>
    <w:rsid w:val="00DA3A83"/>
    <w:rsid w:val="00DB0D2B"/>
    <w:rsid w:val="00DC0D31"/>
    <w:rsid w:val="00E124DF"/>
    <w:rsid w:val="00E21DD7"/>
    <w:rsid w:val="00E4337C"/>
    <w:rsid w:val="00E56EBF"/>
    <w:rsid w:val="00E56F06"/>
    <w:rsid w:val="00E576CC"/>
    <w:rsid w:val="00E8795B"/>
    <w:rsid w:val="00EB277E"/>
    <w:rsid w:val="00EB7B3B"/>
    <w:rsid w:val="00F01373"/>
    <w:rsid w:val="00F14DB8"/>
    <w:rsid w:val="00F3454D"/>
    <w:rsid w:val="00F3737B"/>
    <w:rsid w:val="00F6315A"/>
    <w:rsid w:val="00FF6CDB"/>
    <w:rsid w:val="01582EB3"/>
    <w:rsid w:val="01670A75"/>
    <w:rsid w:val="01D92F4B"/>
    <w:rsid w:val="02025D4F"/>
    <w:rsid w:val="021D09AE"/>
    <w:rsid w:val="02317CA1"/>
    <w:rsid w:val="02C26D17"/>
    <w:rsid w:val="032B2B72"/>
    <w:rsid w:val="03633F1C"/>
    <w:rsid w:val="03877CF5"/>
    <w:rsid w:val="03971CD2"/>
    <w:rsid w:val="03997587"/>
    <w:rsid w:val="03A73B20"/>
    <w:rsid w:val="04D27C6A"/>
    <w:rsid w:val="04DA6E85"/>
    <w:rsid w:val="054E0E8D"/>
    <w:rsid w:val="05901C8F"/>
    <w:rsid w:val="059D199E"/>
    <w:rsid w:val="06516202"/>
    <w:rsid w:val="065A73D7"/>
    <w:rsid w:val="068D56CD"/>
    <w:rsid w:val="068F1656"/>
    <w:rsid w:val="06CE3C39"/>
    <w:rsid w:val="070745F4"/>
    <w:rsid w:val="0750320D"/>
    <w:rsid w:val="080C427F"/>
    <w:rsid w:val="08496DC5"/>
    <w:rsid w:val="08601190"/>
    <w:rsid w:val="08610C17"/>
    <w:rsid w:val="088D0CAB"/>
    <w:rsid w:val="08AB76E6"/>
    <w:rsid w:val="08B17C7F"/>
    <w:rsid w:val="09794F69"/>
    <w:rsid w:val="09BC7107"/>
    <w:rsid w:val="09C86481"/>
    <w:rsid w:val="09CD6F6A"/>
    <w:rsid w:val="0ABD2EA9"/>
    <w:rsid w:val="0AF02B7A"/>
    <w:rsid w:val="0B0C0657"/>
    <w:rsid w:val="0B2F7E6E"/>
    <w:rsid w:val="0B7057C8"/>
    <w:rsid w:val="0BF51CAC"/>
    <w:rsid w:val="0C327E5C"/>
    <w:rsid w:val="0D66464C"/>
    <w:rsid w:val="0DCA24E7"/>
    <w:rsid w:val="0E1905E8"/>
    <w:rsid w:val="0E6B081A"/>
    <w:rsid w:val="0E812A35"/>
    <w:rsid w:val="0EDD5315"/>
    <w:rsid w:val="0F3A7BBE"/>
    <w:rsid w:val="0FB146BC"/>
    <w:rsid w:val="10D0376E"/>
    <w:rsid w:val="11551601"/>
    <w:rsid w:val="11D75F2F"/>
    <w:rsid w:val="11D802DB"/>
    <w:rsid w:val="121401BA"/>
    <w:rsid w:val="122B009F"/>
    <w:rsid w:val="12946208"/>
    <w:rsid w:val="135D03D9"/>
    <w:rsid w:val="13A17616"/>
    <w:rsid w:val="144F5DF3"/>
    <w:rsid w:val="149264E6"/>
    <w:rsid w:val="14A04A70"/>
    <w:rsid w:val="14B33E8A"/>
    <w:rsid w:val="14F31DE2"/>
    <w:rsid w:val="15127621"/>
    <w:rsid w:val="156A2C3E"/>
    <w:rsid w:val="157A3189"/>
    <w:rsid w:val="158567F3"/>
    <w:rsid w:val="15E37C52"/>
    <w:rsid w:val="15FF3C8F"/>
    <w:rsid w:val="169221B4"/>
    <w:rsid w:val="16EA0A1B"/>
    <w:rsid w:val="179C36CC"/>
    <w:rsid w:val="17A617C9"/>
    <w:rsid w:val="181D0AF6"/>
    <w:rsid w:val="18E12A26"/>
    <w:rsid w:val="1A2F34CF"/>
    <w:rsid w:val="1B0B6786"/>
    <w:rsid w:val="1BCC4E67"/>
    <w:rsid w:val="1BE24A05"/>
    <w:rsid w:val="1BEF15A8"/>
    <w:rsid w:val="1C12375B"/>
    <w:rsid w:val="1C2E1750"/>
    <w:rsid w:val="1C8A5079"/>
    <w:rsid w:val="1D520C3E"/>
    <w:rsid w:val="1DA340AC"/>
    <w:rsid w:val="1E2F4E67"/>
    <w:rsid w:val="1E506972"/>
    <w:rsid w:val="1E8146FC"/>
    <w:rsid w:val="1E9B145E"/>
    <w:rsid w:val="1EC8639D"/>
    <w:rsid w:val="1EC97805"/>
    <w:rsid w:val="1EFB07B0"/>
    <w:rsid w:val="1F6101B7"/>
    <w:rsid w:val="1F9A17D6"/>
    <w:rsid w:val="1FABD71D"/>
    <w:rsid w:val="20505929"/>
    <w:rsid w:val="2093268B"/>
    <w:rsid w:val="228770CD"/>
    <w:rsid w:val="22A211C8"/>
    <w:rsid w:val="22F75B35"/>
    <w:rsid w:val="236906A5"/>
    <w:rsid w:val="23BA0D09"/>
    <w:rsid w:val="24593BF8"/>
    <w:rsid w:val="24801F53"/>
    <w:rsid w:val="24BA0C0F"/>
    <w:rsid w:val="250B61A3"/>
    <w:rsid w:val="259F5563"/>
    <w:rsid w:val="25A662F9"/>
    <w:rsid w:val="25AD749C"/>
    <w:rsid w:val="25AE4162"/>
    <w:rsid w:val="261B2634"/>
    <w:rsid w:val="26872640"/>
    <w:rsid w:val="26C653DA"/>
    <w:rsid w:val="26EC5D21"/>
    <w:rsid w:val="27615821"/>
    <w:rsid w:val="27A13E6E"/>
    <w:rsid w:val="27A644E5"/>
    <w:rsid w:val="27AD22DE"/>
    <w:rsid w:val="28863E70"/>
    <w:rsid w:val="288A6337"/>
    <w:rsid w:val="28994B2A"/>
    <w:rsid w:val="28CD1B01"/>
    <w:rsid w:val="290441D9"/>
    <w:rsid w:val="292E4395"/>
    <w:rsid w:val="29867FF5"/>
    <w:rsid w:val="29D72E63"/>
    <w:rsid w:val="29F01BC9"/>
    <w:rsid w:val="2A1248CB"/>
    <w:rsid w:val="2A24302B"/>
    <w:rsid w:val="2A287337"/>
    <w:rsid w:val="2A7456B8"/>
    <w:rsid w:val="2B330D0F"/>
    <w:rsid w:val="2C3B01C9"/>
    <w:rsid w:val="2CB024EC"/>
    <w:rsid w:val="2D2B1A30"/>
    <w:rsid w:val="2D5BB7F4"/>
    <w:rsid w:val="2DA87FE3"/>
    <w:rsid w:val="2DAB1C1C"/>
    <w:rsid w:val="2E6455AA"/>
    <w:rsid w:val="2E6E5875"/>
    <w:rsid w:val="2EAA1E45"/>
    <w:rsid w:val="2EBA2F30"/>
    <w:rsid w:val="2F8573F4"/>
    <w:rsid w:val="2FFC60D8"/>
    <w:rsid w:val="2FFD4B55"/>
    <w:rsid w:val="318B1294"/>
    <w:rsid w:val="31F32BCC"/>
    <w:rsid w:val="322D5537"/>
    <w:rsid w:val="32500429"/>
    <w:rsid w:val="32B00783"/>
    <w:rsid w:val="33987EA4"/>
    <w:rsid w:val="33E55770"/>
    <w:rsid w:val="342060B3"/>
    <w:rsid w:val="343041E9"/>
    <w:rsid w:val="343E2C5A"/>
    <w:rsid w:val="34E404B6"/>
    <w:rsid w:val="353874A5"/>
    <w:rsid w:val="356C4B0F"/>
    <w:rsid w:val="357756D0"/>
    <w:rsid w:val="35F83418"/>
    <w:rsid w:val="35FA3DA7"/>
    <w:rsid w:val="36433E0B"/>
    <w:rsid w:val="3685618C"/>
    <w:rsid w:val="369B027F"/>
    <w:rsid w:val="36DF7E92"/>
    <w:rsid w:val="37210A48"/>
    <w:rsid w:val="37A143BD"/>
    <w:rsid w:val="37C605ED"/>
    <w:rsid w:val="37EC07D4"/>
    <w:rsid w:val="39054161"/>
    <w:rsid w:val="395157DA"/>
    <w:rsid w:val="39D81DB4"/>
    <w:rsid w:val="39DD1F63"/>
    <w:rsid w:val="3A875795"/>
    <w:rsid w:val="3B3A6848"/>
    <w:rsid w:val="3B5C22DF"/>
    <w:rsid w:val="3C7702D9"/>
    <w:rsid w:val="3C822FFF"/>
    <w:rsid w:val="3C987755"/>
    <w:rsid w:val="3D1712DB"/>
    <w:rsid w:val="3D6E4CFB"/>
    <w:rsid w:val="3DB948D9"/>
    <w:rsid w:val="3DED19CC"/>
    <w:rsid w:val="3E551C1D"/>
    <w:rsid w:val="3E6D1878"/>
    <w:rsid w:val="3EAA16DD"/>
    <w:rsid w:val="3EE7006C"/>
    <w:rsid w:val="3F043070"/>
    <w:rsid w:val="3F397145"/>
    <w:rsid w:val="419141BF"/>
    <w:rsid w:val="41C515FE"/>
    <w:rsid w:val="41F26234"/>
    <w:rsid w:val="42955F29"/>
    <w:rsid w:val="42C52D12"/>
    <w:rsid w:val="42EA0B90"/>
    <w:rsid w:val="436E1D48"/>
    <w:rsid w:val="442221E6"/>
    <w:rsid w:val="44FC0AD9"/>
    <w:rsid w:val="45C66F5A"/>
    <w:rsid w:val="464311BD"/>
    <w:rsid w:val="46762869"/>
    <w:rsid w:val="46800ECA"/>
    <w:rsid w:val="46D65DFF"/>
    <w:rsid w:val="46ED43C8"/>
    <w:rsid w:val="47655748"/>
    <w:rsid w:val="481F5D29"/>
    <w:rsid w:val="485B08F6"/>
    <w:rsid w:val="48E65506"/>
    <w:rsid w:val="49A95325"/>
    <w:rsid w:val="49C60D15"/>
    <w:rsid w:val="49EE18E7"/>
    <w:rsid w:val="4BEA0AD0"/>
    <w:rsid w:val="4C72500A"/>
    <w:rsid w:val="4E470451"/>
    <w:rsid w:val="4E5A4E46"/>
    <w:rsid w:val="4E776E4B"/>
    <w:rsid w:val="4EBE5040"/>
    <w:rsid w:val="4EC635D4"/>
    <w:rsid w:val="4EF42DDE"/>
    <w:rsid w:val="4F021DFD"/>
    <w:rsid w:val="4F4E29DD"/>
    <w:rsid w:val="4FA93361"/>
    <w:rsid w:val="50491464"/>
    <w:rsid w:val="50EB4351"/>
    <w:rsid w:val="513E3E14"/>
    <w:rsid w:val="516E5D30"/>
    <w:rsid w:val="519A61B8"/>
    <w:rsid w:val="529328AD"/>
    <w:rsid w:val="52A26688"/>
    <w:rsid w:val="52C3106D"/>
    <w:rsid w:val="532D1C0A"/>
    <w:rsid w:val="53583E88"/>
    <w:rsid w:val="54D72BF4"/>
    <w:rsid w:val="54F6709D"/>
    <w:rsid w:val="566138B1"/>
    <w:rsid w:val="56832AE6"/>
    <w:rsid w:val="56F540E8"/>
    <w:rsid w:val="576B6402"/>
    <w:rsid w:val="57814C22"/>
    <w:rsid w:val="579303E0"/>
    <w:rsid w:val="57BD125F"/>
    <w:rsid w:val="57DB4D69"/>
    <w:rsid w:val="58316666"/>
    <w:rsid w:val="58CB2B06"/>
    <w:rsid w:val="59005937"/>
    <w:rsid w:val="596D5572"/>
    <w:rsid w:val="59DC23BD"/>
    <w:rsid w:val="5A106A61"/>
    <w:rsid w:val="5B012DD6"/>
    <w:rsid w:val="5B4A303E"/>
    <w:rsid w:val="5B867F38"/>
    <w:rsid w:val="5BBF1EDC"/>
    <w:rsid w:val="5C0D5EDF"/>
    <w:rsid w:val="5CCB520D"/>
    <w:rsid w:val="5CDE5F6B"/>
    <w:rsid w:val="5CE729B2"/>
    <w:rsid w:val="5D072615"/>
    <w:rsid w:val="5D820B03"/>
    <w:rsid w:val="5DDC291B"/>
    <w:rsid w:val="5DE919D2"/>
    <w:rsid w:val="5DE96BF2"/>
    <w:rsid w:val="5E3B56D9"/>
    <w:rsid w:val="5E7F01AB"/>
    <w:rsid w:val="5E910416"/>
    <w:rsid w:val="5EF6376C"/>
    <w:rsid w:val="5FC652D8"/>
    <w:rsid w:val="6043407E"/>
    <w:rsid w:val="605F74B4"/>
    <w:rsid w:val="607B68FE"/>
    <w:rsid w:val="617007B5"/>
    <w:rsid w:val="61E56E86"/>
    <w:rsid w:val="621870FC"/>
    <w:rsid w:val="62DA2A3D"/>
    <w:rsid w:val="637B3A8F"/>
    <w:rsid w:val="63A65E89"/>
    <w:rsid w:val="65001203"/>
    <w:rsid w:val="65737FA2"/>
    <w:rsid w:val="65D920E1"/>
    <w:rsid w:val="65D9655D"/>
    <w:rsid w:val="6637149C"/>
    <w:rsid w:val="6656630C"/>
    <w:rsid w:val="66EC0C69"/>
    <w:rsid w:val="67AD24B8"/>
    <w:rsid w:val="67C12C70"/>
    <w:rsid w:val="67F5DAB5"/>
    <w:rsid w:val="68261741"/>
    <w:rsid w:val="68313591"/>
    <w:rsid w:val="693E2FAD"/>
    <w:rsid w:val="698062FC"/>
    <w:rsid w:val="69BD5EE8"/>
    <w:rsid w:val="6A2F2A6F"/>
    <w:rsid w:val="6A740B43"/>
    <w:rsid w:val="6ABD46BF"/>
    <w:rsid w:val="6AF730BD"/>
    <w:rsid w:val="6B617BE2"/>
    <w:rsid w:val="6B9803DC"/>
    <w:rsid w:val="6BA66029"/>
    <w:rsid w:val="6CA041B2"/>
    <w:rsid w:val="6CF40398"/>
    <w:rsid w:val="6D0B3891"/>
    <w:rsid w:val="6DDD5EBF"/>
    <w:rsid w:val="6DFC4CD2"/>
    <w:rsid w:val="6E2E2D6D"/>
    <w:rsid w:val="6E3F51B6"/>
    <w:rsid w:val="6E460B96"/>
    <w:rsid w:val="6EA82131"/>
    <w:rsid w:val="6F046708"/>
    <w:rsid w:val="6F68529E"/>
    <w:rsid w:val="6F6D6549"/>
    <w:rsid w:val="6FB410D2"/>
    <w:rsid w:val="6FC54BEF"/>
    <w:rsid w:val="706921FA"/>
    <w:rsid w:val="70B22C23"/>
    <w:rsid w:val="71411B5D"/>
    <w:rsid w:val="719931E1"/>
    <w:rsid w:val="7240055A"/>
    <w:rsid w:val="728E0BA0"/>
    <w:rsid w:val="73134A0E"/>
    <w:rsid w:val="736064A7"/>
    <w:rsid w:val="736159D6"/>
    <w:rsid w:val="73F71039"/>
    <w:rsid w:val="73F91498"/>
    <w:rsid w:val="74216A54"/>
    <w:rsid w:val="74D5337C"/>
    <w:rsid w:val="74D975E2"/>
    <w:rsid w:val="756B7D6A"/>
    <w:rsid w:val="757C417D"/>
    <w:rsid w:val="759455DB"/>
    <w:rsid w:val="75D160D9"/>
    <w:rsid w:val="762914BB"/>
    <w:rsid w:val="76685F07"/>
    <w:rsid w:val="773A73AB"/>
    <w:rsid w:val="775767BB"/>
    <w:rsid w:val="7779068F"/>
    <w:rsid w:val="77B92148"/>
    <w:rsid w:val="77FFE39F"/>
    <w:rsid w:val="781B1736"/>
    <w:rsid w:val="78F051A8"/>
    <w:rsid w:val="79EF18A6"/>
    <w:rsid w:val="7A903B21"/>
    <w:rsid w:val="7AC3080E"/>
    <w:rsid w:val="7CF2196B"/>
    <w:rsid w:val="7D2E7430"/>
    <w:rsid w:val="7D993EC8"/>
    <w:rsid w:val="7D9A013D"/>
    <w:rsid w:val="7E9160CF"/>
    <w:rsid w:val="7EC677D3"/>
    <w:rsid w:val="7FDC2489"/>
    <w:rsid w:val="7FFDEEFD"/>
    <w:rsid w:val="BBFEB28B"/>
    <w:rsid w:val="D74FDF30"/>
    <w:rsid w:val="DEAEE68D"/>
    <w:rsid w:val="F7F97754"/>
    <w:rsid w:val="FB7FC3E7"/>
    <w:rsid w:val="FF3F61B6"/>
    <w:rsid w:val="FFC7E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4"/>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6"/>
    <w:unhideWhenUsed/>
    <w:qFormat/>
    <w:uiPriority w:val="9"/>
    <w:pPr>
      <w:keepNext/>
      <w:keepLines/>
      <w:spacing w:before="260" w:after="260" w:line="416" w:lineRule="atLeast"/>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7"/>
    <w:unhideWhenUsed/>
    <w:qFormat/>
    <w:uiPriority w:val="99"/>
    <w:pPr>
      <w:spacing w:line="240" w:lineRule="auto"/>
    </w:pPr>
    <w:rPr>
      <w:sz w:val="18"/>
      <w:szCs w:val="18"/>
    </w:rPr>
  </w:style>
  <w:style w:type="paragraph" w:styleId="7">
    <w:name w:val="footer"/>
    <w:basedOn w:val="1"/>
    <w:link w:val="18"/>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3">
    <w:name w:val="Hyperlink"/>
    <w:unhideWhenUsed/>
    <w:qFormat/>
    <w:uiPriority w:val="99"/>
    <w:rPr>
      <w:color w:val="0000FF"/>
      <w:u w:val="single"/>
    </w:rPr>
  </w:style>
  <w:style w:type="character" w:customStyle="1" w:styleId="14">
    <w:name w:val="标题 1 字符"/>
    <w:link w:val="2"/>
    <w:qFormat/>
    <w:uiPriority w:val="9"/>
    <w:rPr>
      <w:b/>
      <w:bCs/>
      <w:kern w:val="44"/>
      <w:sz w:val="44"/>
      <w:szCs w:val="44"/>
    </w:rPr>
  </w:style>
  <w:style w:type="character" w:customStyle="1" w:styleId="15">
    <w:name w:val="标题 2 字符"/>
    <w:link w:val="3"/>
    <w:semiHidden/>
    <w:qFormat/>
    <w:uiPriority w:val="9"/>
    <w:rPr>
      <w:rFonts w:ascii="Cambria" w:hAnsi="Cambria" w:eastAsia="宋体" w:cs="Times New Roman"/>
      <w:b/>
      <w:bCs/>
      <w:sz w:val="32"/>
      <w:szCs w:val="32"/>
    </w:rPr>
  </w:style>
  <w:style w:type="character" w:customStyle="1" w:styleId="16">
    <w:name w:val="标题 3 字符"/>
    <w:link w:val="4"/>
    <w:semiHidden/>
    <w:qFormat/>
    <w:uiPriority w:val="9"/>
    <w:rPr>
      <w:b/>
      <w:bCs/>
      <w:sz w:val="32"/>
      <w:szCs w:val="32"/>
    </w:rPr>
  </w:style>
  <w:style w:type="character" w:customStyle="1" w:styleId="17">
    <w:name w:val="批注框文本 字符"/>
    <w:link w:val="6"/>
    <w:semiHidden/>
    <w:qFormat/>
    <w:uiPriority w:val="99"/>
    <w:rPr>
      <w:sz w:val="18"/>
      <w:szCs w:val="18"/>
    </w:rPr>
  </w:style>
  <w:style w:type="character" w:customStyle="1" w:styleId="18">
    <w:name w:val="页脚 字符"/>
    <w:link w:val="7"/>
    <w:semiHidden/>
    <w:qFormat/>
    <w:uiPriority w:val="0"/>
    <w:rPr>
      <w:sz w:val="18"/>
      <w:szCs w:val="18"/>
    </w:rPr>
  </w:style>
  <w:style w:type="character" w:customStyle="1" w:styleId="19">
    <w:name w:val="页眉 字符"/>
    <w:link w:val="8"/>
    <w:semiHidden/>
    <w:qFormat/>
    <w:uiPriority w:val="0"/>
    <w:rPr>
      <w:sz w:val="18"/>
      <w:szCs w:val="18"/>
    </w:rPr>
  </w:style>
  <w:style w:type="paragraph" w:customStyle="1" w:styleId="20">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960</Words>
  <Characters>5474</Characters>
  <Lines>45</Lines>
  <Paragraphs>12</Paragraphs>
  <TotalTime>12</TotalTime>
  <ScaleCrop>false</ScaleCrop>
  <LinksUpToDate>false</LinksUpToDate>
  <CharactersWithSpaces>6422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2019-07-28T02:37:00Z</dcterms:created>
  <dc:creator>Administrator</dc:creator>
  <cp:lastModifiedBy>Administrator</cp:lastModifiedBy>
  <cp:lastPrinted>2012-09-19T14:00:00Z</cp:lastPrinted>
  <dcterms:modified xsi:type="dcterms:W3CDTF">2023-10-10T08:48:50Z</dcterms:modified>
  <dc:title>附件1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90D74AD8847844C8B6B3F08FF3278CF3_13</vt:lpwstr>
  </property>
</Properties>
</file>