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240" w:lineRule="auto"/>
        <w:rPr>
          <w:rFonts w:ascii="黑体" w:hAnsi="黑体" w:eastAsia="黑体" w:cs="黑体"/>
          <w:w w:val="95"/>
          <w:sz w:val="32"/>
          <w:szCs w:val="32"/>
          <w:u w:val="none"/>
          <w:lang w:val="en"/>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240" w:lineRule="auto"/>
        <w:jc w:val="center"/>
        <w:rPr>
          <w:rFonts w:ascii="方正小标宋简体" w:hAnsi="方正小标宋简体" w:eastAsia="方正小标宋简体" w:cs="方正小标宋简体"/>
          <w:sz w:val="48"/>
          <w:szCs w:val="48"/>
          <w:u w:val="none"/>
        </w:rPr>
      </w:pPr>
      <w:r>
        <w:rPr>
          <w:rFonts w:hint="eastAsia" w:ascii="方正小标宋简体" w:hAnsi="方正小标宋简体" w:eastAsia="方正小标宋简体" w:cs="方正小标宋简体"/>
          <w:sz w:val="48"/>
          <w:szCs w:val="48"/>
          <w:u w:val="none"/>
        </w:rPr>
        <w:t>天津市津南区北闸口镇镇域经济发展服务中心</w:t>
      </w:r>
    </w:p>
    <w:p>
      <w:pPr>
        <w:spacing w:line="580" w:lineRule="exact"/>
        <w:jc w:val="center"/>
        <w:rPr>
          <w:rFonts w:ascii="方正小标宋简体" w:hAnsi="方正小标宋简体" w:eastAsia="方正小标宋简体" w:cs="方正小标宋简体"/>
          <w:sz w:val="48"/>
          <w:szCs w:val="48"/>
          <w:u w:val="none"/>
        </w:rPr>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pPr>
      <w:r>
        <w:rPr>
          <w:rFonts w:hint="eastAsia" w:ascii="方正小标宋简体" w:hAnsi="方正小标宋简体" w:eastAsia="方正小标宋简体" w:cs="方正小标宋简体"/>
          <w:sz w:val="48"/>
          <w:szCs w:val="48"/>
          <w:u w:val="none"/>
        </w:rPr>
        <w:t>2022年度部门决算</w:t>
      </w:r>
    </w:p>
    <w:p>
      <w:pPr>
        <w:spacing w:line="600" w:lineRule="exact"/>
        <w:jc w:val="center"/>
        <w:rPr>
          <w:rFonts w:ascii="黑体" w:eastAsia="黑体"/>
          <w:sz w:val="44"/>
          <w:szCs w:val="44"/>
          <w:u w:val="none"/>
        </w:rPr>
      </w:pPr>
    </w:p>
    <w:p>
      <w:pPr>
        <w:spacing w:line="600" w:lineRule="exact"/>
        <w:jc w:val="center"/>
        <w:rPr>
          <w:rFonts w:ascii="黑体" w:eastAsia="黑体"/>
          <w:sz w:val="44"/>
          <w:szCs w:val="44"/>
          <w:u w:val="none"/>
        </w:rPr>
      </w:pPr>
      <w:r>
        <w:rPr>
          <w:rFonts w:hint="eastAsia" w:ascii="黑体" w:eastAsia="黑体"/>
          <w:sz w:val="44"/>
          <w:szCs w:val="44"/>
          <w:u w:val="none"/>
        </w:rPr>
        <w:t>目   录</w:t>
      </w:r>
    </w:p>
    <w:p>
      <w:pPr>
        <w:spacing w:line="600" w:lineRule="exact"/>
        <w:rPr>
          <w:rFonts w:ascii="黑体" w:eastAsia="黑体"/>
          <w:sz w:val="30"/>
          <w:szCs w:val="30"/>
          <w:u w:val="none"/>
        </w:rPr>
      </w:pPr>
    </w:p>
    <w:p>
      <w:pPr>
        <w:pStyle w:val="9"/>
        <w:tabs>
          <w:tab w:val="right" w:leader="dot" w:pos="8306"/>
          <w:tab w:val="clear" w:pos="8296"/>
        </w:tabs>
        <w:rPr>
          <w:rFonts w:ascii="仿宋_GB2312" w:hAnsi="Times New Roman" w:eastAsia="仿宋_GB2312" w:cs="Times New Roman"/>
          <w:sz w:val="30"/>
          <w:szCs w:val="30"/>
          <w:u w:val="none"/>
        </w:rPr>
      </w:pP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TOC \o "1-3" \h \z \u </w:instrText>
      </w:r>
      <w:r>
        <w:rPr>
          <w:rFonts w:hint="eastAsia" w:ascii="仿宋_GB2312" w:hAnsi="Times New Roman" w:eastAsia="仿宋_GB2312" w:cs="Times New Roman"/>
          <w:sz w:val="30"/>
          <w:szCs w:val="30"/>
          <w:u w:val="none"/>
        </w:rPr>
        <w:fldChar w:fldCharType="separate"/>
      </w:r>
      <w:r>
        <w:rPr>
          <w:u w:val="none"/>
        </w:rPr>
        <w:fldChar w:fldCharType="begin"/>
      </w:r>
      <w:r>
        <w:rPr>
          <w:u w:val="none"/>
        </w:rPr>
        <w:instrText xml:space="preserve"> HYPERLINK \l "_Toc859" </w:instrText>
      </w:r>
      <w:r>
        <w:rPr>
          <w:u w:val="none"/>
        </w:rPr>
        <w:fldChar w:fldCharType="separate"/>
      </w:r>
      <w:r>
        <w:rPr>
          <w:rFonts w:hint="eastAsia" w:ascii="仿宋_GB2312" w:hAnsi="Times New Roman" w:eastAsia="仿宋_GB2312" w:cs="Times New Roman"/>
          <w:sz w:val="30"/>
          <w:szCs w:val="30"/>
          <w:u w:val="none"/>
        </w:rPr>
        <w:t>第一部分  概 况</w:t>
      </w:r>
      <w:r>
        <w:rPr>
          <w:rFonts w:hint="eastAsia" w:ascii="仿宋_GB2312" w:hAnsi="Times New Roman" w:eastAsia="仿宋_GB2312" w:cs="Times New Roman"/>
          <w:sz w:val="30"/>
          <w:szCs w:val="30"/>
          <w:u w:val="none"/>
        </w:rPr>
        <w:tab/>
      </w: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PAGEREF _Toc859 \h </w:instrText>
      </w:r>
      <w:r>
        <w:rPr>
          <w:rFonts w:hint="eastAsia" w:ascii="仿宋_GB2312" w:hAnsi="Times New Roman" w:eastAsia="仿宋_GB2312" w:cs="Times New Roman"/>
          <w:sz w:val="30"/>
          <w:szCs w:val="30"/>
          <w:u w:val="none"/>
        </w:rPr>
        <w:fldChar w:fldCharType="separate"/>
      </w:r>
      <w:r>
        <w:rPr>
          <w:rFonts w:hint="eastAsia" w:ascii="仿宋_GB2312" w:hAnsi="Times New Roman" w:eastAsia="仿宋_GB2312" w:cs="Times New Roman"/>
          <w:sz w:val="30"/>
          <w:szCs w:val="30"/>
          <w:u w:val="none"/>
        </w:rPr>
        <w:t>1</w:t>
      </w:r>
      <w:r>
        <w:rPr>
          <w:rFonts w:hint="eastAsia" w:ascii="仿宋_GB2312" w:hAnsi="Times New Roman" w:eastAsia="仿宋_GB2312" w:cs="Times New Roman"/>
          <w:sz w:val="30"/>
          <w:szCs w:val="30"/>
          <w:u w:val="none"/>
        </w:rPr>
        <w:fldChar w:fldCharType="end"/>
      </w:r>
      <w:r>
        <w:rPr>
          <w:rFonts w:hint="eastAsia" w:ascii="仿宋_GB2312" w:hAnsi="Times New Roman" w:eastAsia="仿宋_GB2312" w:cs="Times New Roman"/>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"_Toc21919" </w:instrText>
      </w:r>
      <w:r>
        <w:rPr>
          <w:u w:val="none"/>
        </w:rPr>
        <w:fldChar w:fldCharType="separate"/>
      </w:r>
      <w:r>
        <w:rPr>
          <w:rFonts w:hint="eastAsia" w:ascii="仿宋_GB2312" w:hAnsi="Times New Roman" w:eastAsia="仿宋_GB2312"/>
          <w:sz w:val="30"/>
          <w:szCs w:val="30"/>
          <w:u w:val="none"/>
        </w:rPr>
        <w:t>一、主要职责</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_Toc21919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1</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"_Toc17388" </w:instrText>
      </w:r>
      <w:r>
        <w:rPr>
          <w:u w:val="none"/>
        </w:rPr>
        <w:fldChar w:fldCharType="separate"/>
      </w:r>
      <w:r>
        <w:rPr>
          <w:rFonts w:hint="eastAsia" w:ascii="仿宋_GB2312" w:hAnsi="Times New Roman" w:eastAsia="仿宋_GB2312"/>
          <w:sz w:val="30"/>
          <w:szCs w:val="30"/>
          <w:u w:val="none"/>
        </w:rPr>
        <w:t>二、机构设置</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_Toc17388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1</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9"/>
        <w:tabs>
          <w:tab w:val="right" w:leader="dot" w:pos="8306"/>
          <w:tab w:val="clear" w:pos="8296"/>
        </w:tabs>
        <w:rPr>
          <w:rFonts w:ascii="仿宋_GB2312" w:hAnsi="Times New Roman" w:eastAsia="仿宋_GB2312" w:cs="Times New Roman"/>
          <w:sz w:val="30"/>
          <w:szCs w:val="30"/>
          <w:u w:val="none"/>
        </w:rPr>
      </w:pPr>
      <w:r>
        <w:rPr>
          <w:u w:val="none"/>
        </w:rPr>
        <w:fldChar w:fldCharType="begin"/>
      </w:r>
      <w:r>
        <w:rPr>
          <w:u w:val="none"/>
        </w:rPr>
        <w:instrText xml:space="preserve"> HYPERLINK \l "_Toc24747" </w:instrText>
      </w:r>
      <w:r>
        <w:rPr>
          <w:u w:val="none"/>
        </w:rPr>
        <w:fldChar w:fldCharType="separate"/>
      </w:r>
      <w:r>
        <w:rPr>
          <w:rFonts w:hint="eastAsia" w:ascii="仿宋_GB2312" w:hAnsi="Times New Roman" w:eastAsia="仿宋_GB2312" w:cs="Times New Roman"/>
          <w:sz w:val="30"/>
          <w:szCs w:val="30"/>
          <w:u w:val="none"/>
        </w:rPr>
        <w:t>第二部分  2022年度部门决算表</w:t>
      </w:r>
      <w:r>
        <w:rPr>
          <w:rFonts w:hint="eastAsia" w:ascii="仿宋_GB2312" w:hAnsi="Times New Roman" w:eastAsia="仿宋_GB2312" w:cs="Times New Roman"/>
          <w:sz w:val="30"/>
          <w:szCs w:val="30"/>
          <w:u w:val="none"/>
        </w:rPr>
        <w:tab/>
      </w: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PAGEREF _Toc24747 \h </w:instrText>
      </w:r>
      <w:r>
        <w:rPr>
          <w:rFonts w:hint="eastAsia" w:ascii="仿宋_GB2312" w:hAnsi="Times New Roman" w:eastAsia="仿宋_GB2312" w:cs="Times New Roman"/>
          <w:sz w:val="30"/>
          <w:szCs w:val="30"/>
          <w:u w:val="none"/>
        </w:rPr>
        <w:fldChar w:fldCharType="separate"/>
      </w:r>
      <w:r>
        <w:rPr>
          <w:rFonts w:hint="eastAsia" w:ascii="仿宋_GB2312" w:hAnsi="Times New Roman" w:eastAsia="仿宋_GB2312" w:cs="Times New Roman"/>
          <w:sz w:val="30"/>
          <w:szCs w:val="30"/>
          <w:u w:val="none"/>
        </w:rPr>
        <w:t>2</w:t>
      </w:r>
      <w:r>
        <w:rPr>
          <w:rFonts w:hint="eastAsia" w:ascii="仿宋_GB2312" w:hAnsi="Times New Roman" w:eastAsia="仿宋_GB2312" w:cs="Times New Roman"/>
          <w:sz w:val="30"/>
          <w:szCs w:val="30"/>
          <w:u w:val="none"/>
        </w:rPr>
        <w:fldChar w:fldCharType="end"/>
      </w:r>
      <w:r>
        <w:rPr>
          <w:rFonts w:hint="eastAsia" w:ascii="仿宋_GB2312" w:hAnsi="Times New Roman" w:eastAsia="仿宋_GB2312" w:cs="Times New Roman"/>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"_Toc20142" </w:instrText>
      </w:r>
      <w:r>
        <w:rPr>
          <w:u w:val="none"/>
        </w:rPr>
        <w:fldChar w:fldCharType="separate"/>
      </w:r>
      <w:r>
        <w:rPr>
          <w:rFonts w:hint="eastAsia" w:ascii="仿宋_GB2312" w:hAnsi="Times New Roman" w:eastAsia="仿宋_GB2312"/>
          <w:sz w:val="30"/>
          <w:szCs w:val="30"/>
          <w:u w:val="none"/>
        </w:rPr>
        <w:t>一、《收入支出决算总表》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_Toc20142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"_Toc1616" </w:instrText>
      </w:r>
      <w:r>
        <w:rPr>
          <w:u w:val="none"/>
        </w:rPr>
        <w:fldChar w:fldCharType="separate"/>
      </w:r>
      <w:r>
        <w:rPr>
          <w:rFonts w:hint="eastAsia" w:ascii="仿宋_GB2312" w:hAnsi="Times New Roman" w:eastAsia="仿宋_GB2312"/>
          <w:sz w:val="30"/>
          <w:szCs w:val="30"/>
          <w:u w:val="none"/>
        </w:rPr>
        <w:t>二、《收入决算表（按功能分类列示）》</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_Toc1616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"_Toc12050" </w:instrText>
      </w:r>
      <w:r>
        <w:rPr>
          <w:u w:val="none"/>
        </w:rPr>
        <w:fldChar w:fldCharType="separate"/>
      </w:r>
      <w:r>
        <w:rPr>
          <w:rFonts w:hint="eastAsia" w:ascii="仿宋_GB2312" w:hAnsi="Times New Roman" w:eastAsia="仿宋_GB2312"/>
          <w:sz w:val="30"/>
          <w:szCs w:val="30"/>
          <w:u w:val="none"/>
        </w:rPr>
        <w:t>三、《收入决算表（按单位列示）》</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_Toc12050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"_Toc1989" </w:instrText>
      </w:r>
      <w:r>
        <w:rPr>
          <w:u w:val="none"/>
        </w:rPr>
        <w:fldChar w:fldCharType="separate"/>
      </w:r>
      <w:r>
        <w:rPr>
          <w:rFonts w:hint="eastAsia" w:ascii="仿宋_GB2312" w:hAnsi="Times New Roman" w:eastAsia="仿宋_GB2312"/>
          <w:sz w:val="30"/>
          <w:szCs w:val="30"/>
          <w:u w:val="none"/>
        </w:rPr>
        <w:t>四、《支出决算表》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_Toc1989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"_Toc32498" </w:instrText>
      </w:r>
      <w:r>
        <w:rPr>
          <w:u w:val="none"/>
        </w:rPr>
        <w:fldChar w:fldCharType="separate"/>
      </w:r>
      <w:r>
        <w:rPr>
          <w:rFonts w:hint="eastAsia" w:ascii="仿宋_GB2312" w:hAnsi="Times New Roman" w:eastAsia="仿宋_GB2312"/>
          <w:sz w:val="30"/>
          <w:szCs w:val="30"/>
          <w:u w:val="none"/>
        </w:rPr>
        <w:t>五、《财政拨款收入支出决算总表》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_Toc32498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"_Toc26379" </w:instrText>
      </w:r>
      <w:r>
        <w:rPr>
          <w:u w:val="none"/>
        </w:rPr>
        <w:fldChar w:fldCharType="separate"/>
      </w:r>
      <w:r>
        <w:rPr>
          <w:rFonts w:hint="eastAsia" w:ascii="仿宋_GB2312" w:hAnsi="Times New Roman" w:eastAsia="仿宋_GB2312"/>
          <w:sz w:val="30"/>
          <w:szCs w:val="30"/>
          <w:u w:val="none"/>
        </w:rPr>
        <w:t>六、《一般公共预算财政拨款支出决算表》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_Toc26379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"_Toc4498" </w:instrText>
      </w:r>
      <w:r>
        <w:rPr>
          <w:u w:val="none"/>
        </w:rPr>
        <w:fldChar w:fldCharType="separate"/>
      </w:r>
      <w:r>
        <w:rPr>
          <w:rFonts w:hint="eastAsia" w:ascii="仿宋_GB2312" w:hAnsi="Times New Roman" w:eastAsia="仿宋_GB2312"/>
          <w:sz w:val="30"/>
          <w:szCs w:val="30"/>
          <w:u w:val="none"/>
        </w:rPr>
        <w:t>七、《一般公共预算财政拨款基本支出决算表》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_Toc4498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"_Toc18038" </w:instrText>
      </w:r>
      <w:r>
        <w:rPr>
          <w:u w:val="none"/>
        </w:rPr>
        <w:fldChar w:fldCharType="separate"/>
      </w:r>
      <w:r>
        <w:rPr>
          <w:rFonts w:hint="eastAsia" w:ascii="仿宋_GB2312" w:hAnsi="Times New Roman" w:eastAsia="仿宋_GB2312"/>
          <w:sz w:val="30"/>
          <w:szCs w:val="30"/>
          <w:u w:val="none"/>
        </w:rPr>
        <w:t>八、《政府性基金预算财政拨款收入支出决算表》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_Toc18038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"_Toc13200" </w:instrText>
      </w:r>
      <w:r>
        <w:rPr>
          <w:u w:val="none"/>
        </w:rPr>
        <w:fldChar w:fldCharType="separate"/>
      </w:r>
      <w:r>
        <w:rPr>
          <w:rFonts w:hint="eastAsia" w:ascii="仿宋_GB2312" w:hAnsi="Times New Roman" w:eastAsia="仿宋_GB2312"/>
          <w:sz w:val="30"/>
          <w:szCs w:val="30"/>
          <w:u w:val="none"/>
        </w:rPr>
        <w:t>九、《国有资本经营预算财政拨款收入支出决算表》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_Toc13200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"_Toc3423" </w:instrText>
      </w:r>
      <w:r>
        <w:rPr>
          <w:u w:val="none"/>
        </w:rPr>
        <w:fldChar w:fldCharType="separate"/>
      </w:r>
      <w:r>
        <w:rPr>
          <w:rFonts w:hint="eastAsia" w:ascii="仿宋_GB2312" w:hAnsi="Times New Roman" w:eastAsia="仿宋_GB2312"/>
          <w:sz w:val="30"/>
          <w:szCs w:val="30"/>
          <w:u w:val="none"/>
        </w:rPr>
        <w:t>十、《一般公共预算财政拨款“三公”经费支出决算表》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_Toc3423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"_Toc3915" </w:instrText>
      </w:r>
      <w:r>
        <w:rPr>
          <w:u w:val="none"/>
        </w:rPr>
        <w:fldChar w:fldCharType="separate"/>
      </w:r>
      <w:r>
        <w:rPr>
          <w:rFonts w:hint="eastAsia" w:ascii="仿宋_GB2312" w:hAnsi="Times New Roman" w:eastAsia="仿宋_GB2312"/>
          <w:sz w:val="30"/>
          <w:szCs w:val="30"/>
          <w:u w:val="none"/>
        </w:rPr>
        <w:t>十一、《项目支出决算表》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_Toc3915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"_Toc17260" </w:instrText>
      </w:r>
      <w:r>
        <w:rPr>
          <w:u w:val="none"/>
        </w:rPr>
        <w:fldChar w:fldCharType="separate"/>
      </w:r>
      <w:r>
        <w:rPr>
          <w:rFonts w:hint="eastAsia" w:ascii="仿宋_GB2312" w:hAnsi="Times New Roman" w:eastAsia="仿宋_GB2312"/>
          <w:sz w:val="30"/>
          <w:szCs w:val="30"/>
          <w:u w:val="none"/>
        </w:rPr>
        <w:t>十二、关于空表的说明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_Toc17260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9"/>
        <w:tabs>
          <w:tab w:val="right" w:leader="dot" w:pos="8306"/>
          <w:tab w:val="clear" w:pos="8296"/>
        </w:tabs>
        <w:rPr>
          <w:rFonts w:ascii="仿宋_GB2312" w:hAnsi="Times New Roman" w:eastAsia="仿宋_GB2312" w:cs="Times New Roman"/>
          <w:sz w:val="30"/>
          <w:szCs w:val="30"/>
          <w:u w:val="none"/>
        </w:rPr>
      </w:pPr>
      <w:r>
        <w:rPr>
          <w:u w:val="none"/>
        </w:rPr>
        <w:fldChar w:fldCharType="begin"/>
      </w:r>
      <w:r>
        <w:rPr>
          <w:u w:val="none"/>
        </w:rPr>
        <w:instrText xml:space="preserve"> HYPERLINK \l "_Toc396" </w:instrText>
      </w:r>
      <w:r>
        <w:rPr>
          <w:u w:val="none"/>
        </w:rPr>
        <w:fldChar w:fldCharType="separate"/>
      </w:r>
      <w:r>
        <w:rPr>
          <w:rFonts w:hint="eastAsia" w:ascii="仿宋_GB2312" w:hAnsi="Times New Roman" w:eastAsia="仿宋_GB2312" w:cs="Times New Roman"/>
          <w:sz w:val="30"/>
          <w:szCs w:val="30"/>
          <w:u w:val="none"/>
        </w:rPr>
        <w:t>第三部分  2022年度部门决算情况说明</w:t>
      </w:r>
      <w:r>
        <w:rPr>
          <w:rFonts w:hint="eastAsia" w:ascii="仿宋_GB2312" w:hAnsi="Times New Roman" w:eastAsia="仿宋_GB2312" w:cs="Times New Roman"/>
          <w:sz w:val="30"/>
          <w:szCs w:val="30"/>
          <w:u w:val="none"/>
        </w:rPr>
        <w:tab/>
      </w: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PAGEREF _Toc396 \h </w:instrText>
      </w:r>
      <w:r>
        <w:rPr>
          <w:rFonts w:hint="eastAsia" w:ascii="仿宋_GB2312" w:hAnsi="Times New Roman" w:eastAsia="仿宋_GB2312" w:cs="Times New Roman"/>
          <w:sz w:val="30"/>
          <w:szCs w:val="30"/>
          <w:u w:val="none"/>
        </w:rPr>
        <w:fldChar w:fldCharType="separate"/>
      </w:r>
      <w:r>
        <w:rPr>
          <w:rFonts w:hint="eastAsia" w:ascii="仿宋_GB2312" w:hAnsi="Times New Roman" w:eastAsia="仿宋_GB2312" w:cs="Times New Roman"/>
          <w:sz w:val="30"/>
          <w:szCs w:val="30"/>
          <w:u w:val="none"/>
        </w:rPr>
        <w:t>4</w:t>
      </w:r>
      <w:r>
        <w:rPr>
          <w:rFonts w:hint="eastAsia" w:ascii="仿宋_GB2312" w:hAnsi="Times New Roman" w:eastAsia="仿宋_GB2312" w:cs="Times New Roman"/>
          <w:sz w:val="30"/>
          <w:szCs w:val="30"/>
          <w:u w:val="none"/>
        </w:rPr>
        <w:fldChar w:fldCharType="end"/>
      </w:r>
      <w:r>
        <w:rPr>
          <w:rFonts w:hint="eastAsia" w:ascii="仿宋_GB2312" w:hAnsi="Times New Roman" w:eastAsia="仿宋_GB2312" w:cs="Times New Roman"/>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"_Toc24340" </w:instrText>
      </w:r>
      <w:r>
        <w:rPr>
          <w:u w:val="none"/>
        </w:rPr>
        <w:fldChar w:fldCharType="separate"/>
      </w:r>
      <w:r>
        <w:rPr>
          <w:rFonts w:hint="eastAsia" w:ascii="仿宋_GB2312" w:hAnsi="Times New Roman" w:eastAsia="仿宋_GB2312"/>
          <w:sz w:val="30"/>
          <w:szCs w:val="30"/>
          <w:u w:val="none"/>
        </w:rPr>
        <w:t>一、收入支出决算总体情况说明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_Toc24340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4</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"_Toc18552" </w:instrText>
      </w:r>
      <w:r>
        <w:rPr>
          <w:u w:val="none"/>
        </w:rPr>
        <w:fldChar w:fldCharType="separate"/>
      </w:r>
      <w:r>
        <w:rPr>
          <w:rFonts w:hint="eastAsia" w:ascii="仿宋_GB2312" w:hAnsi="Times New Roman" w:eastAsia="仿宋_GB2312"/>
          <w:sz w:val="30"/>
          <w:szCs w:val="30"/>
          <w:u w:val="none"/>
        </w:rPr>
        <w:t>二、收入决算情况说明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_Toc18552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4</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"_Toc26952" </w:instrText>
      </w:r>
      <w:r>
        <w:rPr>
          <w:u w:val="none"/>
        </w:rPr>
        <w:fldChar w:fldCharType="separate"/>
      </w:r>
      <w:r>
        <w:rPr>
          <w:rFonts w:hint="eastAsia" w:ascii="仿宋_GB2312" w:hAnsi="Times New Roman" w:eastAsia="仿宋_GB2312"/>
          <w:sz w:val="30"/>
          <w:szCs w:val="30"/>
          <w:u w:val="none"/>
        </w:rPr>
        <w:t>三、支出决算情况说明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_Toc26952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4</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"_Toc1812" </w:instrText>
      </w:r>
      <w:r>
        <w:rPr>
          <w:u w:val="none"/>
        </w:rPr>
        <w:fldChar w:fldCharType="separate"/>
      </w:r>
      <w:r>
        <w:rPr>
          <w:rFonts w:hint="eastAsia" w:ascii="仿宋_GB2312" w:hAnsi="Times New Roman" w:eastAsia="仿宋_GB2312"/>
          <w:sz w:val="30"/>
          <w:szCs w:val="30"/>
          <w:u w:val="none"/>
        </w:rPr>
        <w:t>四、财政拨款收支决算总体情况说明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_Toc1812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5</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"_Toc10091" </w:instrText>
      </w:r>
      <w:r>
        <w:rPr>
          <w:u w:val="none"/>
        </w:rPr>
        <w:fldChar w:fldCharType="separate"/>
      </w:r>
      <w:r>
        <w:rPr>
          <w:rFonts w:hint="eastAsia" w:ascii="仿宋_GB2312" w:hAnsi="Times New Roman" w:eastAsia="仿宋_GB2312"/>
          <w:sz w:val="30"/>
          <w:szCs w:val="30"/>
          <w:u w:val="none"/>
        </w:rPr>
        <w:t>五、一般公共预算财政拨款支出决算情况说明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_Toc10091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5</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"_Toc10721" </w:instrText>
      </w:r>
      <w:r>
        <w:rPr>
          <w:u w:val="none"/>
        </w:rPr>
        <w:fldChar w:fldCharType="separate"/>
      </w:r>
      <w:r>
        <w:rPr>
          <w:rFonts w:hint="eastAsia" w:ascii="仿宋_GB2312" w:hAnsi="Times New Roman" w:eastAsia="仿宋_GB2312"/>
          <w:sz w:val="30"/>
          <w:szCs w:val="30"/>
          <w:u w:val="none"/>
        </w:rPr>
        <w:t>六、一般公共预算财政拨款基本支出决算情况说明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_Toc10721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7</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"_Toc17918" </w:instrText>
      </w:r>
      <w:r>
        <w:rPr>
          <w:u w:val="none"/>
        </w:rPr>
        <w:fldChar w:fldCharType="separate"/>
      </w:r>
      <w:r>
        <w:rPr>
          <w:rFonts w:hint="eastAsia" w:ascii="仿宋_GB2312" w:hAnsi="Times New Roman" w:eastAsia="仿宋_GB2312"/>
          <w:sz w:val="30"/>
          <w:szCs w:val="30"/>
          <w:u w:val="none"/>
        </w:rPr>
        <w:t>七、政府性基金预算财政拨款收支决算情况说明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_Toc17918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7</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"_Toc23897" </w:instrText>
      </w:r>
      <w:r>
        <w:rPr>
          <w:u w:val="none"/>
        </w:rPr>
        <w:fldChar w:fldCharType="separate"/>
      </w:r>
      <w:r>
        <w:rPr>
          <w:rFonts w:hint="eastAsia" w:ascii="仿宋_GB2312" w:hAnsi="Times New Roman" w:eastAsia="仿宋_GB2312"/>
          <w:sz w:val="30"/>
          <w:szCs w:val="30"/>
          <w:u w:val="none"/>
        </w:rPr>
        <w:t>八、国有资本经营预算财政拨款收支决算情况说明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_Toc23897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7</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"_Toc4518" </w:instrText>
      </w:r>
      <w:r>
        <w:rPr>
          <w:u w:val="none"/>
        </w:rPr>
        <w:fldChar w:fldCharType="separate"/>
      </w:r>
      <w:r>
        <w:rPr>
          <w:rFonts w:hint="eastAsia" w:ascii="仿宋_GB2312" w:hAnsi="Times New Roman" w:eastAsia="仿宋_GB2312"/>
          <w:sz w:val="30"/>
          <w:szCs w:val="30"/>
          <w:u w:val="none"/>
        </w:rPr>
        <w:t>九、一般公共预算财政拨款“三公”经费支出决算情况说明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_Toc4518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7</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"_Toc3411" </w:instrText>
      </w:r>
      <w:r>
        <w:rPr>
          <w:u w:val="none"/>
        </w:rPr>
        <w:fldChar w:fldCharType="separate"/>
      </w:r>
      <w:r>
        <w:rPr>
          <w:rFonts w:hint="eastAsia" w:ascii="仿宋_GB2312" w:hAnsi="Times New Roman" w:eastAsia="仿宋_GB2312"/>
          <w:sz w:val="30"/>
          <w:szCs w:val="30"/>
          <w:u w:val="none"/>
        </w:rPr>
        <w:t>十、机关运行经费支出情况说明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_Toc3411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9</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"_Toc31102" </w:instrText>
      </w:r>
      <w:r>
        <w:rPr>
          <w:u w:val="none"/>
        </w:rPr>
        <w:fldChar w:fldCharType="separate"/>
      </w:r>
      <w:r>
        <w:rPr>
          <w:rFonts w:hint="eastAsia" w:ascii="仿宋_GB2312" w:hAnsi="Times New Roman" w:eastAsia="仿宋_GB2312"/>
          <w:sz w:val="30"/>
          <w:szCs w:val="30"/>
          <w:u w:val="none"/>
        </w:rPr>
        <w:t>十一、政府采购支出情况说明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_Toc31102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9</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"_Toc23709" </w:instrText>
      </w:r>
      <w:r>
        <w:rPr>
          <w:u w:val="none"/>
        </w:rPr>
        <w:fldChar w:fldCharType="separate"/>
      </w:r>
      <w:r>
        <w:rPr>
          <w:rFonts w:hint="eastAsia" w:ascii="仿宋_GB2312" w:hAnsi="Times New Roman" w:eastAsia="仿宋_GB2312"/>
          <w:sz w:val="30"/>
          <w:szCs w:val="30"/>
          <w:u w:val="none"/>
        </w:rPr>
        <w:t>十二、国有资产占有使用情况说明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_Toc23709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9</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"_Toc11467" </w:instrText>
      </w:r>
      <w:r>
        <w:rPr>
          <w:u w:val="none"/>
        </w:rPr>
        <w:fldChar w:fldCharType="separate"/>
      </w:r>
      <w:r>
        <w:rPr>
          <w:rFonts w:hint="eastAsia" w:ascii="仿宋_GB2312" w:hAnsi="Times New Roman" w:eastAsia="仿宋_GB2312"/>
          <w:sz w:val="30"/>
          <w:szCs w:val="30"/>
          <w:u w:val="none"/>
        </w:rPr>
        <w:t>十三、预算绩效情况说明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_Toc11467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9</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"_Toc15949" </w:instrText>
      </w:r>
      <w:r>
        <w:rPr>
          <w:u w:val="none"/>
        </w:rPr>
        <w:fldChar w:fldCharType="separate"/>
      </w:r>
      <w:r>
        <w:rPr>
          <w:rFonts w:hint="eastAsia" w:ascii="仿宋_GB2312" w:hAnsi="Times New Roman" w:eastAsia="仿宋_GB2312"/>
          <w:sz w:val="30"/>
          <w:szCs w:val="30"/>
          <w:u w:val="none"/>
        </w:rPr>
        <w:t>十四、教育、医疗卫生、社会保障和就业、住房保障、涉农补贴等民生支出情况说明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_Toc15949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9</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9"/>
        <w:tabs>
          <w:tab w:val="right" w:leader="dot" w:pos="8306"/>
          <w:tab w:val="clear" w:pos="8296"/>
        </w:tabs>
        <w:rPr>
          <w:rFonts w:ascii="仿宋_GB2312" w:hAnsi="Times New Roman" w:eastAsia="仿宋_GB2312" w:cs="Times New Roman"/>
          <w:sz w:val="30"/>
          <w:szCs w:val="30"/>
          <w:u w:val="none"/>
        </w:rPr>
      </w:pPr>
      <w:r>
        <w:rPr>
          <w:u w:val="none"/>
        </w:rPr>
        <w:fldChar w:fldCharType="begin"/>
      </w:r>
      <w:r>
        <w:rPr>
          <w:u w:val="none"/>
        </w:rPr>
        <w:instrText xml:space="preserve"> HYPERLINK \l "_Toc30612" </w:instrText>
      </w:r>
      <w:r>
        <w:rPr>
          <w:u w:val="none"/>
        </w:rPr>
        <w:fldChar w:fldCharType="separate"/>
      </w:r>
      <w:r>
        <w:rPr>
          <w:rFonts w:hint="eastAsia" w:ascii="仿宋_GB2312" w:hAnsi="Times New Roman" w:eastAsia="仿宋_GB2312" w:cs="Times New Roman"/>
          <w:sz w:val="30"/>
          <w:szCs w:val="30"/>
          <w:u w:val="none"/>
        </w:rPr>
        <w:t>第四部分  名词解释</w:t>
      </w:r>
      <w:r>
        <w:rPr>
          <w:rFonts w:hint="eastAsia" w:ascii="仿宋_GB2312" w:hAnsi="Times New Roman" w:eastAsia="仿宋_GB2312" w:cs="Times New Roman"/>
          <w:sz w:val="30"/>
          <w:szCs w:val="30"/>
          <w:u w:val="none"/>
        </w:rPr>
        <w:tab/>
      </w: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PAGEREF _Toc30612 \h </w:instrText>
      </w:r>
      <w:r>
        <w:rPr>
          <w:rFonts w:hint="eastAsia" w:ascii="仿宋_GB2312" w:hAnsi="Times New Roman" w:eastAsia="仿宋_GB2312" w:cs="Times New Roman"/>
          <w:sz w:val="30"/>
          <w:szCs w:val="30"/>
          <w:u w:val="none"/>
        </w:rPr>
        <w:fldChar w:fldCharType="separate"/>
      </w:r>
      <w:r>
        <w:rPr>
          <w:rFonts w:hint="eastAsia" w:ascii="仿宋_GB2312" w:hAnsi="Times New Roman" w:eastAsia="仿宋_GB2312" w:cs="Times New Roman"/>
          <w:sz w:val="30"/>
          <w:szCs w:val="30"/>
          <w:u w:val="none"/>
        </w:rPr>
        <w:t>11</w:t>
      </w:r>
      <w:r>
        <w:rPr>
          <w:rFonts w:hint="eastAsia" w:ascii="仿宋_GB2312" w:hAnsi="Times New Roman" w:eastAsia="仿宋_GB2312" w:cs="Times New Roman"/>
          <w:sz w:val="30"/>
          <w:szCs w:val="30"/>
          <w:u w:val="none"/>
        </w:rPr>
        <w:fldChar w:fldCharType="end"/>
      </w:r>
      <w:r>
        <w:rPr>
          <w:rFonts w:hint="eastAsia" w:ascii="仿宋_GB2312" w:hAnsi="Times New Roman" w:eastAsia="仿宋_GB2312" w:cs="Times New Roman"/>
          <w:sz w:val="30"/>
          <w:szCs w:val="30"/>
          <w:u w:val="none"/>
        </w:rPr>
        <w:fldChar w:fldCharType="end"/>
      </w:r>
    </w:p>
    <w:p>
      <w:pPr>
        <w:pStyle w:val="10"/>
        <w:tabs>
          <w:tab w:val="right" w:leader="dot" w:pos="8296"/>
        </w:tabs>
        <w:spacing w:after="0" w:line="600" w:lineRule="exact"/>
        <w:rPr>
          <w:rFonts w:ascii="Times New Roman" w:hAnsi="Times New Roman" w:eastAsia="仿宋_GB2312"/>
          <w:sz w:val="32"/>
          <w:szCs w:val="32"/>
          <w:u w:val="none"/>
        </w:rPr>
        <w:sectPr>
          <w:footerReference r:id="rId5" w:type="default"/>
          <w:pgSz w:w="11906" w:h="16838"/>
          <w:pgMar w:top="1440" w:right="1800" w:bottom="1440" w:left="1800" w:header="851" w:footer="992" w:gutter="0"/>
          <w:pgNumType w:start="1"/>
          <w:cols w:space="720" w:num="1"/>
          <w:docGrid w:type="lines" w:linePitch="312" w:charSpace="0"/>
        </w:sectPr>
      </w:pPr>
      <w:r>
        <w:rPr>
          <w:rFonts w:hint="eastAsia" w:ascii="仿宋_GB2312" w:hAnsi="Times New Roman" w:eastAsia="仿宋_GB2312"/>
          <w:sz w:val="30"/>
          <w:szCs w:val="30"/>
          <w:u w:val="none"/>
        </w:rPr>
        <w:fldChar w:fldCharType="end"/>
      </w:r>
    </w:p>
    <w:p>
      <w:pPr>
        <w:rPr>
          <w:u w:val="none"/>
        </w:rPr>
      </w:pPr>
    </w:p>
    <w:p>
      <w:pPr>
        <w:pStyle w:val="2"/>
        <w:spacing w:before="0" w:after="0" w:line="600" w:lineRule="exact"/>
        <w:jc w:val="center"/>
        <w:rPr>
          <w:rFonts w:ascii="方正小标宋简体" w:hAnsi="方正小标宋简体" w:eastAsia="方正小标宋简体" w:cs="方正小标宋简体"/>
          <w:b w:val="0"/>
          <w:sz w:val="48"/>
          <w:szCs w:val="48"/>
          <w:u w:val="none"/>
        </w:rPr>
      </w:pPr>
    </w:p>
    <w:p>
      <w:pPr>
        <w:pStyle w:val="2"/>
        <w:spacing w:before="0" w:after="0" w:line="600" w:lineRule="exact"/>
        <w:jc w:val="center"/>
        <w:rPr>
          <w:rFonts w:ascii="方正小标宋简体" w:hAnsi="方正小标宋简体" w:eastAsia="方正小标宋简体" w:cs="方正小标宋简体"/>
          <w:b w:val="0"/>
          <w:u w:val="none"/>
        </w:rPr>
      </w:pPr>
      <w:bookmarkStart w:id="0" w:name="_Toc859"/>
      <w:r>
        <w:rPr>
          <w:rFonts w:hint="eastAsia" w:ascii="方正小标宋简体" w:hAnsi="方正小标宋简体" w:eastAsia="方正小标宋简体" w:cs="方正小标宋简体"/>
          <w:b w:val="0"/>
          <w:u w:val="none"/>
        </w:rPr>
        <w:t>第一部分  概 况</w:t>
      </w:r>
      <w:bookmarkEnd w:id="0"/>
    </w:p>
    <w:p>
      <w:pPr>
        <w:spacing w:line="600" w:lineRule="exact"/>
        <w:rPr>
          <w:u w:val="none"/>
        </w:rPr>
      </w:pPr>
    </w:p>
    <w:p>
      <w:pPr>
        <w:pStyle w:val="3"/>
        <w:numPr>
          <w:ilvl w:val="0"/>
          <w:numId w:val="1"/>
        </w:numPr>
        <w:spacing w:before="0" w:after="0" w:line="600" w:lineRule="exact"/>
        <w:ind w:firstLine="600" w:firstLineChars="200"/>
        <w:rPr>
          <w:rFonts w:hint="eastAsia" w:ascii="黑体" w:hAnsi="黑体" w:eastAsia="黑体"/>
          <w:b w:val="0"/>
          <w:bCs w:val="0"/>
          <w:sz w:val="30"/>
          <w:szCs w:val="30"/>
          <w:u w:val="none"/>
        </w:rPr>
      </w:pPr>
      <w:bookmarkStart w:id="1" w:name="_Toc21919"/>
      <w:r>
        <w:rPr>
          <w:rFonts w:hint="eastAsia" w:ascii="黑体" w:hAnsi="黑体" w:eastAsia="黑体"/>
          <w:b w:val="0"/>
          <w:bCs w:val="0"/>
          <w:sz w:val="30"/>
          <w:szCs w:val="30"/>
          <w:u w:val="none"/>
        </w:rPr>
        <w:t>主要职责</w:t>
      </w:r>
      <w:bookmarkEnd w:id="1"/>
    </w:p>
    <w:p>
      <w:pPr>
        <w:spacing w:line="600" w:lineRule="exact"/>
        <w:ind w:firstLine="600" w:firstLineChars="200"/>
        <w:rPr>
          <w:rFonts w:hint="eastAsia" w:ascii="仿宋_GB2312" w:eastAsia="仿宋_GB2312" w:cs="仿宋_GB2312"/>
          <w:sz w:val="30"/>
          <w:szCs w:val="30"/>
          <w:u w:val="none"/>
        </w:rPr>
      </w:pPr>
      <w:r>
        <w:rPr>
          <w:rFonts w:hint="eastAsia" w:ascii="仿宋_GB2312" w:eastAsia="仿宋_GB2312" w:cs="仿宋_GB2312"/>
          <w:sz w:val="30"/>
          <w:szCs w:val="30"/>
          <w:u w:val="none"/>
          <w:lang w:eastAsia="zh-CN"/>
        </w:rPr>
        <w:t>（一）．</w:t>
      </w:r>
      <w:r>
        <w:rPr>
          <w:rFonts w:hint="eastAsia" w:ascii="仿宋_GB2312" w:eastAsia="仿宋_GB2312" w:cs="仿宋_GB2312"/>
          <w:sz w:val="30"/>
          <w:szCs w:val="30"/>
          <w:u w:val="none"/>
        </w:rPr>
        <w:t>负责保障区域经济发展相关服务工作。</w:t>
      </w:r>
    </w:p>
    <w:p>
      <w:pPr>
        <w:spacing w:line="600" w:lineRule="exact"/>
        <w:ind w:firstLine="600" w:firstLineChars="200"/>
        <w:rPr>
          <w:rFonts w:hint="eastAsia" w:ascii="仿宋_GB2312" w:eastAsia="仿宋_GB2312" w:cs="仿宋_GB2312"/>
          <w:sz w:val="30"/>
          <w:szCs w:val="30"/>
          <w:u w:val="none"/>
          <w:lang w:eastAsia="zh-CN"/>
        </w:rPr>
      </w:pPr>
      <w:r>
        <w:rPr>
          <w:rFonts w:hint="eastAsia" w:ascii="仿宋_GB2312" w:eastAsia="仿宋_GB2312" w:cs="仿宋_GB2312"/>
          <w:sz w:val="30"/>
          <w:szCs w:val="30"/>
          <w:u w:val="none"/>
          <w:lang w:eastAsia="zh-CN"/>
        </w:rPr>
        <w:t>（二）．</w:t>
      </w:r>
      <w:r>
        <w:rPr>
          <w:rFonts w:hint="eastAsia" w:ascii="仿宋_GB2312" w:eastAsia="仿宋_GB2312" w:cs="仿宋_GB2312"/>
          <w:sz w:val="30"/>
          <w:szCs w:val="30"/>
          <w:u w:val="none"/>
        </w:rPr>
        <w:t>负责镇域内各类企业招商引资、投资立项、安全生产、环境保护、科技创新、新项目开发、技术改造、技措技改、教育培训</w:t>
      </w:r>
      <w:r>
        <w:rPr>
          <w:rFonts w:hint="eastAsia" w:ascii="仿宋_GB2312" w:eastAsia="仿宋_GB2312" w:cs="仿宋_GB2312"/>
          <w:sz w:val="30"/>
          <w:szCs w:val="30"/>
          <w:u w:val="none"/>
          <w:lang w:eastAsia="zh-CN"/>
        </w:rPr>
        <w:t>。</w:t>
      </w:r>
    </w:p>
    <w:p>
      <w:pPr>
        <w:spacing w:line="600" w:lineRule="exact"/>
        <w:ind w:firstLine="600" w:firstLineChars="200"/>
        <w:rPr>
          <w:rFonts w:hint="eastAsia" w:ascii="仿宋_GB2312" w:eastAsia="仿宋_GB2312" w:cs="仿宋_GB2312"/>
          <w:sz w:val="30"/>
          <w:szCs w:val="30"/>
          <w:u w:val="none"/>
          <w:lang w:eastAsia="zh-CN"/>
        </w:rPr>
      </w:pPr>
      <w:r>
        <w:rPr>
          <w:rFonts w:hint="eastAsia" w:ascii="仿宋_GB2312" w:eastAsia="仿宋_GB2312" w:cs="仿宋_GB2312"/>
          <w:sz w:val="30"/>
          <w:szCs w:val="30"/>
          <w:u w:val="none"/>
          <w:lang w:eastAsia="zh-CN"/>
        </w:rPr>
        <w:t>（三）．</w:t>
      </w:r>
      <w:r>
        <w:rPr>
          <w:rFonts w:hint="eastAsia" w:ascii="仿宋_GB2312" w:eastAsia="仿宋_GB2312" w:cs="仿宋_GB2312"/>
          <w:sz w:val="30"/>
          <w:szCs w:val="30"/>
          <w:u w:val="none"/>
        </w:rPr>
        <w:t>负责相关鼓励政策落实</w:t>
      </w:r>
      <w:r>
        <w:rPr>
          <w:rFonts w:hint="eastAsia" w:ascii="仿宋_GB2312" w:eastAsia="仿宋_GB2312" w:cs="仿宋_GB2312"/>
          <w:sz w:val="30"/>
          <w:szCs w:val="30"/>
          <w:u w:val="none"/>
          <w:lang w:eastAsia="zh-CN"/>
        </w:rPr>
        <w:t>。</w:t>
      </w:r>
    </w:p>
    <w:p>
      <w:pPr>
        <w:spacing w:line="600" w:lineRule="exact"/>
        <w:ind w:firstLine="600" w:firstLineChars="200"/>
        <w:rPr>
          <w:u w:val="none"/>
        </w:rPr>
      </w:pPr>
      <w:r>
        <w:rPr>
          <w:rFonts w:hint="eastAsia" w:ascii="仿宋_GB2312" w:eastAsia="仿宋_GB2312" w:cs="仿宋_GB2312"/>
          <w:sz w:val="30"/>
          <w:szCs w:val="30"/>
          <w:u w:val="none"/>
          <w:lang w:eastAsia="zh-CN"/>
        </w:rPr>
        <w:t>（四）．</w:t>
      </w:r>
      <w:r>
        <w:rPr>
          <w:rFonts w:hint="eastAsia" w:ascii="仿宋_GB2312" w:eastAsia="仿宋_GB2312" w:cs="仿宋_GB2312"/>
          <w:sz w:val="30"/>
          <w:szCs w:val="30"/>
          <w:u w:val="none"/>
        </w:rPr>
        <w:t>负责园区规划、基础设施建设维护、物业管理、服务保障工作等。</w:t>
      </w:r>
    </w:p>
    <w:p>
      <w:pPr>
        <w:pStyle w:val="3"/>
        <w:spacing w:before="0" w:after="0" w:line="600" w:lineRule="exact"/>
        <w:ind w:firstLine="600" w:firstLineChars="200"/>
        <w:rPr>
          <w:rFonts w:ascii="黑体" w:hAnsi="黑体" w:eastAsia="黑体"/>
          <w:b w:val="0"/>
          <w:bCs w:val="0"/>
          <w:sz w:val="30"/>
          <w:szCs w:val="30"/>
          <w:u w:val="none"/>
        </w:rPr>
      </w:pPr>
      <w:bookmarkStart w:id="2" w:name="_Toc17388"/>
      <w:r>
        <w:rPr>
          <w:rFonts w:hint="eastAsia" w:ascii="黑体" w:hAnsi="黑体" w:eastAsia="黑体"/>
          <w:b w:val="0"/>
          <w:bCs w:val="0"/>
          <w:sz w:val="30"/>
          <w:szCs w:val="30"/>
          <w:u w:val="none"/>
        </w:rPr>
        <w:t>二、机构设置</w:t>
      </w:r>
      <w:bookmarkEnd w:id="2"/>
    </w:p>
    <w:p>
      <w:pPr>
        <w:spacing w:line="600" w:lineRule="exact"/>
        <w:ind w:firstLine="600" w:firstLineChars="200"/>
        <w:rPr>
          <w:rFonts w:eastAsia="仿宋_GB2312"/>
          <w:sz w:val="30"/>
          <w:szCs w:val="30"/>
          <w:u w:val="none"/>
        </w:rPr>
      </w:pPr>
      <w:r>
        <w:rPr>
          <w:rFonts w:hint="eastAsia" w:ascii="仿宋_GB2312" w:eastAsia="仿宋_GB2312" w:cs="仿宋_GB2312"/>
          <w:sz w:val="30"/>
          <w:szCs w:val="30"/>
          <w:u w:val="none"/>
        </w:rPr>
        <w:t>天津市津南区北闸口镇镇域经济发展服务中心部门</w:t>
      </w:r>
      <w:r>
        <w:rPr>
          <w:rFonts w:eastAsia="仿宋_GB2312"/>
          <w:sz w:val="30"/>
          <w:szCs w:val="30"/>
          <w:u w:val="none"/>
        </w:rPr>
        <w:t>内设</w:t>
      </w:r>
      <w:r>
        <w:rPr>
          <w:rFonts w:hint="eastAsia" w:eastAsia="仿宋_GB2312"/>
          <w:sz w:val="30"/>
          <w:szCs w:val="30"/>
          <w:u w:val="none"/>
          <w:lang w:val="en-US" w:eastAsia="zh-CN"/>
        </w:rPr>
        <w:t>1</w:t>
      </w:r>
      <w:r>
        <w:rPr>
          <w:rFonts w:eastAsia="仿宋_GB2312"/>
          <w:sz w:val="30"/>
          <w:szCs w:val="30"/>
          <w:u w:val="none"/>
        </w:rPr>
        <w:t xml:space="preserve">  个职能处室</w:t>
      </w:r>
      <w:r>
        <w:rPr>
          <w:rFonts w:hint="eastAsia" w:ascii="仿宋_GB2312" w:eastAsia="仿宋_GB2312" w:cs="仿宋_GB2312"/>
          <w:sz w:val="30"/>
          <w:szCs w:val="30"/>
          <w:u w:val="none"/>
        </w:rPr>
        <w:t>。</w:t>
      </w:r>
    </w:p>
    <w:p>
      <w:pPr>
        <w:spacing w:line="600" w:lineRule="exact"/>
        <w:rPr>
          <w:rFonts w:eastAsia="楷体_GB2312"/>
          <w:b/>
          <w:sz w:val="30"/>
          <w:szCs w:val="30"/>
          <w:u w:val="none"/>
        </w:rPr>
        <w:sectPr>
          <w:footerReference r:id="rId6" w:type="default"/>
          <w:pgSz w:w="11906" w:h="16838"/>
          <w:pgMar w:top="1440" w:right="1800" w:bottom="1440" w:left="1800" w:header="851" w:footer="992" w:gutter="0"/>
          <w:pgNumType w:start="1"/>
          <w:cols w:space="720" w:num="1"/>
          <w:docGrid w:type="lines" w:linePitch="312" w:charSpace="0"/>
        </w:sectPr>
      </w:pPr>
      <w:r>
        <w:rPr>
          <w:rFonts w:eastAsia="楷体_GB2312"/>
          <w:b/>
          <w:sz w:val="30"/>
          <w:szCs w:val="30"/>
          <w:u w:val="none"/>
        </w:rPr>
        <w:br w:type="textWrapping"/>
      </w:r>
    </w:p>
    <w:p>
      <w:pPr>
        <w:spacing w:line="600" w:lineRule="exact"/>
        <w:rPr>
          <w:rFonts w:eastAsia="楷体_GB2312"/>
          <w:b/>
          <w:sz w:val="30"/>
          <w:szCs w:val="30"/>
          <w:u w:val="none"/>
        </w:rPr>
      </w:pPr>
    </w:p>
    <w:p>
      <w:pPr>
        <w:pStyle w:val="2"/>
        <w:spacing w:before="0" w:after="0" w:line="600" w:lineRule="exact"/>
        <w:jc w:val="center"/>
        <w:rPr>
          <w:rFonts w:ascii="方正小标宋简体" w:hAnsi="方正小标宋简体" w:eastAsia="方正小标宋简体" w:cs="方正小标宋简体"/>
          <w:b w:val="0"/>
          <w:u w:val="none"/>
        </w:rPr>
      </w:pPr>
      <w:bookmarkStart w:id="3" w:name="_Toc24747"/>
      <w:r>
        <w:rPr>
          <w:rFonts w:ascii="方正小标宋简体" w:hAnsi="方正小标宋简体" w:eastAsia="方正小标宋简体" w:cs="方正小标宋简体"/>
          <w:b w:val="0"/>
          <w:u w:val="none"/>
        </w:rPr>
        <w:t>第</w:t>
      </w:r>
      <w:r>
        <w:rPr>
          <w:rFonts w:hint="eastAsia" w:ascii="方正小标宋简体" w:hAnsi="方正小标宋简体" w:eastAsia="方正小标宋简体" w:cs="方正小标宋简体"/>
          <w:b w:val="0"/>
          <w:u w:val="none"/>
        </w:rPr>
        <w:t>二</w:t>
      </w:r>
      <w:r>
        <w:rPr>
          <w:rFonts w:ascii="方正小标宋简体" w:hAnsi="方正小标宋简体" w:eastAsia="方正小标宋简体" w:cs="方正小标宋简体"/>
          <w:b w:val="0"/>
          <w:u w:val="none"/>
        </w:rPr>
        <w:t xml:space="preserve">部分  </w:t>
      </w:r>
      <w:r>
        <w:rPr>
          <w:rFonts w:hint="eastAsia" w:ascii="方正小标宋简体" w:hAnsi="方正小标宋简体" w:eastAsia="方正小标宋简体" w:cs="方正小标宋简体"/>
          <w:b w:val="0"/>
          <w:u w:val="none"/>
        </w:rPr>
        <w:t>2022</w:t>
      </w:r>
      <w:r>
        <w:rPr>
          <w:rFonts w:ascii="方正小标宋简体" w:hAnsi="方正小标宋简体" w:eastAsia="方正小标宋简体" w:cs="方正小标宋简体"/>
          <w:b w:val="0"/>
          <w:u w:val="none"/>
        </w:rPr>
        <w:t>年度部门决算</w:t>
      </w:r>
      <w:r>
        <w:rPr>
          <w:rFonts w:hint="eastAsia" w:ascii="方正小标宋简体" w:hAnsi="方正小标宋简体" w:eastAsia="方正小标宋简体" w:cs="方正小标宋简体"/>
          <w:b w:val="0"/>
          <w:u w:val="none"/>
        </w:rPr>
        <w:t>表</w:t>
      </w:r>
      <w:bookmarkEnd w:id="3"/>
    </w:p>
    <w:p>
      <w:pPr>
        <w:spacing w:line="600" w:lineRule="exact"/>
        <w:rPr>
          <w:u w:val="none"/>
        </w:rPr>
      </w:pPr>
    </w:p>
    <w:p>
      <w:pPr>
        <w:pStyle w:val="3"/>
        <w:spacing w:before="0" w:after="0" w:line="800" w:lineRule="exact"/>
        <w:ind w:firstLine="600" w:firstLineChars="200"/>
        <w:rPr>
          <w:rFonts w:ascii="黑体" w:hAnsi="黑体" w:eastAsia="黑体"/>
          <w:b w:val="0"/>
          <w:sz w:val="30"/>
          <w:szCs w:val="30"/>
          <w:u w:val="none"/>
        </w:rPr>
      </w:pPr>
      <w:bookmarkStart w:id="4" w:name="_Toc20142"/>
      <w:r>
        <w:rPr>
          <w:rFonts w:ascii="黑体" w:hAnsi="黑体" w:eastAsia="黑体"/>
          <w:b w:val="0"/>
          <w:sz w:val="30"/>
          <w:szCs w:val="30"/>
          <w:u w:val="none"/>
        </w:rPr>
        <w:t>一</w:t>
      </w:r>
      <w:r>
        <w:rPr>
          <w:rFonts w:hint="eastAsia" w:ascii="黑体" w:hAnsi="黑体" w:eastAsia="黑体"/>
          <w:b w:val="0"/>
          <w:sz w:val="30"/>
          <w:szCs w:val="30"/>
          <w:u w:val="none"/>
        </w:rPr>
        <w:t>、</w:t>
      </w:r>
      <w:r>
        <w:rPr>
          <w:rFonts w:ascii="黑体" w:hAnsi="黑体" w:eastAsia="黑体"/>
          <w:b w:val="0"/>
          <w:sz w:val="30"/>
          <w:szCs w:val="30"/>
          <w:u w:val="none"/>
        </w:rPr>
        <w:t>《</w:t>
      </w:r>
      <w:r>
        <w:rPr>
          <w:rFonts w:hint="eastAsia" w:ascii="黑体" w:hAnsi="黑体" w:eastAsia="黑体"/>
          <w:b w:val="0"/>
          <w:sz w:val="30"/>
          <w:szCs w:val="30"/>
          <w:u w:val="none"/>
        </w:rPr>
        <w:t>收入</w:t>
      </w:r>
      <w:r>
        <w:rPr>
          <w:rFonts w:ascii="黑体" w:hAnsi="黑体" w:eastAsia="黑体"/>
          <w:b w:val="0"/>
          <w:sz w:val="30"/>
          <w:szCs w:val="30"/>
          <w:u w:val="none"/>
        </w:rPr>
        <w:t>支出</w:t>
      </w:r>
      <w:r>
        <w:rPr>
          <w:rFonts w:hint="eastAsia" w:ascii="黑体" w:hAnsi="黑体" w:eastAsia="黑体"/>
          <w:b w:val="0"/>
          <w:sz w:val="30"/>
          <w:szCs w:val="30"/>
          <w:u w:val="none"/>
        </w:rPr>
        <w:t>决算总</w:t>
      </w:r>
      <w:r>
        <w:rPr>
          <w:rFonts w:ascii="黑体" w:hAnsi="黑体" w:eastAsia="黑体"/>
          <w:b w:val="0"/>
          <w:sz w:val="30"/>
          <w:szCs w:val="30"/>
          <w:u w:val="none"/>
        </w:rPr>
        <w:t>表》</w:t>
      </w:r>
      <w:bookmarkEnd w:id="4"/>
    </w:p>
    <w:p>
      <w:pPr>
        <w:pStyle w:val="3"/>
        <w:spacing w:before="0" w:after="0" w:line="800" w:lineRule="exact"/>
        <w:ind w:firstLine="600" w:firstLineChars="200"/>
        <w:rPr>
          <w:rFonts w:ascii="黑体" w:hAnsi="黑体" w:eastAsia="黑体"/>
          <w:b w:val="0"/>
          <w:sz w:val="30"/>
          <w:szCs w:val="30"/>
          <w:u w:val="none"/>
        </w:rPr>
      </w:pPr>
      <w:bookmarkStart w:id="5" w:name="_Toc1616"/>
      <w:r>
        <w:rPr>
          <w:rFonts w:ascii="黑体" w:hAnsi="黑体" w:eastAsia="黑体"/>
          <w:b w:val="0"/>
          <w:sz w:val="30"/>
          <w:szCs w:val="30"/>
          <w:u w:val="none"/>
        </w:rPr>
        <w:t>二、《收入</w:t>
      </w:r>
      <w:r>
        <w:rPr>
          <w:rFonts w:hint="eastAsia" w:ascii="黑体" w:hAnsi="黑体" w:eastAsia="黑体"/>
          <w:b w:val="0"/>
          <w:sz w:val="30"/>
          <w:szCs w:val="30"/>
          <w:u w:val="none"/>
        </w:rPr>
        <w:t>决算</w:t>
      </w:r>
      <w:r>
        <w:rPr>
          <w:rFonts w:ascii="黑体" w:hAnsi="黑体" w:eastAsia="黑体"/>
          <w:b w:val="0"/>
          <w:sz w:val="30"/>
          <w:szCs w:val="30"/>
          <w:u w:val="none"/>
        </w:rPr>
        <w:t>表</w:t>
      </w:r>
      <w:r>
        <w:rPr>
          <w:rFonts w:hint="eastAsia" w:ascii="黑体" w:hAnsi="黑体" w:eastAsia="黑体"/>
          <w:b w:val="0"/>
          <w:sz w:val="30"/>
          <w:szCs w:val="30"/>
          <w:u w:val="none"/>
        </w:rPr>
        <w:t>（按功能分类列示）</w:t>
      </w:r>
      <w:r>
        <w:rPr>
          <w:rFonts w:ascii="黑体" w:hAnsi="黑体" w:eastAsia="黑体"/>
          <w:b w:val="0"/>
          <w:sz w:val="30"/>
          <w:szCs w:val="30"/>
          <w:u w:val="none"/>
        </w:rPr>
        <w:t>》</w:t>
      </w:r>
      <w:bookmarkEnd w:id="5"/>
    </w:p>
    <w:p>
      <w:pPr>
        <w:pStyle w:val="3"/>
        <w:spacing w:before="0" w:after="0" w:line="800" w:lineRule="exact"/>
        <w:ind w:firstLine="600" w:firstLineChars="200"/>
        <w:rPr>
          <w:rFonts w:ascii="黑体" w:hAnsi="黑体" w:eastAsia="黑体"/>
          <w:b w:val="0"/>
          <w:sz w:val="30"/>
          <w:szCs w:val="30"/>
          <w:u w:val="none"/>
        </w:rPr>
      </w:pPr>
      <w:bookmarkStart w:id="6" w:name="_Toc12050"/>
      <w:r>
        <w:rPr>
          <w:rFonts w:hint="eastAsia" w:ascii="黑体" w:hAnsi="黑体" w:eastAsia="黑体"/>
          <w:b w:val="0"/>
          <w:sz w:val="30"/>
          <w:szCs w:val="30"/>
          <w:u w:val="none"/>
        </w:rPr>
        <w:t>三</w:t>
      </w:r>
      <w:r>
        <w:rPr>
          <w:rFonts w:ascii="黑体" w:hAnsi="黑体" w:eastAsia="黑体"/>
          <w:b w:val="0"/>
          <w:sz w:val="30"/>
          <w:szCs w:val="30"/>
          <w:u w:val="none"/>
        </w:rPr>
        <w:t>、《收入</w:t>
      </w:r>
      <w:r>
        <w:rPr>
          <w:rFonts w:hint="eastAsia" w:ascii="黑体" w:hAnsi="黑体" w:eastAsia="黑体"/>
          <w:b w:val="0"/>
          <w:sz w:val="30"/>
          <w:szCs w:val="30"/>
          <w:u w:val="none"/>
        </w:rPr>
        <w:t>决算</w:t>
      </w:r>
      <w:r>
        <w:rPr>
          <w:rFonts w:ascii="黑体" w:hAnsi="黑体" w:eastAsia="黑体"/>
          <w:b w:val="0"/>
          <w:sz w:val="30"/>
          <w:szCs w:val="30"/>
          <w:u w:val="none"/>
        </w:rPr>
        <w:t>表</w:t>
      </w:r>
      <w:r>
        <w:rPr>
          <w:rFonts w:hint="eastAsia" w:ascii="黑体" w:hAnsi="黑体" w:eastAsia="黑体"/>
          <w:b w:val="0"/>
          <w:sz w:val="30"/>
          <w:szCs w:val="30"/>
          <w:u w:val="none"/>
        </w:rPr>
        <w:t>（按单位列示）</w:t>
      </w:r>
      <w:r>
        <w:rPr>
          <w:rFonts w:ascii="黑体" w:hAnsi="黑体" w:eastAsia="黑体"/>
          <w:b w:val="0"/>
          <w:sz w:val="30"/>
          <w:szCs w:val="30"/>
          <w:u w:val="none"/>
        </w:rPr>
        <w:t>》</w:t>
      </w:r>
      <w:bookmarkEnd w:id="6"/>
    </w:p>
    <w:p>
      <w:pPr>
        <w:pStyle w:val="3"/>
        <w:spacing w:before="0" w:after="0" w:line="800" w:lineRule="exact"/>
        <w:ind w:firstLine="600" w:firstLineChars="200"/>
        <w:rPr>
          <w:rFonts w:ascii="黑体" w:hAnsi="黑体" w:eastAsia="黑体"/>
          <w:b w:val="0"/>
          <w:sz w:val="30"/>
          <w:szCs w:val="30"/>
          <w:u w:val="none"/>
        </w:rPr>
      </w:pPr>
      <w:bookmarkStart w:id="7" w:name="_Toc1989"/>
      <w:r>
        <w:rPr>
          <w:rFonts w:hint="eastAsia" w:ascii="黑体" w:hAnsi="黑体" w:eastAsia="黑体"/>
          <w:b w:val="0"/>
          <w:sz w:val="30"/>
          <w:szCs w:val="30"/>
          <w:u w:val="none"/>
        </w:rPr>
        <w:t>四、</w:t>
      </w:r>
      <w:r>
        <w:rPr>
          <w:rFonts w:ascii="黑体" w:hAnsi="黑体" w:eastAsia="黑体"/>
          <w:b w:val="0"/>
          <w:sz w:val="30"/>
          <w:szCs w:val="30"/>
          <w:u w:val="none"/>
        </w:rPr>
        <w:t>《支出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7"/>
    </w:p>
    <w:p>
      <w:pPr>
        <w:pStyle w:val="3"/>
        <w:spacing w:before="0" w:after="0" w:line="800" w:lineRule="exact"/>
        <w:ind w:firstLine="600" w:firstLineChars="200"/>
        <w:rPr>
          <w:rFonts w:ascii="黑体" w:hAnsi="黑体" w:eastAsia="黑体"/>
          <w:b w:val="0"/>
          <w:sz w:val="30"/>
          <w:szCs w:val="30"/>
          <w:u w:val="none"/>
        </w:rPr>
      </w:pPr>
      <w:bookmarkStart w:id="8" w:name="_Toc32498"/>
      <w:r>
        <w:rPr>
          <w:rFonts w:ascii="黑体" w:hAnsi="黑体" w:eastAsia="黑体"/>
          <w:b w:val="0"/>
          <w:sz w:val="30"/>
          <w:szCs w:val="30"/>
          <w:u w:val="none"/>
        </w:rPr>
        <w:t>五</w:t>
      </w:r>
      <w:r>
        <w:rPr>
          <w:rFonts w:hint="eastAsia" w:ascii="黑体" w:hAnsi="黑体" w:eastAsia="黑体"/>
          <w:b w:val="0"/>
          <w:sz w:val="30"/>
          <w:szCs w:val="30"/>
          <w:u w:val="none"/>
        </w:rPr>
        <w:t>、</w:t>
      </w:r>
      <w:r>
        <w:rPr>
          <w:rFonts w:ascii="黑体" w:hAnsi="黑体" w:eastAsia="黑体"/>
          <w:b w:val="0"/>
          <w:sz w:val="30"/>
          <w:szCs w:val="30"/>
          <w:u w:val="none"/>
        </w:rPr>
        <w:t>《财政拨款</w:t>
      </w:r>
      <w:r>
        <w:rPr>
          <w:rFonts w:hint="eastAsia" w:ascii="黑体" w:hAnsi="黑体" w:eastAsia="黑体"/>
          <w:b w:val="0"/>
          <w:sz w:val="30"/>
          <w:szCs w:val="30"/>
          <w:u w:val="none"/>
        </w:rPr>
        <w:t>收入</w:t>
      </w:r>
      <w:r>
        <w:rPr>
          <w:rFonts w:ascii="黑体" w:hAnsi="黑体" w:eastAsia="黑体"/>
          <w:b w:val="0"/>
          <w:sz w:val="30"/>
          <w:szCs w:val="30"/>
          <w:u w:val="none"/>
        </w:rPr>
        <w:t>支出</w:t>
      </w:r>
      <w:r>
        <w:rPr>
          <w:rFonts w:hint="eastAsia" w:ascii="黑体" w:hAnsi="黑体" w:eastAsia="黑体"/>
          <w:b w:val="0"/>
          <w:sz w:val="30"/>
          <w:szCs w:val="30"/>
          <w:u w:val="none"/>
        </w:rPr>
        <w:t>决算总</w:t>
      </w:r>
      <w:r>
        <w:rPr>
          <w:rFonts w:ascii="黑体" w:hAnsi="黑体" w:eastAsia="黑体"/>
          <w:b w:val="0"/>
          <w:sz w:val="30"/>
          <w:szCs w:val="30"/>
          <w:u w:val="none"/>
        </w:rPr>
        <w:t>表》</w:t>
      </w:r>
      <w:bookmarkEnd w:id="8"/>
    </w:p>
    <w:p>
      <w:pPr>
        <w:pStyle w:val="3"/>
        <w:spacing w:before="0" w:after="0" w:line="800" w:lineRule="exact"/>
        <w:ind w:firstLine="600" w:firstLineChars="200"/>
        <w:rPr>
          <w:rFonts w:ascii="黑体" w:hAnsi="黑体" w:eastAsia="黑体"/>
          <w:b w:val="0"/>
          <w:sz w:val="30"/>
          <w:szCs w:val="30"/>
          <w:u w:val="none"/>
        </w:rPr>
      </w:pPr>
      <w:bookmarkStart w:id="9" w:name="_Toc26379"/>
      <w:r>
        <w:rPr>
          <w:rFonts w:ascii="黑体" w:hAnsi="黑体" w:eastAsia="黑体"/>
          <w:b w:val="0"/>
          <w:sz w:val="30"/>
          <w:szCs w:val="30"/>
          <w:u w:val="none"/>
        </w:rPr>
        <w:t>六</w:t>
      </w:r>
      <w:r>
        <w:rPr>
          <w:rFonts w:hint="eastAsia" w:ascii="黑体" w:hAnsi="黑体" w:eastAsia="黑体"/>
          <w:b w:val="0"/>
          <w:sz w:val="30"/>
          <w:szCs w:val="30"/>
          <w:u w:val="none"/>
        </w:rPr>
        <w:t>、</w:t>
      </w:r>
      <w:r>
        <w:rPr>
          <w:rFonts w:ascii="黑体" w:hAnsi="黑体" w:eastAsia="黑体"/>
          <w:b w:val="0"/>
          <w:sz w:val="30"/>
          <w:szCs w:val="30"/>
          <w:u w:val="none"/>
        </w:rPr>
        <w:t>《一般公共预算财政拨款支出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9"/>
    </w:p>
    <w:p>
      <w:pPr>
        <w:pStyle w:val="3"/>
        <w:spacing w:before="0" w:after="0" w:line="800" w:lineRule="exact"/>
        <w:ind w:firstLine="600" w:firstLineChars="200"/>
        <w:rPr>
          <w:rFonts w:ascii="黑体" w:hAnsi="黑体" w:eastAsia="黑体"/>
          <w:b w:val="0"/>
          <w:sz w:val="30"/>
          <w:szCs w:val="30"/>
          <w:u w:val="none"/>
        </w:rPr>
      </w:pPr>
      <w:bookmarkStart w:id="10" w:name="_Toc4498"/>
      <w:r>
        <w:rPr>
          <w:rFonts w:ascii="黑体" w:hAnsi="黑体" w:eastAsia="黑体"/>
          <w:b w:val="0"/>
          <w:sz w:val="30"/>
          <w:szCs w:val="30"/>
          <w:u w:val="none"/>
        </w:rPr>
        <w:t>七</w:t>
      </w:r>
      <w:r>
        <w:rPr>
          <w:rFonts w:hint="eastAsia" w:ascii="黑体" w:hAnsi="黑体" w:eastAsia="黑体"/>
          <w:b w:val="0"/>
          <w:sz w:val="30"/>
          <w:szCs w:val="30"/>
          <w:u w:val="none"/>
        </w:rPr>
        <w:t>、</w:t>
      </w:r>
      <w:r>
        <w:rPr>
          <w:rFonts w:ascii="黑体" w:hAnsi="黑体" w:eastAsia="黑体"/>
          <w:b w:val="0"/>
          <w:sz w:val="30"/>
          <w:szCs w:val="30"/>
          <w:u w:val="none"/>
        </w:rPr>
        <w:t>《一般公共预算财政拨款基本支出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10"/>
    </w:p>
    <w:p>
      <w:pPr>
        <w:pStyle w:val="3"/>
        <w:spacing w:before="0" w:after="0" w:line="800" w:lineRule="exact"/>
        <w:ind w:firstLine="600" w:firstLineChars="200"/>
        <w:rPr>
          <w:rFonts w:ascii="黑体" w:hAnsi="黑体" w:eastAsia="黑体"/>
          <w:b w:val="0"/>
          <w:sz w:val="30"/>
          <w:szCs w:val="30"/>
          <w:u w:val="none"/>
        </w:rPr>
      </w:pPr>
      <w:bookmarkStart w:id="11" w:name="_Toc18038"/>
      <w:r>
        <w:rPr>
          <w:rFonts w:hint="eastAsia" w:ascii="黑体" w:hAnsi="黑体" w:eastAsia="黑体"/>
          <w:b w:val="0"/>
          <w:sz w:val="30"/>
          <w:szCs w:val="30"/>
          <w:u w:val="none"/>
        </w:rPr>
        <w:t>八、</w:t>
      </w:r>
      <w:r>
        <w:rPr>
          <w:rFonts w:ascii="黑体" w:hAnsi="黑体" w:eastAsia="黑体"/>
          <w:b w:val="0"/>
          <w:sz w:val="30"/>
          <w:szCs w:val="30"/>
          <w:u w:val="none"/>
        </w:rPr>
        <w:t>《政府性基金预算财政拨款</w:t>
      </w:r>
      <w:r>
        <w:rPr>
          <w:rFonts w:hint="eastAsia" w:ascii="黑体" w:hAnsi="黑体" w:eastAsia="黑体"/>
          <w:b w:val="0"/>
          <w:sz w:val="30"/>
          <w:szCs w:val="30"/>
          <w:u w:val="none"/>
        </w:rPr>
        <w:t>收入</w:t>
      </w:r>
      <w:r>
        <w:rPr>
          <w:rFonts w:ascii="黑体" w:hAnsi="黑体" w:eastAsia="黑体"/>
          <w:b w:val="0"/>
          <w:sz w:val="30"/>
          <w:szCs w:val="30"/>
          <w:u w:val="none"/>
        </w:rPr>
        <w:t>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11"/>
    </w:p>
    <w:p>
      <w:pPr>
        <w:pStyle w:val="3"/>
        <w:spacing w:before="0" w:after="0" w:line="800" w:lineRule="exact"/>
        <w:ind w:firstLine="600" w:firstLineChars="200"/>
        <w:rPr>
          <w:rFonts w:ascii="黑体" w:hAnsi="黑体" w:eastAsia="黑体"/>
          <w:b w:val="0"/>
          <w:sz w:val="30"/>
          <w:szCs w:val="30"/>
          <w:u w:val="none"/>
        </w:rPr>
      </w:pPr>
      <w:bookmarkStart w:id="12" w:name="_Toc13200"/>
      <w:r>
        <w:rPr>
          <w:rFonts w:hint="eastAsia" w:ascii="黑体" w:hAnsi="黑体" w:eastAsia="黑体"/>
          <w:b w:val="0"/>
          <w:sz w:val="30"/>
          <w:szCs w:val="30"/>
          <w:u w:val="none"/>
        </w:rPr>
        <w:t>九、</w:t>
      </w:r>
      <w:r>
        <w:rPr>
          <w:rFonts w:ascii="黑体" w:hAnsi="黑体" w:eastAsia="黑体"/>
          <w:b w:val="0"/>
          <w:sz w:val="30"/>
          <w:szCs w:val="30"/>
          <w:u w:val="none"/>
        </w:rPr>
        <w:t>《国有资本经营预算财政拨款</w:t>
      </w:r>
      <w:r>
        <w:rPr>
          <w:rFonts w:hint="eastAsia" w:ascii="黑体" w:hAnsi="黑体" w:eastAsia="黑体"/>
          <w:b w:val="0"/>
          <w:sz w:val="30"/>
          <w:szCs w:val="30"/>
          <w:u w:val="none"/>
        </w:rPr>
        <w:t>收入支出决算</w:t>
      </w:r>
      <w:r>
        <w:rPr>
          <w:rFonts w:ascii="黑体" w:hAnsi="黑体" w:eastAsia="黑体"/>
          <w:b w:val="0"/>
          <w:sz w:val="30"/>
          <w:szCs w:val="30"/>
          <w:u w:val="none"/>
        </w:rPr>
        <w:t>表》</w:t>
      </w:r>
      <w:bookmarkEnd w:id="12"/>
    </w:p>
    <w:p>
      <w:pPr>
        <w:pStyle w:val="3"/>
        <w:spacing w:before="0" w:after="0" w:line="800" w:lineRule="exact"/>
        <w:ind w:firstLine="600" w:firstLineChars="200"/>
        <w:rPr>
          <w:rFonts w:ascii="黑体" w:hAnsi="黑体" w:eastAsia="黑体"/>
          <w:b w:val="0"/>
          <w:sz w:val="30"/>
          <w:szCs w:val="30"/>
          <w:u w:val="none"/>
        </w:rPr>
      </w:pPr>
      <w:bookmarkStart w:id="13" w:name="_Toc3423"/>
      <w:r>
        <w:rPr>
          <w:rFonts w:hint="eastAsia" w:ascii="黑体" w:hAnsi="黑体" w:eastAsia="黑体"/>
          <w:b w:val="0"/>
          <w:sz w:val="30"/>
          <w:szCs w:val="30"/>
          <w:u w:val="none"/>
        </w:rPr>
        <w:t>十、</w:t>
      </w:r>
      <w:r>
        <w:rPr>
          <w:rFonts w:ascii="黑体" w:hAnsi="黑体" w:eastAsia="黑体"/>
          <w:b w:val="0"/>
          <w:sz w:val="30"/>
          <w:szCs w:val="30"/>
          <w:u w:val="none"/>
        </w:rPr>
        <w:t>《一般公共预算财政拨款“三公”经费支出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13"/>
    </w:p>
    <w:p>
      <w:pPr>
        <w:pStyle w:val="3"/>
        <w:spacing w:before="0" w:after="0" w:line="800" w:lineRule="exact"/>
        <w:ind w:firstLine="600" w:firstLineChars="200"/>
        <w:rPr>
          <w:rFonts w:ascii="黑体" w:hAnsi="黑体" w:eastAsia="黑体"/>
          <w:b w:val="0"/>
          <w:sz w:val="30"/>
          <w:szCs w:val="30"/>
          <w:u w:val="none"/>
        </w:rPr>
      </w:pPr>
      <w:bookmarkStart w:id="14" w:name="_Toc3915"/>
      <w:r>
        <w:rPr>
          <w:rFonts w:ascii="黑体" w:hAnsi="黑体" w:eastAsia="黑体"/>
          <w:b w:val="0"/>
          <w:sz w:val="30"/>
          <w:szCs w:val="30"/>
          <w:u w:val="none"/>
        </w:rPr>
        <w:t>十</w:t>
      </w:r>
      <w:r>
        <w:rPr>
          <w:rFonts w:hint="eastAsia" w:ascii="黑体" w:hAnsi="黑体" w:eastAsia="黑体"/>
          <w:b w:val="0"/>
          <w:sz w:val="30"/>
          <w:szCs w:val="30"/>
          <w:u w:val="none"/>
        </w:rPr>
        <w:t>一、</w:t>
      </w:r>
      <w:r>
        <w:rPr>
          <w:rFonts w:ascii="黑体" w:hAnsi="黑体" w:eastAsia="黑体"/>
          <w:b w:val="0"/>
          <w:sz w:val="30"/>
          <w:szCs w:val="30"/>
          <w:u w:val="none"/>
        </w:rPr>
        <w:t>《项目支出决算表》</w:t>
      </w:r>
      <w:bookmarkEnd w:id="14"/>
    </w:p>
    <w:p>
      <w:pPr>
        <w:spacing w:line="800" w:lineRule="exact"/>
        <w:rPr>
          <w:u w:val="none"/>
        </w:rPr>
      </w:pPr>
      <w:r>
        <w:rPr>
          <w:rFonts w:hint="eastAsia" w:eastAsia="楷体"/>
          <w:sz w:val="30"/>
          <w:szCs w:val="30"/>
          <w:u w:val="none"/>
        </w:rPr>
        <w:t>注：以上决算公开表均作为附表，附于决算公开说明文档后。</w:t>
      </w:r>
    </w:p>
    <w:p>
      <w:pPr>
        <w:pStyle w:val="3"/>
        <w:numPr>
          <w:ilvl w:val="0"/>
          <w:numId w:val="2"/>
        </w:numPr>
        <w:spacing w:before="0" w:after="0" w:line="800" w:lineRule="exact"/>
        <w:ind w:firstLine="600" w:firstLineChars="200"/>
        <w:rPr>
          <w:rFonts w:ascii="黑体" w:hAnsi="黑体" w:eastAsia="黑体"/>
          <w:b w:val="0"/>
          <w:bCs w:val="0"/>
          <w:sz w:val="30"/>
          <w:szCs w:val="30"/>
          <w:u w:val="none"/>
        </w:rPr>
      </w:pPr>
      <w:bookmarkStart w:id="15" w:name="_Toc17260"/>
      <w:r>
        <w:rPr>
          <w:rFonts w:hint="eastAsia" w:ascii="黑体" w:hAnsi="黑体" w:eastAsia="黑体"/>
          <w:b w:val="0"/>
          <w:bCs w:val="0"/>
          <w:sz w:val="30"/>
          <w:szCs w:val="30"/>
          <w:u w:val="none"/>
        </w:rPr>
        <w:t>关于空表的说明</w:t>
      </w:r>
      <w:bookmarkEnd w:id="15"/>
    </w:p>
    <w:p>
      <w:pPr>
        <w:spacing w:line="600" w:lineRule="exact"/>
        <w:rPr>
          <w:rFonts w:ascii="仿宋_GB2312" w:eastAsia="仿宋_GB2312" w:cs="仿宋_GB2312"/>
          <w:sz w:val="30"/>
          <w:szCs w:val="30"/>
          <w:u w:val="none"/>
        </w:rPr>
        <w:sectPr>
          <w:pgSz w:w="11906" w:h="16838"/>
          <w:pgMar w:top="1440" w:right="1800" w:bottom="1440" w:left="1800" w:header="851" w:footer="992" w:gutter="0"/>
          <w:cols w:space="720" w:num="1"/>
          <w:docGrid w:type="lines" w:linePitch="312" w:charSpace="0"/>
        </w:sectPr>
      </w:pPr>
      <w:r>
        <w:rPr>
          <w:rFonts w:hint="eastAsia" w:ascii="仿宋_GB2312" w:eastAsia="仿宋_GB2312" w:cs="仿宋_GB2312"/>
          <w:sz w:val="30"/>
          <w:szCs w:val="30"/>
          <w:u w:val="none"/>
        </w:rPr>
        <w:t xml:space="preserve">    天津市津南区北闸口镇镇域经济发展服务中心2022年度政府性基金预算财政拨款收入支出决算表为空表。</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天津市津南区北闸口镇镇域经济发展服务中心2022年度国有资本经营预算财政拨款收入支出决算表为空表。</w:t>
      </w:r>
    </w:p>
    <w:p>
      <w:pPr>
        <w:spacing w:line="600" w:lineRule="exact"/>
        <w:rPr>
          <w:rFonts w:ascii="仿宋_GB2312" w:eastAsia="仿宋_GB2312" w:cs="仿宋_GB2312"/>
          <w:sz w:val="30"/>
          <w:szCs w:val="30"/>
          <w:u w:val="none"/>
        </w:rPr>
      </w:pPr>
    </w:p>
    <w:p>
      <w:pPr>
        <w:pStyle w:val="2"/>
        <w:spacing w:before="0" w:after="0" w:line="600" w:lineRule="exact"/>
        <w:jc w:val="center"/>
        <w:rPr>
          <w:rFonts w:ascii="方正小标宋简体" w:hAnsi="方正小标宋简体" w:eastAsia="方正小标宋简体" w:cs="方正小标宋简体"/>
          <w:b w:val="0"/>
          <w:u w:val="none"/>
        </w:rPr>
      </w:pPr>
      <w:bookmarkStart w:id="16" w:name="_Toc396"/>
      <w:r>
        <w:rPr>
          <w:rFonts w:ascii="方正小标宋简体" w:hAnsi="方正小标宋简体" w:eastAsia="方正小标宋简体" w:cs="方正小标宋简体"/>
          <w:b w:val="0"/>
          <w:u w:val="none"/>
        </w:rPr>
        <w:t>第</w:t>
      </w:r>
      <w:r>
        <w:rPr>
          <w:rFonts w:hint="eastAsia" w:ascii="方正小标宋简体" w:hAnsi="方正小标宋简体" w:eastAsia="方正小标宋简体" w:cs="方正小标宋简体"/>
          <w:b w:val="0"/>
          <w:u w:val="none"/>
        </w:rPr>
        <w:t>三</w:t>
      </w:r>
      <w:r>
        <w:rPr>
          <w:rFonts w:ascii="方正小标宋简体" w:hAnsi="方正小标宋简体" w:eastAsia="方正小标宋简体" w:cs="方正小标宋简体"/>
          <w:b w:val="0"/>
          <w:u w:val="none"/>
        </w:rPr>
        <w:t xml:space="preserve">部分  </w:t>
      </w:r>
      <w:r>
        <w:rPr>
          <w:rFonts w:hint="eastAsia" w:ascii="方正小标宋简体" w:hAnsi="方正小标宋简体" w:eastAsia="方正小标宋简体" w:cs="方正小标宋简体"/>
          <w:b w:val="0"/>
          <w:u w:val="none"/>
        </w:rPr>
        <w:t>2022</w:t>
      </w:r>
      <w:r>
        <w:rPr>
          <w:rFonts w:ascii="方正小标宋简体" w:hAnsi="方正小标宋简体" w:eastAsia="方正小标宋简体" w:cs="方正小标宋简体"/>
          <w:b w:val="0"/>
          <w:u w:val="none"/>
        </w:rPr>
        <w:t>年度部门决算</w:t>
      </w:r>
      <w:r>
        <w:rPr>
          <w:rFonts w:hint="eastAsia" w:ascii="方正小标宋简体" w:hAnsi="方正小标宋简体" w:eastAsia="方正小标宋简体" w:cs="方正小标宋简体"/>
          <w:b w:val="0"/>
          <w:u w:val="none"/>
        </w:rPr>
        <w:t>情况</w:t>
      </w:r>
      <w:r>
        <w:rPr>
          <w:rFonts w:ascii="方正小标宋简体" w:hAnsi="方正小标宋简体" w:eastAsia="方正小标宋简体" w:cs="方正小标宋简体"/>
          <w:b w:val="0"/>
          <w:u w:val="none"/>
        </w:rPr>
        <w:t>说明</w:t>
      </w:r>
      <w:bookmarkEnd w:id="16"/>
    </w:p>
    <w:p>
      <w:pPr>
        <w:spacing w:line="600" w:lineRule="exact"/>
        <w:ind w:firstLine="600" w:firstLineChars="200"/>
        <w:rPr>
          <w:rFonts w:ascii="黑体" w:eastAsia="黑体"/>
          <w:sz w:val="30"/>
          <w:szCs w:val="30"/>
          <w:u w:val="none"/>
        </w:rPr>
      </w:pPr>
    </w:p>
    <w:p>
      <w:pPr>
        <w:pStyle w:val="3"/>
        <w:spacing w:before="0" w:after="0" w:line="600" w:lineRule="exact"/>
        <w:ind w:firstLine="600" w:firstLineChars="200"/>
        <w:rPr>
          <w:rFonts w:ascii="黑体" w:hAnsi="黑体" w:eastAsia="黑体"/>
          <w:b w:val="0"/>
          <w:sz w:val="30"/>
          <w:szCs w:val="30"/>
          <w:u w:val="none"/>
        </w:rPr>
      </w:pPr>
      <w:bookmarkStart w:id="17" w:name="_Toc24340"/>
      <w:r>
        <w:rPr>
          <w:rFonts w:hint="eastAsia" w:ascii="黑体" w:hAnsi="黑体" w:eastAsia="黑体"/>
          <w:b w:val="0"/>
          <w:sz w:val="30"/>
          <w:szCs w:val="30"/>
          <w:u w:val="none"/>
        </w:rPr>
        <w:t>一、收入支出决算总体情况说明</w:t>
      </w:r>
      <w:bookmarkEnd w:id="17"/>
    </w:p>
    <w:p>
      <w:pPr>
        <w:spacing w:line="600" w:lineRule="exact"/>
        <w:ind w:firstLine="600"/>
        <w:rPr>
          <w:rFonts w:hint="eastAsia" w:ascii="仿宋_GB2312" w:eastAsia="仿宋_GB2312" w:cs="仿宋_GB2312"/>
          <w:sz w:val="30"/>
          <w:szCs w:val="30"/>
          <w:u w:val="none"/>
        </w:rPr>
      </w:pPr>
      <w:r>
        <w:rPr>
          <w:rFonts w:hint="eastAsia" w:ascii="仿宋_GB2312" w:eastAsia="仿宋_GB2312" w:cs="仿宋_GB2312"/>
          <w:sz w:val="30"/>
          <w:szCs w:val="30"/>
          <w:u w:val="none"/>
        </w:rPr>
        <w:t>天津市津南区北闸口镇镇域经济发展服务中心2022年度收入、支出决算总计945440.66元。与2021年度相比，收、支总计各减少41422468.62元，下降97.77%，主要原因是</w:t>
      </w:r>
      <w:r>
        <w:rPr>
          <w:rFonts w:hint="eastAsia" w:ascii="仿宋_GB2312" w:eastAsia="仿宋_GB2312" w:cs="仿宋_GB2312"/>
          <w:sz w:val="30"/>
          <w:szCs w:val="30"/>
          <w:u w:val="none"/>
          <w:lang w:val="en-US" w:eastAsia="zh-CN"/>
        </w:rPr>
        <w:t>2021年</w:t>
      </w:r>
      <w:r>
        <w:rPr>
          <w:rFonts w:hint="eastAsia" w:ascii="仿宋_GB2312" w:eastAsia="仿宋_GB2312" w:cs="仿宋_GB2312"/>
          <w:sz w:val="30"/>
          <w:szCs w:val="30"/>
          <w:u w:val="none"/>
        </w:rPr>
        <w:t>预算项目2018年示范工业区扶持资金（区）151344</w:t>
      </w:r>
      <w:r>
        <w:rPr>
          <w:rFonts w:hint="eastAsia" w:ascii="仿宋_GB2312" w:eastAsia="仿宋_GB2312" w:cs="仿宋_GB2312"/>
          <w:sz w:val="30"/>
          <w:szCs w:val="30"/>
          <w:u w:val="none"/>
          <w:lang w:val="en-US" w:eastAsia="zh-CN"/>
        </w:rPr>
        <w:t>00.00</w:t>
      </w:r>
      <w:r>
        <w:rPr>
          <w:rFonts w:hint="eastAsia" w:ascii="仿宋_GB2312" w:eastAsia="仿宋_GB2312" w:cs="仿宋_GB2312"/>
          <w:sz w:val="30"/>
          <w:szCs w:val="30"/>
          <w:u w:val="none"/>
        </w:rPr>
        <w:t>元，</w:t>
      </w:r>
      <w:r>
        <w:rPr>
          <w:rFonts w:hint="eastAsia" w:ascii="仿宋_GB2312" w:eastAsia="仿宋_GB2312" w:cs="仿宋_GB2312"/>
          <w:sz w:val="30"/>
          <w:szCs w:val="30"/>
          <w:u w:val="none"/>
          <w:lang w:val="en-US" w:eastAsia="zh-CN"/>
        </w:rPr>
        <w:t>2022年</w:t>
      </w:r>
      <w:r>
        <w:rPr>
          <w:rFonts w:hint="eastAsia" w:ascii="仿宋_GB2312" w:eastAsia="仿宋_GB2312" w:cs="仿宋_GB2312"/>
          <w:sz w:val="30"/>
          <w:szCs w:val="30"/>
          <w:u w:val="none"/>
        </w:rPr>
        <w:t>减少该项目。</w:t>
      </w:r>
      <w:r>
        <w:rPr>
          <w:rFonts w:hint="eastAsia" w:ascii="仿宋_GB2312" w:eastAsia="仿宋_GB2312" w:cs="仿宋_GB2312"/>
          <w:sz w:val="30"/>
          <w:szCs w:val="30"/>
          <w:u w:val="none"/>
          <w:lang w:val="en-US" w:eastAsia="zh-CN"/>
        </w:rPr>
        <w:t>2021年</w:t>
      </w:r>
      <w:r>
        <w:rPr>
          <w:rFonts w:hint="eastAsia" w:ascii="仿宋_GB2312" w:eastAsia="仿宋_GB2312" w:cs="仿宋_GB2312"/>
          <w:sz w:val="30"/>
          <w:szCs w:val="30"/>
          <w:u w:val="none"/>
        </w:rPr>
        <w:t>预算项目（经济办）楼宇经济发展扶持资金119638</w:t>
      </w:r>
      <w:r>
        <w:rPr>
          <w:rFonts w:hint="eastAsia" w:ascii="仿宋_GB2312" w:eastAsia="仿宋_GB2312" w:cs="仿宋_GB2312"/>
          <w:sz w:val="30"/>
          <w:szCs w:val="30"/>
          <w:u w:val="none"/>
          <w:lang w:val="en-US" w:eastAsia="zh-CN"/>
        </w:rPr>
        <w:t>00.00</w:t>
      </w:r>
      <w:r>
        <w:rPr>
          <w:rFonts w:hint="eastAsia" w:ascii="仿宋_GB2312" w:eastAsia="仿宋_GB2312" w:cs="仿宋_GB2312"/>
          <w:sz w:val="30"/>
          <w:szCs w:val="30"/>
          <w:u w:val="none"/>
        </w:rPr>
        <w:t>元，</w:t>
      </w:r>
      <w:r>
        <w:rPr>
          <w:rFonts w:hint="eastAsia" w:ascii="仿宋_GB2312" w:eastAsia="仿宋_GB2312" w:cs="仿宋_GB2312"/>
          <w:sz w:val="30"/>
          <w:szCs w:val="30"/>
          <w:u w:val="none"/>
          <w:lang w:val="en-US" w:eastAsia="zh-CN"/>
        </w:rPr>
        <w:t>2022年</w:t>
      </w:r>
      <w:r>
        <w:rPr>
          <w:rFonts w:hint="eastAsia" w:ascii="仿宋_GB2312" w:eastAsia="仿宋_GB2312" w:cs="仿宋_GB2312"/>
          <w:sz w:val="30"/>
          <w:szCs w:val="30"/>
          <w:u w:val="none"/>
        </w:rPr>
        <w:t>减少该项目。</w:t>
      </w:r>
      <w:r>
        <w:rPr>
          <w:rFonts w:hint="eastAsia" w:ascii="仿宋_GB2312" w:eastAsia="仿宋_GB2312" w:cs="仿宋_GB2312"/>
          <w:sz w:val="30"/>
          <w:szCs w:val="30"/>
          <w:u w:val="none"/>
          <w:lang w:val="en-US" w:eastAsia="zh-CN"/>
        </w:rPr>
        <w:t>2021年</w:t>
      </w:r>
      <w:r>
        <w:rPr>
          <w:rFonts w:hint="eastAsia" w:ascii="仿宋_GB2312" w:eastAsia="仿宋_GB2312" w:cs="仿宋_GB2312"/>
          <w:sz w:val="30"/>
          <w:szCs w:val="30"/>
          <w:u w:val="none"/>
        </w:rPr>
        <w:t>预算项目2019年北闸口镇楼宇经济发展财政扶持资金1347</w:t>
      </w:r>
      <w:r>
        <w:rPr>
          <w:rFonts w:hint="eastAsia" w:ascii="仿宋_GB2312" w:eastAsia="仿宋_GB2312" w:cs="仿宋_GB2312"/>
          <w:sz w:val="30"/>
          <w:szCs w:val="30"/>
          <w:u w:val="none"/>
          <w:lang w:val="en-US" w:eastAsia="zh-CN"/>
        </w:rPr>
        <w:t>0000.00</w:t>
      </w:r>
      <w:r>
        <w:rPr>
          <w:rFonts w:hint="eastAsia" w:ascii="仿宋_GB2312" w:eastAsia="仿宋_GB2312" w:cs="仿宋_GB2312"/>
          <w:sz w:val="30"/>
          <w:szCs w:val="30"/>
          <w:u w:val="none"/>
        </w:rPr>
        <w:t>元，本年减少该项目。</w:t>
      </w:r>
    </w:p>
    <w:p>
      <w:pPr>
        <w:pStyle w:val="3"/>
        <w:spacing w:before="0" w:after="0" w:line="600" w:lineRule="exact"/>
        <w:ind w:firstLine="600" w:firstLineChars="200"/>
        <w:rPr>
          <w:rFonts w:ascii="黑体" w:hAnsi="黑体" w:eastAsia="黑体" w:cs="仿宋_GB2312"/>
          <w:b w:val="0"/>
          <w:sz w:val="30"/>
          <w:szCs w:val="30"/>
          <w:u w:val="none"/>
        </w:rPr>
      </w:pPr>
      <w:bookmarkStart w:id="18" w:name="_Toc18552"/>
      <w:r>
        <w:rPr>
          <w:rFonts w:hint="eastAsia" w:ascii="黑体" w:hAnsi="黑体" w:eastAsia="黑体" w:cs="仿宋_GB2312"/>
          <w:b w:val="0"/>
          <w:sz w:val="30"/>
          <w:szCs w:val="30"/>
          <w:u w:val="none"/>
        </w:rPr>
        <w:t>二、收入决算情况说明</w:t>
      </w:r>
      <w:bookmarkEnd w:id="18"/>
    </w:p>
    <w:p>
      <w:pPr>
        <w:spacing w:line="600" w:lineRule="exact"/>
        <w:ind w:firstLine="600" w:firstLineChars="200"/>
        <w:rPr>
          <w:rFonts w:eastAsia="仿宋_GB2312"/>
          <w:sz w:val="30"/>
          <w:szCs w:val="30"/>
          <w:u w:val="none"/>
        </w:rPr>
      </w:pPr>
      <w:r>
        <w:rPr>
          <w:rFonts w:hint="eastAsia" w:ascii="仿宋_GB2312" w:eastAsia="仿宋_GB2312" w:cs="仿宋_GB2312"/>
          <w:sz w:val="30"/>
          <w:szCs w:val="30"/>
          <w:u w:val="none"/>
        </w:rPr>
        <w:t>天津市津南区北闸口镇镇域经济发展服务中心2022年度本年收入合计945440.66元，与2021年度相比减少27804468.62元，主要原因是</w:t>
      </w:r>
      <w:r>
        <w:rPr>
          <w:rFonts w:hint="eastAsia" w:ascii="仿宋_GB2312" w:eastAsia="仿宋_GB2312" w:cs="仿宋_GB2312"/>
          <w:sz w:val="30"/>
          <w:szCs w:val="30"/>
          <w:u w:val="none"/>
          <w:lang w:eastAsia="zh-CN"/>
        </w:rPr>
        <w:t>部分项目使用</w:t>
      </w:r>
      <w:r>
        <w:rPr>
          <w:rFonts w:hint="eastAsia" w:ascii="仿宋_GB2312" w:eastAsia="仿宋_GB2312" w:cs="仿宋_GB2312"/>
          <w:sz w:val="30"/>
          <w:szCs w:val="30"/>
          <w:u w:val="none"/>
          <w:lang w:val="en-US" w:eastAsia="zh-CN"/>
        </w:rPr>
        <w:t>2021年结转资金支付</w:t>
      </w:r>
      <w:r>
        <w:rPr>
          <w:rFonts w:hint="eastAsia" w:eastAsia="仿宋_GB2312"/>
          <w:sz w:val="30"/>
          <w:szCs w:val="30"/>
          <w:u w:val="none"/>
        </w:rPr>
        <w:t>。</w:t>
      </w:r>
      <w:r>
        <w:rPr>
          <w:rFonts w:hint="eastAsia" w:ascii="仿宋_GB2312" w:eastAsia="仿宋_GB2312" w:cs="仿宋_GB2312"/>
          <w:sz w:val="30"/>
          <w:szCs w:val="30"/>
          <w:u w:val="none"/>
        </w:rPr>
        <w:t>其中：一般公共预算财政拨款收入689191.96元，占72.90%；其他收入256248.70元，占27.10%。</w:t>
      </w:r>
    </w:p>
    <w:p>
      <w:pPr>
        <w:pStyle w:val="3"/>
        <w:spacing w:before="0" w:after="0" w:line="600" w:lineRule="exact"/>
        <w:ind w:firstLine="600" w:firstLineChars="200"/>
        <w:rPr>
          <w:rFonts w:ascii="黑体" w:hAnsi="黑体" w:eastAsia="黑体" w:cs="仿宋_GB2312"/>
          <w:b w:val="0"/>
          <w:sz w:val="30"/>
          <w:szCs w:val="30"/>
          <w:u w:val="none"/>
        </w:rPr>
      </w:pPr>
      <w:bookmarkStart w:id="19" w:name="_Toc26952"/>
      <w:r>
        <w:rPr>
          <w:rFonts w:hint="eastAsia" w:ascii="黑体" w:hAnsi="黑体" w:eastAsia="黑体" w:cs="仿宋_GB2312"/>
          <w:b w:val="0"/>
          <w:sz w:val="30"/>
          <w:szCs w:val="30"/>
          <w:u w:val="none"/>
        </w:rPr>
        <w:t>三、</w:t>
      </w:r>
      <w:r>
        <w:rPr>
          <w:rFonts w:ascii="黑体" w:hAnsi="黑体" w:eastAsia="黑体" w:cs="仿宋_GB2312"/>
          <w:b w:val="0"/>
          <w:sz w:val="30"/>
          <w:szCs w:val="30"/>
          <w:u w:val="none"/>
        </w:rPr>
        <w:t>支出</w:t>
      </w:r>
      <w:r>
        <w:rPr>
          <w:rFonts w:hint="eastAsia" w:ascii="黑体" w:hAnsi="黑体" w:eastAsia="黑体" w:cs="仿宋_GB2312"/>
          <w:b w:val="0"/>
          <w:sz w:val="30"/>
          <w:szCs w:val="30"/>
          <w:u w:val="none"/>
        </w:rPr>
        <w:t>决算</w:t>
      </w:r>
      <w:r>
        <w:rPr>
          <w:rFonts w:ascii="黑体" w:hAnsi="黑体" w:eastAsia="黑体" w:cs="仿宋_GB2312"/>
          <w:b w:val="0"/>
          <w:sz w:val="30"/>
          <w:szCs w:val="30"/>
          <w:u w:val="none"/>
        </w:rPr>
        <w:t>情况</w:t>
      </w:r>
      <w:r>
        <w:rPr>
          <w:rFonts w:hint="eastAsia" w:ascii="黑体" w:hAnsi="黑体" w:eastAsia="黑体" w:cs="仿宋_GB2312"/>
          <w:b w:val="0"/>
          <w:sz w:val="30"/>
          <w:szCs w:val="30"/>
          <w:u w:val="none"/>
        </w:rPr>
        <w:t>说明</w:t>
      </w:r>
      <w:bookmarkEnd w:id="19"/>
    </w:p>
    <w:p>
      <w:pPr>
        <w:spacing w:line="600" w:lineRule="exact"/>
        <w:ind w:firstLine="600"/>
        <w:rPr>
          <w:rFonts w:hint="eastAsia" w:ascii="仿宋_GB2312" w:eastAsia="仿宋_GB2312" w:cs="仿宋_GB2312"/>
          <w:sz w:val="30"/>
          <w:szCs w:val="30"/>
          <w:u w:val="none"/>
        </w:rPr>
      </w:pPr>
      <w:r>
        <w:rPr>
          <w:rFonts w:hint="eastAsia" w:ascii="仿宋_GB2312" w:eastAsia="仿宋_GB2312" w:cs="仿宋_GB2312"/>
          <w:sz w:val="30"/>
          <w:szCs w:val="30"/>
          <w:u w:val="none"/>
        </w:rPr>
        <w:t>天津市津南区北闸口镇镇域经济发展服务中心2022年度本年支出合计689191.96元，与2021年度相比减少41583465.04元，主要原因是</w:t>
      </w:r>
      <w:r>
        <w:rPr>
          <w:rFonts w:hint="eastAsia" w:ascii="仿宋_GB2312" w:eastAsia="仿宋_GB2312" w:cs="仿宋_GB2312"/>
          <w:sz w:val="30"/>
          <w:szCs w:val="30"/>
          <w:u w:val="none"/>
          <w:lang w:val="en-US" w:eastAsia="zh-CN"/>
        </w:rPr>
        <w:t>2021年</w:t>
      </w:r>
      <w:r>
        <w:rPr>
          <w:rFonts w:hint="eastAsia" w:ascii="仿宋_GB2312" w:eastAsia="仿宋_GB2312" w:cs="仿宋_GB2312"/>
          <w:sz w:val="30"/>
          <w:szCs w:val="30"/>
          <w:u w:val="none"/>
        </w:rPr>
        <w:t>预算项目2018年示范工业区扶持资金（区）151344</w:t>
      </w:r>
      <w:r>
        <w:rPr>
          <w:rFonts w:hint="eastAsia" w:ascii="仿宋_GB2312" w:eastAsia="仿宋_GB2312" w:cs="仿宋_GB2312"/>
          <w:sz w:val="30"/>
          <w:szCs w:val="30"/>
          <w:u w:val="none"/>
          <w:lang w:val="en-US" w:eastAsia="zh-CN"/>
        </w:rPr>
        <w:t>00.00</w:t>
      </w:r>
      <w:r>
        <w:rPr>
          <w:rFonts w:hint="eastAsia" w:ascii="仿宋_GB2312" w:eastAsia="仿宋_GB2312" w:cs="仿宋_GB2312"/>
          <w:sz w:val="30"/>
          <w:szCs w:val="30"/>
          <w:u w:val="none"/>
        </w:rPr>
        <w:t>元，</w:t>
      </w:r>
      <w:r>
        <w:rPr>
          <w:rFonts w:hint="eastAsia" w:ascii="仿宋_GB2312" w:eastAsia="仿宋_GB2312" w:cs="仿宋_GB2312"/>
          <w:sz w:val="30"/>
          <w:szCs w:val="30"/>
          <w:u w:val="none"/>
          <w:lang w:val="en-US" w:eastAsia="zh-CN"/>
        </w:rPr>
        <w:t>2022年</w:t>
      </w:r>
      <w:r>
        <w:rPr>
          <w:rFonts w:hint="eastAsia" w:ascii="仿宋_GB2312" w:eastAsia="仿宋_GB2312" w:cs="仿宋_GB2312"/>
          <w:sz w:val="30"/>
          <w:szCs w:val="30"/>
          <w:u w:val="none"/>
        </w:rPr>
        <w:t>减少该项目。</w:t>
      </w:r>
      <w:r>
        <w:rPr>
          <w:rFonts w:hint="eastAsia" w:ascii="仿宋_GB2312" w:eastAsia="仿宋_GB2312" w:cs="仿宋_GB2312"/>
          <w:sz w:val="30"/>
          <w:szCs w:val="30"/>
          <w:u w:val="none"/>
          <w:lang w:val="en-US" w:eastAsia="zh-CN"/>
        </w:rPr>
        <w:t>2021年</w:t>
      </w:r>
      <w:r>
        <w:rPr>
          <w:rFonts w:hint="eastAsia" w:ascii="仿宋_GB2312" w:eastAsia="仿宋_GB2312" w:cs="仿宋_GB2312"/>
          <w:sz w:val="30"/>
          <w:szCs w:val="30"/>
          <w:u w:val="none"/>
        </w:rPr>
        <w:t>预算项目（经济办）楼宇经济发展扶持资金119638</w:t>
      </w:r>
      <w:r>
        <w:rPr>
          <w:rFonts w:hint="eastAsia" w:ascii="仿宋_GB2312" w:eastAsia="仿宋_GB2312" w:cs="仿宋_GB2312"/>
          <w:sz w:val="30"/>
          <w:szCs w:val="30"/>
          <w:u w:val="none"/>
          <w:lang w:val="en-US" w:eastAsia="zh-CN"/>
        </w:rPr>
        <w:t>00.00</w:t>
      </w:r>
      <w:r>
        <w:rPr>
          <w:rFonts w:hint="eastAsia" w:ascii="仿宋_GB2312" w:eastAsia="仿宋_GB2312" w:cs="仿宋_GB2312"/>
          <w:sz w:val="30"/>
          <w:szCs w:val="30"/>
          <w:u w:val="none"/>
        </w:rPr>
        <w:t>元，</w:t>
      </w:r>
      <w:r>
        <w:rPr>
          <w:rFonts w:hint="eastAsia" w:ascii="仿宋_GB2312" w:eastAsia="仿宋_GB2312" w:cs="仿宋_GB2312"/>
          <w:sz w:val="30"/>
          <w:szCs w:val="30"/>
          <w:u w:val="none"/>
          <w:lang w:val="en-US" w:eastAsia="zh-CN"/>
        </w:rPr>
        <w:t>2022年</w:t>
      </w:r>
      <w:r>
        <w:rPr>
          <w:rFonts w:hint="eastAsia" w:ascii="仿宋_GB2312" w:eastAsia="仿宋_GB2312" w:cs="仿宋_GB2312"/>
          <w:sz w:val="30"/>
          <w:szCs w:val="30"/>
          <w:u w:val="none"/>
        </w:rPr>
        <w:t>减少该项目。</w:t>
      </w:r>
      <w:r>
        <w:rPr>
          <w:rFonts w:hint="eastAsia" w:ascii="仿宋_GB2312" w:eastAsia="仿宋_GB2312" w:cs="仿宋_GB2312"/>
          <w:sz w:val="30"/>
          <w:szCs w:val="30"/>
          <w:u w:val="none"/>
          <w:lang w:val="en-US" w:eastAsia="zh-CN"/>
        </w:rPr>
        <w:t>2021年</w:t>
      </w:r>
      <w:r>
        <w:rPr>
          <w:rFonts w:hint="eastAsia" w:ascii="仿宋_GB2312" w:eastAsia="仿宋_GB2312" w:cs="仿宋_GB2312"/>
          <w:sz w:val="30"/>
          <w:szCs w:val="30"/>
          <w:u w:val="none"/>
        </w:rPr>
        <w:t>预算项目2019年北闸口镇楼宇经济发展财政扶持资金1347</w:t>
      </w:r>
      <w:r>
        <w:rPr>
          <w:rFonts w:hint="eastAsia" w:ascii="仿宋_GB2312" w:eastAsia="仿宋_GB2312" w:cs="仿宋_GB2312"/>
          <w:sz w:val="30"/>
          <w:szCs w:val="30"/>
          <w:u w:val="none"/>
          <w:lang w:val="en-US" w:eastAsia="zh-CN"/>
        </w:rPr>
        <w:t>0000.00</w:t>
      </w:r>
      <w:r>
        <w:rPr>
          <w:rFonts w:hint="eastAsia" w:ascii="仿宋_GB2312" w:eastAsia="仿宋_GB2312" w:cs="仿宋_GB2312"/>
          <w:sz w:val="30"/>
          <w:szCs w:val="30"/>
          <w:u w:val="none"/>
        </w:rPr>
        <w:t>元，本年减少该项目。其中：基本支出10331.96元，占1.50%；项目支出678860.00元，占98.50%。</w:t>
      </w:r>
    </w:p>
    <w:p>
      <w:pPr>
        <w:pStyle w:val="3"/>
        <w:spacing w:before="0" w:after="0" w:line="600" w:lineRule="exact"/>
        <w:ind w:firstLine="600" w:firstLineChars="200"/>
        <w:rPr>
          <w:rFonts w:ascii="黑体" w:hAnsi="黑体" w:eastAsia="黑体"/>
          <w:b w:val="0"/>
          <w:sz w:val="30"/>
          <w:szCs w:val="30"/>
          <w:u w:val="none"/>
        </w:rPr>
      </w:pPr>
      <w:bookmarkStart w:id="20" w:name="_Toc1812"/>
      <w:r>
        <w:rPr>
          <w:rFonts w:hint="eastAsia" w:ascii="黑体" w:hAnsi="黑体" w:eastAsia="黑体"/>
          <w:b w:val="0"/>
          <w:sz w:val="30"/>
          <w:szCs w:val="30"/>
          <w:u w:val="none"/>
        </w:rPr>
        <w:t>四、财政拨款收支决算总体情况说明</w:t>
      </w:r>
      <w:bookmarkEnd w:id="20"/>
    </w:p>
    <w:p>
      <w:pPr>
        <w:spacing w:line="600" w:lineRule="exact"/>
        <w:ind w:firstLine="600"/>
        <w:rPr>
          <w:rFonts w:eastAsia="楷体_GB2312"/>
          <w:b/>
          <w:sz w:val="30"/>
          <w:szCs w:val="30"/>
          <w:u w:val="none"/>
        </w:rPr>
      </w:pPr>
      <w:r>
        <w:rPr>
          <w:rFonts w:hint="eastAsia" w:ascii="仿宋_GB2312" w:eastAsia="仿宋_GB2312" w:cs="仿宋_GB2312"/>
          <w:sz w:val="30"/>
          <w:szCs w:val="30"/>
          <w:u w:val="none"/>
        </w:rPr>
        <w:t>天津市津南区北闸口镇镇域经济发展服务中心2022年度财政拨款收入、支出决算总计689191.96元。与2021年度相比，财政拨款收、支总计各减少41583465.04元，下降98.37%，主要原因是</w:t>
      </w:r>
      <w:r>
        <w:rPr>
          <w:rFonts w:hint="eastAsia" w:ascii="仿宋_GB2312" w:eastAsia="仿宋_GB2312" w:cs="仿宋_GB2312"/>
          <w:sz w:val="30"/>
          <w:szCs w:val="30"/>
          <w:u w:val="none"/>
          <w:lang w:val="en-US" w:eastAsia="zh-CN"/>
        </w:rPr>
        <w:t>2021年</w:t>
      </w:r>
      <w:r>
        <w:rPr>
          <w:rFonts w:hint="eastAsia" w:ascii="仿宋_GB2312" w:eastAsia="仿宋_GB2312" w:cs="仿宋_GB2312"/>
          <w:sz w:val="30"/>
          <w:szCs w:val="30"/>
          <w:u w:val="none"/>
        </w:rPr>
        <w:t>预算项目2018年示范工业区扶持资金（区）151344</w:t>
      </w:r>
      <w:r>
        <w:rPr>
          <w:rFonts w:hint="eastAsia" w:ascii="仿宋_GB2312" w:eastAsia="仿宋_GB2312" w:cs="仿宋_GB2312"/>
          <w:sz w:val="30"/>
          <w:szCs w:val="30"/>
          <w:u w:val="none"/>
          <w:lang w:val="en-US" w:eastAsia="zh-CN"/>
        </w:rPr>
        <w:t>00.00</w:t>
      </w:r>
      <w:r>
        <w:rPr>
          <w:rFonts w:hint="eastAsia" w:ascii="仿宋_GB2312" w:eastAsia="仿宋_GB2312" w:cs="仿宋_GB2312"/>
          <w:sz w:val="30"/>
          <w:szCs w:val="30"/>
          <w:u w:val="none"/>
        </w:rPr>
        <w:t>元，</w:t>
      </w:r>
      <w:r>
        <w:rPr>
          <w:rFonts w:hint="eastAsia" w:ascii="仿宋_GB2312" w:eastAsia="仿宋_GB2312" w:cs="仿宋_GB2312"/>
          <w:sz w:val="30"/>
          <w:szCs w:val="30"/>
          <w:u w:val="none"/>
          <w:lang w:val="en-US" w:eastAsia="zh-CN"/>
        </w:rPr>
        <w:t>2022年</w:t>
      </w:r>
      <w:r>
        <w:rPr>
          <w:rFonts w:hint="eastAsia" w:ascii="仿宋_GB2312" w:eastAsia="仿宋_GB2312" w:cs="仿宋_GB2312"/>
          <w:sz w:val="30"/>
          <w:szCs w:val="30"/>
          <w:u w:val="none"/>
        </w:rPr>
        <w:t>减少该项目。</w:t>
      </w:r>
      <w:r>
        <w:rPr>
          <w:rFonts w:hint="eastAsia" w:ascii="仿宋_GB2312" w:eastAsia="仿宋_GB2312" w:cs="仿宋_GB2312"/>
          <w:sz w:val="30"/>
          <w:szCs w:val="30"/>
          <w:u w:val="none"/>
          <w:lang w:val="en-US" w:eastAsia="zh-CN"/>
        </w:rPr>
        <w:t>2021年</w:t>
      </w:r>
      <w:r>
        <w:rPr>
          <w:rFonts w:hint="eastAsia" w:ascii="仿宋_GB2312" w:eastAsia="仿宋_GB2312" w:cs="仿宋_GB2312"/>
          <w:sz w:val="30"/>
          <w:szCs w:val="30"/>
          <w:u w:val="none"/>
        </w:rPr>
        <w:t>预算项目（经济办）楼宇经济发展扶持资金119638</w:t>
      </w:r>
      <w:r>
        <w:rPr>
          <w:rFonts w:hint="eastAsia" w:ascii="仿宋_GB2312" w:eastAsia="仿宋_GB2312" w:cs="仿宋_GB2312"/>
          <w:sz w:val="30"/>
          <w:szCs w:val="30"/>
          <w:u w:val="none"/>
          <w:lang w:val="en-US" w:eastAsia="zh-CN"/>
        </w:rPr>
        <w:t>00.00</w:t>
      </w:r>
      <w:r>
        <w:rPr>
          <w:rFonts w:hint="eastAsia" w:ascii="仿宋_GB2312" w:eastAsia="仿宋_GB2312" w:cs="仿宋_GB2312"/>
          <w:sz w:val="30"/>
          <w:szCs w:val="30"/>
          <w:u w:val="none"/>
        </w:rPr>
        <w:t>元，</w:t>
      </w:r>
      <w:r>
        <w:rPr>
          <w:rFonts w:hint="eastAsia" w:ascii="仿宋_GB2312" w:eastAsia="仿宋_GB2312" w:cs="仿宋_GB2312"/>
          <w:sz w:val="30"/>
          <w:szCs w:val="30"/>
          <w:u w:val="none"/>
          <w:lang w:val="en-US" w:eastAsia="zh-CN"/>
        </w:rPr>
        <w:t>2022年</w:t>
      </w:r>
      <w:r>
        <w:rPr>
          <w:rFonts w:hint="eastAsia" w:ascii="仿宋_GB2312" w:eastAsia="仿宋_GB2312" w:cs="仿宋_GB2312"/>
          <w:sz w:val="30"/>
          <w:szCs w:val="30"/>
          <w:u w:val="none"/>
        </w:rPr>
        <w:t>减少该项目。</w:t>
      </w:r>
      <w:r>
        <w:rPr>
          <w:rFonts w:hint="eastAsia" w:ascii="仿宋_GB2312" w:eastAsia="仿宋_GB2312" w:cs="仿宋_GB2312"/>
          <w:sz w:val="30"/>
          <w:szCs w:val="30"/>
          <w:u w:val="none"/>
          <w:lang w:val="en-US" w:eastAsia="zh-CN"/>
        </w:rPr>
        <w:t>2021年</w:t>
      </w:r>
      <w:r>
        <w:rPr>
          <w:rFonts w:hint="eastAsia" w:ascii="仿宋_GB2312" w:eastAsia="仿宋_GB2312" w:cs="仿宋_GB2312"/>
          <w:sz w:val="30"/>
          <w:szCs w:val="30"/>
          <w:u w:val="none"/>
        </w:rPr>
        <w:t>预算项目2019年北闸口镇楼宇经济发展财政扶持资金1347</w:t>
      </w:r>
      <w:r>
        <w:rPr>
          <w:rFonts w:hint="eastAsia" w:ascii="仿宋_GB2312" w:eastAsia="仿宋_GB2312" w:cs="仿宋_GB2312"/>
          <w:sz w:val="30"/>
          <w:szCs w:val="30"/>
          <w:u w:val="none"/>
          <w:lang w:val="en-US" w:eastAsia="zh-CN"/>
        </w:rPr>
        <w:t>0000.00</w:t>
      </w:r>
      <w:r>
        <w:rPr>
          <w:rFonts w:hint="eastAsia" w:ascii="仿宋_GB2312" w:eastAsia="仿宋_GB2312" w:cs="仿宋_GB2312"/>
          <w:sz w:val="30"/>
          <w:szCs w:val="30"/>
          <w:u w:val="none"/>
        </w:rPr>
        <w:t>元，本年减少该项目。</w:t>
      </w:r>
    </w:p>
    <w:p>
      <w:pPr>
        <w:pStyle w:val="3"/>
        <w:spacing w:before="0" w:after="0" w:line="600" w:lineRule="exact"/>
        <w:ind w:firstLine="600" w:firstLineChars="200"/>
        <w:rPr>
          <w:rFonts w:ascii="黑体" w:hAnsi="黑体" w:eastAsia="黑体"/>
          <w:b w:val="0"/>
          <w:sz w:val="30"/>
          <w:szCs w:val="30"/>
          <w:u w:val="none"/>
        </w:rPr>
      </w:pPr>
      <w:bookmarkStart w:id="21" w:name="_Toc10091"/>
      <w:r>
        <w:rPr>
          <w:rFonts w:ascii="黑体" w:hAnsi="黑体" w:eastAsia="黑体"/>
          <w:b w:val="0"/>
          <w:sz w:val="30"/>
          <w:szCs w:val="30"/>
          <w:u w:val="none"/>
        </w:rPr>
        <w:t>五</w:t>
      </w:r>
      <w:r>
        <w:rPr>
          <w:rFonts w:hint="eastAsia" w:ascii="黑体" w:hAnsi="黑体" w:eastAsia="黑体"/>
          <w:b w:val="0"/>
          <w:sz w:val="30"/>
          <w:szCs w:val="30"/>
          <w:u w:val="none"/>
        </w:rPr>
        <w:t>、</w:t>
      </w:r>
      <w:r>
        <w:rPr>
          <w:rFonts w:ascii="黑体" w:hAnsi="黑体" w:eastAsia="黑体"/>
          <w:b w:val="0"/>
          <w:sz w:val="30"/>
          <w:szCs w:val="30"/>
          <w:u w:val="none"/>
        </w:rPr>
        <w:t>一般公共预算财政拨款支出决算情况</w:t>
      </w:r>
      <w:r>
        <w:rPr>
          <w:rFonts w:hint="eastAsia" w:ascii="黑体" w:hAnsi="黑体" w:eastAsia="黑体"/>
          <w:b w:val="0"/>
          <w:sz w:val="30"/>
          <w:szCs w:val="30"/>
          <w:u w:val="none"/>
        </w:rPr>
        <w:t>说明</w:t>
      </w:r>
      <w:bookmarkEnd w:id="21"/>
    </w:p>
    <w:p>
      <w:pPr>
        <w:spacing w:line="600" w:lineRule="exact"/>
        <w:ind w:left="480" w:leftChars="200"/>
        <w:rPr>
          <w:rFonts w:ascii="楷体" w:hAnsi="楷体" w:eastAsia="楷体" w:cs="仿宋_GB2312"/>
          <w:b/>
          <w:sz w:val="30"/>
          <w:szCs w:val="30"/>
          <w:u w:val="none"/>
        </w:rPr>
      </w:pPr>
      <w:r>
        <w:rPr>
          <w:rFonts w:hint="eastAsia" w:ascii="楷体" w:hAnsi="楷体" w:eastAsia="楷体" w:cs="仿宋_GB2312"/>
          <w:b/>
          <w:sz w:val="30"/>
          <w:szCs w:val="30"/>
          <w:u w:val="none"/>
        </w:rPr>
        <w:t>（一）总体情况</w:t>
      </w:r>
    </w:p>
    <w:p>
      <w:pPr>
        <w:spacing w:line="600" w:lineRule="exact"/>
        <w:ind w:firstLine="600"/>
        <w:rPr>
          <w:rFonts w:hint="eastAsia" w:ascii="仿宋_GB2312" w:eastAsia="仿宋_GB2312" w:cs="仿宋_GB2312"/>
          <w:sz w:val="30"/>
          <w:szCs w:val="30"/>
          <w:u w:val="none"/>
        </w:rPr>
      </w:pPr>
      <w:r>
        <w:rPr>
          <w:rFonts w:hint="eastAsia" w:ascii="仿宋_GB2312" w:eastAsia="仿宋_GB2312" w:cs="仿宋_GB2312"/>
          <w:sz w:val="30"/>
          <w:szCs w:val="30"/>
          <w:u w:val="none"/>
        </w:rPr>
        <w:t>天津市津南区北闸口镇镇域经济发展服务中心2022年度一般公共预算财政拨款支出合计689191.96元，占本年支出合计的</w:t>
      </w:r>
      <w:r>
        <w:rPr>
          <w:rFonts w:hint="eastAsia" w:ascii="仿宋_GB2312" w:eastAsia="仿宋_GB2312" w:cs="仿宋_GB2312"/>
          <w:sz w:val="30"/>
          <w:szCs w:val="30"/>
          <w:u w:val="none"/>
          <w:lang w:val="en-US" w:eastAsia="zh-CN"/>
        </w:rPr>
        <w:t>100</w:t>
      </w:r>
      <w:bookmarkStart w:id="32" w:name="_GoBack"/>
      <w:bookmarkEnd w:id="32"/>
      <w:r>
        <w:rPr>
          <w:rFonts w:hint="eastAsia" w:ascii="仿宋_GB2312" w:eastAsia="仿宋_GB2312" w:cs="仿宋_GB2312"/>
          <w:sz w:val="30"/>
          <w:szCs w:val="30"/>
          <w:u w:val="none"/>
        </w:rPr>
        <w:t>%。与2021年度相比，一般公共预算财政拨款支出减少41583465.04元，下降98.37%，主要原因是</w:t>
      </w:r>
      <w:r>
        <w:rPr>
          <w:rFonts w:hint="eastAsia" w:ascii="仿宋_GB2312" w:eastAsia="仿宋_GB2312" w:cs="仿宋_GB2312"/>
          <w:sz w:val="30"/>
          <w:szCs w:val="30"/>
          <w:u w:val="none"/>
          <w:lang w:val="en-US" w:eastAsia="zh-CN"/>
        </w:rPr>
        <w:t>2021年</w:t>
      </w:r>
      <w:r>
        <w:rPr>
          <w:rFonts w:hint="eastAsia" w:ascii="仿宋_GB2312" w:eastAsia="仿宋_GB2312" w:cs="仿宋_GB2312"/>
          <w:sz w:val="30"/>
          <w:szCs w:val="30"/>
          <w:u w:val="none"/>
        </w:rPr>
        <w:t>预算项目2018年示范工业区扶持资金（区）151344</w:t>
      </w:r>
      <w:r>
        <w:rPr>
          <w:rFonts w:hint="eastAsia" w:ascii="仿宋_GB2312" w:eastAsia="仿宋_GB2312" w:cs="仿宋_GB2312"/>
          <w:sz w:val="30"/>
          <w:szCs w:val="30"/>
          <w:u w:val="none"/>
          <w:lang w:val="en-US" w:eastAsia="zh-CN"/>
        </w:rPr>
        <w:t>00.00</w:t>
      </w:r>
      <w:r>
        <w:rPr>
          <w:rFonts w:hint="eastAsia" w:ascii="仿宋_GB2312" w:eastAsia="仿宋_GB2312" w:cs="仿宋_GB2312"/>
          <w:sz w:val="30"/>
          <w:szCs w:val="30"/>
          <w:u w:val="none"/>
        </w:rPr>
        <w:t>元，</w:t>
      </w:r>
      <w:r>
        <w:rPr>
          <w:rFonts w:hint="eastAsia" w:ascii="仿宋_GB2312" w:eastAsia="仿宋_GB2312" w:cs="仿宋_GB2312"/>
          <w:sz w:val="30"/>
          <w:szCs w:val="30"/>
          <w:u w:val="none"/>
          <w:lang w:val="en-US" w:eastAsia="zh-CN"/>
        </w:rPr>
        <w:t>2022年</w:t>
      </w:r>
      <w:r>
        <w:rPr>
          <w:rFonts w:hint="eastAsia" w:ascii="仿宋_GB2312" w:eastAsia="仿宋_GB2312" w:cs="仿宋_GB2312"/>
          <w:sz w:val="30"/>
          <w:szCs w:val="30"/>
          <w:u w:val="none"/>
        </w:rPr>
        <w:t>减少该项目。</w:t>
      </w:r>
      <w:r>
        <w:rPr>
          <w:rFonts w:hint="eastAsia" w:ascii="仿宋_GB2312" w:eastAsia="仿宋_GB2312" w:cs="仿宋_GB2312"/>
          <w:sz w:val="30"/>
          <w:szCs w:val="30"/>
          <w:u w:val="none"/>
          <w:lang w:val="en-US" w:eastAsia="zh-CN"/>
        </w:rPr>
        <w:t>2021年</w:t>
      </w:r>
      <w:r>
        <w:rPr>
          <w:rFonts w:hint="eastAsia" w:ascii="仿宋_GB2312" w:eastAsia="仿宋_GB2312" w:cs="仿宋_GB2312"/>
          <w:sz w:val="30"/>
          <w:szCs w:val="30"/>
          <w:u w:val="none"/>
        </w:rPr>
        <w:t>预算项目（经济办）楼宇经济发展扶持资金119638</w:t>
      </w:r>
      <w:r>
        <w:rPr>
          <w:rFonts w:hint="eastAsia" w:ascii="仿宋_GB2312" w:eastAsia="仿宋_GB2312" w:cs="仿宋_GB2312"/>
          <w:sz w:val="30"/>
          <w:szCs w:val="30"/>
          <w:u w:val="none"/>
          <w:lang w:val="en-US" w:eastAsia="zh-CN"/>
        </w:rPr>
        <w:t>00.00</w:t>
      </w:r>
      <w:r>
        <w:rPr>
          <w:rFonts w:hint="eastAsia" w:ascii="仿宋_GB2312" w:eastAsia="仿宋_GB2312" w:cs="仿宋_GB2312"/>
          <w:sz w:val="30"/>
          <w:szCs w:val="30"/>
          <w:u w:val="none"/>
        </w:rPr>
        <w:t>元，</w:t>
      </w:r>
      <w:r>
        <w:rPr>
          <w:rFonts w:hint="eastAsia" w:ascii="仿宋_GB2312" w:eastAsia="仿宋_GB2312" w:cs="仿宋_GB2312"/>
          <w:sz w:val="30"/>
          <w:szCs w:val="30"/>
          <w:u w:val="none"/>
          <w:lang w:val="en-US" w:eastAsia="zh-CN"/>
        </w:rPr>
        <w:t>2022年</w:t>
      </w:r>
      <w:r>
        <w:rPr>
          <w:rFonts w:hint="eastAsia" w:ascii="仿宋_GB2312" w:eastAsia="仿宋_GB2312" w:cs="仿宋_GB2312"/>
          <w:sz w:val="30"/>
          <w:szCs w:val="30"/>
          <w:u w:val="none"/>
        </w:rPr>
        <w:t>减少该项目。</w:t>
      </w:r>
      <w:r>
        <w:rPr>
          <w:rFonts w:hint="eastAsia" w:ascii="仿宋_GB2312" w:eastAsia="仿宋_GB2312" w:cs="仿宋_GB2312"/>
          <w:sz w:val="30"/>
          <w:szCs w:val="30"/>
          <w:u w:val="none"/>
          <w:lang w:val="en-US" w:eastAsia="zh-CN"/>
        </w:rPr>
        <w:t>2021年</w:t>
      </w:r>
      <w:r>
        <w:rPr>
          <w:rFonts w:hint="eastAsia" w:ascii="仿宋_GB2312" w:eastAsia="仿宋_GB2312" w:cs="仿宋_GB2312"/>
          <w:sz w:val="30"/>
          <w:szCs w:val="30"/>
          <w:u w:val="none"/>
        </w:rPr>
        <w:t>预算项目2019年北闸口镇楼宇经济发展财政扶持资金1347</w:t>
      </w:r>
      <w:r>
        <w:rPr>
          <w:rFonts w:hint="eastAsia" w:ascii="仿宋_GB2312" w:eastAsia="仿宋_GB2312" w:cs="仿宋_GB2312"/>
          <w:sz w:val="30"/>
          <w:szCs w:val="30"/>
          <w:u w:val="none"/>
          <w:lang w:val="en-US" w:eastAsia="zh-CN"/>
        </w:rPr>
        <w:t>0000.00</w:t>
      </w:r>
      <w:r>
        <w:rPr>
          <w:rFonts w:hint="eastAsia" w:ascii="仿宋_GB2312" w:eastAsia="仿宋_GB2312" w:cs="仿宋_GB2312"/>
          <w:sz w:val="30"/>
          <w:szCs w:val="30"/>
          <w:u w:val="none"/>
        </w:rPr>
        <w:t>元，本年减少该项目。</w:t>
      </w:r>
    </w:p>
    <w:p>
      <w:pPr>
        <w:spacing w:line="600" w:lineRule="exact"/>
        <w:ind w:firstLine="602" w:firstLineChars="200"/>
        <w:rPr>
          <w:rFonts w:ascii="楷体" w:hAnsi="楷体" w:eastAsia="楷体" w:cs="仿宋_GB2312"/>
          <w:b/>
          <w:sz w:val="30"/>
          <w:szCs w:val="30"/>
          <w:u w:val="none"/>
        </w:rPr>
      </w:pPr>
      <w:r>
        <w:rPr>
          <w:rFonts w:hint="eastAsia" w:ascii="楷体" w:hAnsi="楷体" w:eastAsia="楷体" w:cs="仿宋_GB2312"/>
          <w:b/>
          <w:sz w:val="30"/>
          <w:szCs w:val="30"/>
          <w:u w:val="none"/>
        </w:rPr>
        <w:t>（二）支出结构情况</w:t>
      </w:r>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2022年度一般公共预算财政拨款支出689191.96元，主要用于以下方面：</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一般公共服务支出（类）支出139191.96元，占20.20%；</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节能环保支出（类）支出550000.00元，占79.80%。</w:t>
      </w:r>
    </w:p>
    <w:p>
      <w:pPr>
        <w:numPr>
          <w:ilvl w:val="0"/>
          <w:numId w:val="3"/>
        </w:numPr>
        <w:spacing w:line="600" w:lineRule="exact"/>
        <w:ind w:firstLine="602" w:firstLineChars="200"/>
        <w:rPr>
          <w:rFonts w:ascii="楷体" w:hAnsi="楷体" w:eastAsia="楷体" w:cs="仿宋_GB2312"/>
          <w:b/>
          <w:sz w:val="30"/>
          <w:szCs w:val="30"/>
          <w:u w:val="none"/>
        </w:rPr>
      </w:pPr>
      <w:r>
        <w:rPr>
          <w:rFonts w:ascii="楷体" w:hAnsi="楷体" w:eastAsia="楷体" w:cs="仿宋_GB2312"/>
          <w:b/>
          <w:sz w:val="30"/>
          <w:szCs w:val="30"/>
          <w:u w:val="none"/>
        </w:rPr>
        <w:t>具体情况</w:t>
      </w:r>
    </w:p>
    <w:p>
      <w:pPr>
        <w:spacing w:line="600" w:lineRule="exact"/>
        <w:ind w:firstLine="645"/>
        <w:jc w:val="both"/>
        <w:rPr>
          <w:rFonts w:hint="eastAsia" w:ascii="仿宋_GB2312" w:eastAsia="仿宋_GB2312" w:cs="仿宋_GB2312"/>
          <w:sz w:val="30"/>
          <w:szCs w:val="30"/>
          <w:u w:val="none"/>
          <w:lang w:eastAsia="zh-CN"/>
        </w:rPr>
      </w:pPr>
      <w:r>
        <w:rPr>
          <w:rFonts w:hint="eastAsia" w:ascii="仿宋_GB2312" w:eastAsia="仿宋_GB2312" w:cs="仿宋_GB2312"/>
          <w:sz w:val="30"/>
          <w:szCs w:val="30"/>
          <w:u w:val="none"/>
        </w:rPr>
        <w:t>2022年度一般公共预算财政拨款支出年初预算为12045800.00元，支出决算为689191.96元，完成年初预算的5.72%。其中：</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一般公共服务支出（类）政府办公厅（室）及相关机构事务（款）事业运行（项）年初预算为</w:t>
      </w:r>
      <w:r>
        <w:rPr>
          <w:rFonts w:hint="eastAsia" w:ascii="仿宋_GB2312" w:eastAsia="仿宋_GB2312" w:cs="仿宋_GB2312"/>
          <w:sz w:val="30"/>
          <w:szCs w:val="30"/>
          <w:u w:val="none"/>
          <w:lang w:val="en-US" w:eastAsia="zh-CN"/>
        </w:rPr>
        <w:t>26000.00</w:t>
      </w:r>
      <w:r>
        <w:rPr>
          <w:rFonts w:hint="eastAsia" w:ascii="仿宋_GB2312" w:eastAsia="仿宋_GB2312" w:cs="仿宋_GB2312"/>
          <w:sz w:val="30"/>
          <w:szCs w:val="30"/>
          <w:u w:val="none"/>
        </w:rPr>
        <w:t>元，支出决算为10331.96元，完成年初预算数的</w:t>
      </w:r>
      <w:r>
        <w:rPr>
          <w:rFonts w:hint="eastAsia" w:ascii="仿宋_GB2312" w:eastAsia="仿宋_GB2312" w:cs="仿宋_GB2312"/>
          <w:sz w:val="30"/>
          <w:szCs w:val="30"/>
          <w:u w:val="none"/>
          <w:lang w:val="en-US" w:eastAsia="zh-CN"/>
        </w:rPr>
        <w:t>39.74</w:t>
      </w:r>
      <w:r>
        <w:rPr>
          <w:rFonts w:hint="eastAsia" w:ascii="仿宋_GB2312" w:eastAsia="仿宋_GB2312" w:cs="仿宋_GB2312"/>
          <w:sz w:val="30"/>
          <w:szCs w:val="30"/>
          <w:u w:val="none"/>
        </w:rPr>
        <w:t>%，决算数小于年初预算数的主要原因是</w:t>
      </w:r>
      <w:r>
        <w:rPr>
          <w:rFonts w:hint="eastAsia" w:ascii="仿宋_GB2312" w:eastAsia="仿宋_GB2312" w:cs="仿宋_GB2312"/>
          <w:sz w:val="30"/>
          <w:szCs w:val="30"/>
          <w:u w:val="none"/>
          <w:lang w:eastAsia="zh-CN"/>
        </w:rPr>
        <w:t>按实际发生情况支付，部门整体缩减开支</w:t>
      </w:r>
      <w:r>
        <w:rPr>
          <w:rFonts w:hint="eastAsia" w:ascii="仿宋_GB2312" w:eastAsia="仿宋_GB2312" w:cs="仿宋_GB2312"/>
          <w:sz w:val="30"/>
          <w:szCs w:val="30"/>
          <w:u w:val="none"/>
        </w:rPr>
        <w:t>。</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一般公共服务支出（类）统计信息事务（款）统计抽样调查（项）年初预算为</w:t>
      </w:r>
      <w:r>
        <w:rPr>
          <w:rFonts w:hint="eastAsia" w:ascii="仿宋_GB2312" w:eastAsia="仿宋_GB2312" w:cs="仿宋_GB2312"/>
          <w:sz w:val="30"/>
          <w:szCs w:val="30"/>
          <w:u w:val="none"/>
          <w:lang w:val="en-US" w:eastAsia="zh-CN"/>
        </w:rPr>
        <w:t>5000.00</w:t>
      </w:r>
      <w:r>
        <w:rPr>
          <w:rFonts w:hint="eastAsia" w:ascii="仿宋_GB2312" w:eastAsia="仿宋_GB2312" w:cs="仿宋_GB2312"/>
          <w:sz w:val="30"/>
          <w:szCs w:val="30"/>
          <w:u w:val="none"/>
        </w:rPr>
        <w:t>元，支出决算为4060.00元，完成年初预算数的</w:t>
      </w:r>
      <w:r>
        <w:rPr>
          <w:rFonts w:hint="eastAsia" w:ascii="仿宋_GB2312" w:eastAsia="仿宋_GB2312" w:cs="仿宋_GB2312"/>
          <w:sz w:val="30"/>
          <w:szCs w:val="30"/>
          <w:u w:val="none"/>
          <w:lang w:val="en-US" w:eastAsia="zh-CN"/>
        </w:rPr>
        <w:t>81.2</w:t>
      </w:r>
      <w:r>
        <w:rPr>
          <w:rFonts w:hint="eastAsia" w:ascii="仿宋_GB2312" w:eastAsia="仿宋_GB2312" w:cs="仿宋_GB2312"/>
          <w:sz w:val="30"/>
          <w:szCs w:val="30"/>
          <w:u w:val="none"/>
        </w:rPr>
        <w:t>%，决算数小于年初预算数的主要原因是</w:t>
      </w:r>
      <w:r>
        <w:rPr>
          <w:rFonts w:hint="eastAsia" w:ascii="仿宋_GB2312" w:eastAsia="仿宋_GB2312" w:cs="仿宋_GB2312"/>
          <w:sz w:val="30"/>
          <w:szCs w:val="30"/>
          <w:u w:val="none"/>
          <w:lang w:eastAsia="zh-CN"/>
        </w:rPr>
        <w:t>根据当年统计调查工作的工作量实际支付相关费用</w:t>
      </w:r>
      <w:r>
        <w:rPr>
          <w:rFonts w:hint="eastAsia" w:ascii="仿宋_GB2312" w:eastAsia="仿宋_GB2312" w:cs="仿宋_GB2312"/>
          <w:sz w:val="30"/>
          <w:szCs w:val="30"/>
          <w:u w:val="none"/>
        </w:rPr>
        <w:t>。</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一般公共服务支出（类）市场监督管理事务（款）其他市场监督管理事务（项）年初预算为</w:t>
      </w:r>
      <w:r>
        <w:rPr>
          <w:rFonts w:hint="eastAsia" w:ascii="仿宋_GB2312" w:eastAsia="仿宋_GB2312" w:cs="仿宋_GB2312"/>
          <w:sz w:val="30"/>
          <w:szCs w:val="30"/>
          <w:u w:val="none"/>
          <w:lang w:val="en-US" w:eastAsia="zh-CN"/>
        </w:rPr>
        <w:t>494800.00</w:t>
      </w:r>
      <w:r>
        <w:rPr>
          <w:rFonts w:hint="eastAsia" w:ascii="仿宋_GB2312" w:eastAsia="仿宋_GB2312" w:cs="仿宋_GB2312"/>
          <w:sz w:val="30"/>
          <w:szCs w:val="30"/>
          <w:u w:val="none"/>
        </w:rPr>
        <w:t>元，支出决算为124800.00元，完成年初预算数的</w:t>
      </w:r>
      <w:r>
        <w:rPr>
          <w:rFonts w:hint="eastAsia" w:ascii="仿宋_GB2312" w:eastAsia="仿宋_GB2312" w:cs="仿宋_GB2312"/>
          <w:sz w:val="30"/>
          <w:szCs w:val="30"/>
          <w:u w:val="none"/>
          <w:lang w:val="en-US" w:eastAsia="zh-CN"/>
        </w:rPr>
        <w:t>25.22</w:t>
      </w:r>
      <w:r>
        <w:rPr>
          <w:rFonts w:hint="eastAsia" w:ascii="仿宋_GB2312" w:eastAsia="仿宋_GB2312" w:cs="仿宋_GB2312"/>
          <w:sz w:val="30"/>
          <w:szCs w:val="30"/>
          <w:u w:val="none"/>
        </w:rPr>
        <w:t>%，决算数小于年初预算数的主要原因是</w:t>
      </w:r>
      <w:r>
        <w:rPr>
          <w:rFonts w:hint="eastAsia" w:ascii="仿宋_GB2312" w:eastAsia="仿宋_GB2312" w:cs="仿宋_GB2312"/>
          <w:sz w:val="30"/>
          <w:szCs w:val="30"/>
          <w:u w:val="none"/>
          <w:lang w:eastAsia="zh-CN"/>
        </w:rPr>
        <w:t>根据上级主管部门的安排执行</w:t>
      </w:r>
      <w:r>
        <w:rPr>
          <w:rFonts w:hint="eastAsia" w:ascii="仿宋_GB2312" w:eastAsia="仿宋_GB2312" w:cs="仿宋_GB2312"/>
          <w:sz w:val="30"/>
          <w:szCs w:val="30"/>
          <w:u w:val="none"/>
        </w:rPr>
        <w:t>。</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节能环保支出（类）污染防治（款）大气（项）年初预算为</w:t>
      </w:r>
      <w:r>
        <w:rPr>
          <w:rFonts w:hint="eastAsia" w:ascii="仿宋_GB2312" w:eastAsia="仿宋_GB2312" w:cs="仿宋_GB2312"/>
          <w:sz w:val="30"/>
          <w:szCs w:val="30"/>
          <w:u w:val="none"/>
          <w:lang w:val="en-US" w:eastAsia="zh-CN"/>
        </w:rPr>
        <w:t>1000000.00</w:t>
      </w:r>
      <w:r>
        <w:rPr>
          <w:rFonts w:hint="eastAsia" w:ascii="仿宋_GB2312" w:eastAsia="仿宋_GB2312" w:cs="仿宋_GB2312"/>
          <w:sz w:val="30"/>
          <w:szCs w:val="30"/>
          <w:u w:val="none"/>
        </w:rPr>
        <w:t>元，支出决算为550000.00元，完成年初预算数的</w:t>
      </w:r>
      <w:r>
        <w:rPr>
          <w:rFonts w:hint="eastAsia" w:ascii="仿宋_GB2312" w:eastAsia="仿宋_GB2312" w:cs="仿宋_GB2312"/>
          <w:sz w:val="30"/>
          <w:szCs w:val="30"/>
          <w:u w:val="none"/>
          <w:lang w:val="en-US" w:eastAsia="zh-CN"/>
        </w:rPr>
        <w:t>55</w:t>
      </w:r>
      <w:r>
        <w:rPr>
          <w:rFonts w:hint="eastAsia" w:ascii="仿宋_GB2312" w:eastAsia="仿宋_GB2312" w:cs="仿宋_GB2312"/>
          <w:sz w:val="30"/>
          <w:szCs w:val="30"/>
          <w:u w:val="none"/>
        </w:rPr>
        <w:t>%，决算数小于年初预算数的主要原因是</w:t>
      </w:r>
      <w:r>
        <w:rPr>
          <w:rFonts w:hint="eastAsia" w:ascii="仿宋_GB2312" w:eastAsia="仿宋_GB2312" w:cs="仿宋_GB2312"/>
          <w:sz w:val="30"/>
          <w:szCs w:val="30"/>
          <w:u w:val="none"/>
          <w:lang w:eastAsia="zh-CN"/>
        </w:rPr>
        <w:t>根据上级主管部门的安排执行，部门整体缩减开支。</w:t>
      </w:r>
    </w:p>
    <w:p>
      <w:pPr>
        <w:pStyle w:val="3"/>
        <w:spacing w:before="0" w:after="0" w:line="600" w:lineRule="exact"/>
        <w:ind w:firstLine="600" w:firstLineChars="200"/>
        <w:rPr>
          <w:rFonts w:ascii="黑体" w:hAnsi="黑体" w:eastAsia="黑体"/>
          <w:b w:val="0"/>
          <w:sz w:val="30"/>
          <w:szCs w:val="30"/>
          <w:u w:val="none"/>
        </w:rPr>
      </w:pPr>
      <w:bookmarkStart w:id="22" w:name="_Toc10721"/>
      <w:r>
        <w:rPr>
          <w:rFonts w:ascii="黑体" w:hAnsi="黑体" w:eastAsia="黑体"/>
          <w:b w:val="0"/>
          <w:sz w:val="30"/>
          <w:szCs w:val="30"/>
          <w:u w:val="none"/>
        </w:rPr>
        <w:t>六、一般公共预算财政拨款基本支出决算情况</w:t>
      </w:r>
      <w:r>
        <w:rPr>
          <w:rFonts w:hint="eastAsia" w:ascii="黑体" w:hAnsi="黑体" w:eastAsia="黑体"/>
          <w:b w:val="0"/>
          <w:sz w:val="30"/>
          <w:szCs w:val="30"/>
          <w:u w:val="none"/>
        </w:rPr>
        <w:t>说明</w:t>
      </w:r>
      <w:bookmarkEnd w:id="22"/>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天津市津南区北闸口镇镇域经济发展服务中心2022年度一般公共预算财政拨款基本支出合计10331.96元，与2021年度相比减少41815.04元，主要原因是</w:t>
      </w:r>
      <w:r>
        <w:rPr>
          <w:rFonts w:hint="eastAsia" w:ascii="仿宋_GB2312" w:eastAsia="仿宋_GB2312" w:cs="仿宋_GB2312"/>
          <w:sz w:val="30"/>
          <w:szCs w:val="30"/>
          <w:u w:val="none"/>
          <w:lang w:val="en-US" w:eastAsia="zh-CN"/>
        </w:rPr>
        <w:t>2021年使用上年结转资金支付的劳务费应列入项目支出</w:t>
      </w:r>
      <w:r>
        <w:rPr>
          <w:rFonts w:hint="eastAsia" w:ascii="仿宋_GB2312" w:eastAsia="仿宋_GB2312" w:cs="仿宋_GB2312"/>
          <w:sz w:val="30"/>
          <w:szCs w:val="30"/>
          <w:u w:val="none"/>
        </w:rPr>
        <w:t>。</w:t>
      </w:r>
    </w:p>
    <w:p>
      <w:pPr>
        <w:pStyle w:val="3"/>
        <w:spacing w:before="0" w:after="0" w:line="600" w:lineRule="exact"/>
        <w:ind w:firstLine="600" w:firstLineChars="200"/>
        <w:rPr>
          <w:rFonts w:ascii="楷体" w:hAnsi="楷体" w:eastAsia="楷体" w:cs="仿宋_GB2312"/>
          <w:b w:val="0"/>
          <w:sz w:val="30"/>
          <w:szCs w:val="30"/>
          <w:u w:val="none"/>
        </w:rPr>
      </w:pPr>
      <w:bookmarkStart w:id="23" w:name="_Toc17918"/>
      <w:r>
        <w:rPr>
          <w:rFonts w:hint="eastAsia" w:ascii="黑体" w:hAnsi="黑体" w:eastAsia="黑体"/>
          <w:b w:val="0"/>
          <w:sz w:val="30"/>
          <w:szCs w:val="30"/>
          <w:u w:val="none"/>
        </w:rPr>
        <w:t>七</w:t>
      </w:r>
      <w:r>
        <w:rPr>
          <w:rFonts w:ascii="黑体" w:hAnsi="黑体" w:eastAsia="黑体"/>
          <w:b w:val="0"/>
          <w:sz w:val="30"/>
          <w:szCs w:val="30"/>
          <w:u w:val="none"/>
        </w:rPr>
        <w:t>、政府性基金预算财政拨款</w:t>
      </w:r>
      <w:r>
        <w:rPr>
          <w:rFonts w:hint="eastAsia" w:ascii="黑体" w:hAnsi="黑体" w:eastAsia="黑体"/>
          <w:b w:val="0"/>
          <w:sz w:val="30"/>
          <w:szCs w:val="30"/>
          <w:u w:val="none"/>
        </w:rPr>
        <w:t>收支决算</w:t>
      </w:r>
      <w:r>
        <w:rPr>
          <w:rFonts w:ascii="黑体" w:hAnsi="黑体" w:eastAsia="黑体"/>
          <w:b w:val="0"/>
          <w:sz w:val="30"/>
          <w:szCs w:val="30"/>
          <w:u w:val="none"/>
        </w:rPr>
        <w:t>情况</w:t>
      </w:r>
      <w:r>
        <w:rPr>
          <w:rFonts w:hint="eastAsia" w:ascii="黑体" w:hAnsi="黑体" w:eastAsia="黑体"/>
          <w:b w:val="0"/>
          <w:bCs w:val="0"/>
          <w:sz w:val="30"/>
          <w:szCs w:val="30"/>
          <w:u w:val="none"/>
        </w:rPr>
        <w:t>说明</w:t>
      </w:r>
      <w:bookmarkEnd w:id="23"/>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天津市津南区北闸口镇镇域经济发展服务中心2022年度无政府性基金预算财政拨款收入、支出和结转结余。</w:t>
      </w:r>
    </w:p>
    <w:p>
      <w:pPr>
        <w:pStyle w:val="3"/>
        <w:spacing w:before="0" w:after="0" w:line="600" w:lineRule="exact"/>
        <w:ind w:firstLine="600" w:firstLineChars="200"/>
        <w:rPr>
          <w:rFonts w:eastAsia="黑体"/>
          <w:b w:val="0"/>
          <w:sz w:val="30"/>
          <w:szCs w:val="30"/>
          <w:u w:val="none"/>
        </w:rPr>
      </w:pPr>
      <w:bookmarkStart w:id="24" w:name="_Toc23897"/>
      <w:r>
        <w:rPr>
          <w:rFonts w:hint="eastAsia" w:eastAsia="黑体"/>
          <w:b w:val="0"/>
          <w:sz w:val="30"/>
          <w:szCs w:val="30"/>
          <w:u w:val="none"/>
        </w:rPr>
        <w:t>八、国有资本经营预算财政拨款收支决算情况</w:t>
      </w:r>
      <w:r>
        <w:rPr>
          <w:rFonts w:hint="eastAsia" w:ascii="黑体" w:hAnsi="黑体" w:eastAsia="黑体"/>
          <w:b w:val="0"/>
          <w:bCs w:val="0"/>
          <w:sz w:val="30"/>
          <w:szCs w:val="30"/>
          <w:u w:val="none"/>
        </w:rPr>
        <w:t>说明</w:t>
      </w:r>
      <w:bookmarkEnd w:id="24"/>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天津市津南区北闸口镇镇域经济发展服务中心2022年度无国有资本经营预算财政拨款收入、支出和结转结余。</w:t>
      </w:r>
    </w:p>
    <w:p>
      <w:pPr>
        <w:pStyle w:val="3"/>
        <w:spacing w:before="0" w:after="0" w:line="600" w:lineRule="exact"/>
        <w:ind w:firstLine="600" w:firstLineChars="200"/>
        <w:rPr>
          <w:rFonts w:ascii="黑体" w:hAnsi="黑体" w:eastAsia="黑体"/>
          <w:b w:val="0"/>
          <w:sz w:val="30"/>
          <w:szCs w:val="30"/>
          <w:u w:val="none"/>
        </w:rPr>
      </w:pPr>
      <w:bookmarkStart w:id="25" w:name="_Toc4518"/>
      <w:r>
        <w:rPr>
          <w:rFonts w:hint="eastAsia" w:ascii="黑体" w:hAnsi="黑体" w:eastAsia="黑体"/>
          <w:b w:val="0"/>
          <w:sz w:val="30"/>
          <w:szCs w:val="30"/>
          <w:u w:val="none"/>
        </w:rPr>
        <w:t>九、</w:t>
      </w:r>
      <w:r>
        <w:rPr>
          <w:rFonts w:ascii="黑体" w:hAnsi="黑体" w:eastAsia="黑体"/>
          <w:b w:val="0"/>
          <w:sz w:val="30"/>
          <w:szCs w:val="30"/>
          <w:u w:val="none"/>
        </w:rPr>
        <w:t>一般公共预算财政拨款“三公”经费</w:t>
      </w:r>
      <w:r>
        <w:rPr>
          <w:rFonts w:hint="eastAsia" w:ascii="黑体" w:hAnsi="黑体" w:eastAsia="黑体"/>
          <w:b w:val="0"/>
          <w:sz w:val="30"/>
          <w:szCs w:val="30"/>
          <w:u w:val="none"/>
        </w:rPr>
        <w:t>支出决算</w:t>
      </w:r>
      <w:r>
        <w:rPr>
          <w:rFonts w:ascii="黑体" w:hAnsi="黑体" w:eastAsia="黑体"/>
          <w:b w:val="0"/>
          <w:sz w:val="30"/>
          <w:szCs w:val="30"/>
          <w:u w:val="none"/>
        </w:rPr>
        <w:t>情况</w:t>
      </w:r>
      <w:r>
        <w:rPr>
          <w:rFonts w:hint="eastAsia" w:ascii="黑体" w:hAnsi="黑体" w:eastAsia="黑体"/>
          <w:b w:val="0"/>
          <w:bCs w:val="0"/>
          <w:sz w:val="30"/>
          <w:szCs w:val="30"/>
          <w:u w:val="none"/>
        </w:rPr>
        <w:t>说明</w:t>
      </w:r>
      <w:bookmarkEnd w:id="25"/>
    </w:p>
    <w:p>
      <w:pPr>
        <w:spacing w:line="600" w:lineRule="exact"/>
        <w:ind w:firstLine="602" w:firstLineChars="200"/>
        <w:jc w:val="both"/>
        <w:rPr>
          <w:rFonts w:ascii="楷体" w:hAnsi="楷体" w:eastAsia="楷体" w:cs="楷体"/>
          <w:b/>
          <w:bCs/>
          <w:sz w:val="30"/>
          <w:szCs w:val="30"/>
          <w:u w:val="none"/>
        </w:rPr>
      </w:pPr>
      <w:r>
        <w:rPr>
          <w:rFonts w:hint="eastAsia" w:ascii="楷体" w:hAnsi="楷体" w:eastAsia="楷体" w:cs="楷体"/>
          <w:b/>
          <w:bCs/>
          <w:sz w:val="30"/>
          <w:szCs w:val="30"/>
          <w:u w:val="none"/>
        </w:rPr>
        <w:t>（一）总体情况</w:t>
      </w:r>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2022年一般公共预算财政拨款“三公”经费预算25000.00元，支出决算10331.96元（去年同期4000.00元），支出决算与2022年预算相比减少14668.04元,完成预算的41.33%；支出决算较上年增加6331.96元，增长158.30%。决算数小于预算数的主要原因是</w:t>
      </w:r>
      <w:r>
        <w:rPr>
          <w:rFonts w:hint="eastAsia" w:ascii="仿宋_GB2312" w:eastAsia="仿宋_GB2312" w:cs="仿宋_GB2312"/>
          <w:sz w:val="30"/>
          <w:szCs w:val="30"/>
          <w:u w:val="none"/>
          <w:lang w:eastAsia="zh-CN"/>
        </w:rPr>
        <w:t>部门整体缩减开支</w:t>
      </w:r>
      <w:r>
        <w:rPr>
          <w:rFonts w:hint="eastAsia" w:ascii="仿宋_GB2312" w:eastAsia="仿宋_GB2312" w:cs="仿宋_GB2312"/>
          <w:sz w:val="30"/>
          <w:szCs w:val="30"/>
          <w:u w:val="none"/>
        </w:rPr>
        <w:t>。决算数较上年增加的主要原因是</w:t>
      </w:r>
      <w:r>
        <w:rPr>
          <w:rFonts w:hint="eastAsia" w:ascii="仿宋_GB2312" w:eastAsia="仿宋_GB2312" w:cs="仿宋_GB2312"/>
          <w:sz w:val="30"/>
          <w:szCs w:val="30"/>
          <w:u w:val="none"/>
          <w:lang w:val="en-US" w:eastAsia="zh-CN"/>
        </w:rPr>
        <w:t>2022年疫情期间车辆损耗较大维护费用有所增加</w:t>
      </w:r>
      <w:r>
        <w:rPr>
          <w:rFonts w:hint="eastAsia" w:ascii="仿宋_GB2312" w:eastAsia="仿宋_GB2312" w:cs="仿宋_GB2312"/>
          <w:sz w:val="30"/>
          <w:szCs w:val="30"/>
          <w:u w:val="none"/>
        </w:rPr>
        <w:t>。</w:t>
      </w:r>
    </w:p>
    <w:p>
      <w:pPr>
        <w:spacing w:line="600" w:lineRule="exact"/>
        <w:ind w:firstLine="602" w:firstLineChars="200"/>
        <w:jc w:val="both"/>
        <w:rPr>
          <w:rFonts w:ascii="楷体" w:hAnsi="楷体" w:eastAsia="楷体" w:cs="楷体"/>
          <w:b/>
          <w:bCs/>
          <w:sz w:val="30"/>
          <w:szCs w:val="30"/>
          <w:u w:val="none"/>
        </w:rPr>
      </w:pPr>
      <w:r>
        <w:rPr>
          <w:rFonts w:hint="eastAsia" w:ascii="楷体" w:hAnsi="楷体" w:eastAsia="楷体" w:cs="楷体"/>
          <w:b/>
          <w:bCs/>
          <w:sz w:val="30"/>
          <w:szCs w:val="30"/>
          <w:u w:val="none"/>
        </w:rPr>
        <w:t>（二）具体情况</w:t>
      </w:r>
    </w:p>
    <w:p>
      <w:pPr>
        <w:spacing w:line="600" w:lineRule="exact"/>
        <w:ind w:firstLine="600" w:firstLineChars="200"/>
        <w:jc w:val="both"/>
        <w:rPr>
          <w:rFonts w:eastAsia="仿宋_GB2312"/>
          <w:sz w:val="30"/>
          <w:szCs w:val="30"/>
          <w:u w:val="none"/>
        </w:rPr>
      </w:pPr>
      <w:r>
        <w:rPr>
          <w:rFonts w:hint="eastAsia" w:eastAsia="仿宋_GB2312"/>
          <w:sz w:val="30"/>
          <w:szCs w:val="30"/>
          <w:u w:val="none"/>
        </w:rPr>
        <w:t>1.</w:t>
      </w:r>
      <w:r>
        <w:rPr>
          <w:rFonts w:hint="eastAsia" w:ascii="仿宋_GB2312" w:eastAsia="仿宋_GB2312" w:cs="仿宋_GB2312"/>
          <w:sz w:val="30"/>
          <w:szCs w:val="30"/>
          <w:u w:val="none"/>
        </w:rPr>
        <w:t>因公出国（境）费预算0.00元，支出决算0.00元（去年同期0.00元），支出决算与预算相比持平；支出决算较上年持平。</w:t>
      </w:r>
      <w:r>
        <w:rPr>
          <w:rFonts w:ascii="仿宋_GB2312" w:eastAsia="仿宋_GB2312" w:cs="仿宋_GB2312"/>
          <w:sz w:val="30"/>
          <w:szCs w:val="30"/>
          <w:u w:val="none"/>
        </w:rPr>
        <w:t>因本年及去年同期均未使用一般公共预算财政拨款列支“因公出国（境）”经费，故本年支出决算与本年预算、上年支出决算均持平为0。2022</w:t>
      </w:r>
      <w:r>
        <w:rPr>
          <w:rFonts w:hint="eastAsia" w:ascii="仿宋_GB2312" w:eastAsia="仿宋_GB2312" w:cs="仿宋_GB2312"/>
          <w:sz w:val="30"/>
          <w:szCs w:val="30"/>
          <w:u w:val="none"/>
        </w:rPr>
        <w:t>年本单位组织的出国团组0个，出国0人次。</w:t>
      </w:r>
    </w:p>
    <w:p>
      <w:pPr>
        <w:spacing w:line="600" w:lineRule="exact"/>
        <w:ind w:firstLine="600" w:firstLineChars="200"/>
        <w:jc w:val="both"/>
        <w:rPr>
          <w:rFonts w:eastAsia="仿宋_GB2312"/>
          <w:sz w:val="30"/>
          <w:szCs w:val="30"/>
          <w:u w:val="none"/>
        </w:rPr>
      </w:pPr>
      <w:r>
        <w:rPr>
          <w:rFonts w:hint="eastAsia" w:eastAsia="仿宋_GB2312"/>
          <w:sz w:val="30"/>
          <w:szCs w:val="30"/>
          <w:u w:val="none"/>
        </w:rPr>
        <w:t>2.</w:t>
      </w:r>
      <w:r>
        <w:rPr>
          <w:rFonts w:hint="eastAsia" w:ascii="仿宋_GB2312" w:eastAsia="仿宋_GB2312" w:cs="仿宋_GB2312"/>
          <w:sz w:val="30"/>
          <w:szCs w:val="30"/>
          <w:u w:val="none"/>
        </w:rPr>
        <w:t>公务用车购置及运行维护费预算25000.00元，支出决算10331.96元（去年同期4000.00元），支出决算与预算相比减少14668.04元,完成预算的41.33%；支出决算较上年增加6331.96元，增长158.30%。其中：</w:t>
      </w:r>
    </w:p>
    <w:p>
      <w:pPr>
        <w:spacing w:line="600" w:lineRule="exact"/>
        <w:ind w:firstLine="600" w:firstLineChars="200"/>
        <w:jc w:val="both"/>
        <w:rPr>
          <w:rFonts w:eastAsia="仿宋_GB2312"/>
          <w:sz w:val="30"/>
          <w:szCs w:val="30"/>
          <w:u w:val="none"/>
        </w:rPr>
      </w:pPr>
      <w:r>
        <w:rPr>
          <w:rFonts w:hint="eastAsia" w:ascii="仿宋_GB2312" w:eastAsia="仿宋_GB2312" w:cs="仿宋_GB2312"/>
          <w:sz w:val="30"/>
          <w:szCs w:val="30"/>
          <w:u w:val="none"/>
        </w:rPr>
        <w:t>公务用车运行维护费预算</w:t>
      </w:r>
      <w:r>
        <w:rPr>
          <w:rFonts w:hint="eastAsia" w:ascii="仿宋_GB2312" w:eastAsia="仿宋_GB2312" w:cs="仿宋_GB2312"/>
          <w:sz w:val="30"/>
          <w:szCs w:val="30"/>
          <w:u w:val="none"/>
          <w:lang w:val="en-US" w:eastAsia="zh-CN"/>
        </w:rPr>
        <w:t>25000.00</w:t>
      </w:r>
      <w:r>
        <w:rPr>
          <w:rFonts w:hint="eastAsia" w:ascii="仿宋_GB2312" w:eastAsia="仿宋_GB2312" w:cs="仿宋_GB2312"/>
          <w:sz w:val="30"/>
          <w:szCs w:val="30"/>
          <w:u w:val="none"/>
        </w:rPr>
        <w:t>元，支出决算10331.96元（去年同期4000.00元），支出决算与预算相比减少14668.04元,完成预算的41.33%；支出决算较上年增加6331.96元，增长158.30%。决算数小于预算数的主要原因是</w:t>
      </w:r>
      <w:r>
        <w:rPr>
          <w:rFonts w:hint="eastAsia" w:ascii="仿宋_GB2312" w:eastAsia="仿宋_GB2312" w:cs="仿宋_GB2312"/>
          <w:sz w:val="30"/>
          <w:szCs w:val="30"/>
          <w:u w:val="none"/>
          <w:lang w:eastAsia="zh-CN"/>
        </w:rPr>
        <w:t>部门整体缩减开支</w:t>
      </w:r>
      <w:r>
        <w:rPr>
          <w:rFonts w:hint="eastAsia" w:ascii="仿宋_GB2312" w:eastAsia="仿宋_GB2312" w:cs="仿宋_GB2312"/>
          <w:sz w:val="30"/>
          <w:szCs w:val="30"/>
          <w:u w:val="none"/>
        </w:rPr>
        <w:t>。决算数较上年增加的主要原因是</w:t>
      </w:r>
      <w:r>
        <w:rPr>
          <w:rFonts w:hint="eastAsia" w:ascii="仿宋_GB2312" w:eastAsia="仿宋_GB2312" w:cs="仿宋_GB2312"/>
          <w:sz w:val="30"/>
          <w:szCs w:val="30"/>
          <w:u w:val="none"/>
          <w:lang w:val="en-US" w:eastAsia="zh-CN"/>
        </w:rPr>
        <w:t>2022年疫情期间车辆损耗较大维护费用有所增加</w:t>
      </w:r>
      <w:r>
        <w:rPr>
          <w:rFonts w:hint="eastAsia" w:ascii="仿宋_GB2312" w:eastAsia="仿宋_GB2312" w:cs="仿宋_GB2312"/>
          <w:sz w:val="30"/>
          <w:szCs w:val="30"/>
          <w:u w:val="none"/>
        </w:rPr>
        <w:t>。截至2022年12月31日，使用</w:t>
      </w:r>
      <w:r>
        <w:rPr>
          <w:rFonts w:hint="eastAsia" w:eastAsia="仿宋_GB2312"/>
          <w:sz w:val="30"/>
          <w:szCs w:val="30"/>
          <w:u w:val="none"/>
        </w:rPr>
        <w:t>一般公共预算</w:t>
      </w:r>
      <w:r>
        <w:rPr>
          <w:rFonts w:hint="eastAsia" w:ascii="仿宋_GB2312" w:eastAsia="仿宋_GB2312" w:cs="仿宋_GB2312"/>
          <w:sz w:val="30"/>
          <w:szCs w:val="30"/>
          <w:u w:val="none"/>
        </w:rPr>
        <w:t>财政拨款开支运行维护费的公务用车保有量为1辆。</w:t>
      </w:r>
    </w:p>
    <w:p>
      <w:pPr>
        <w:spacing w:line="600" w:lineRule="exact"/>
        <w:ind w:firstLine="600" w:firstLineChars="200"/>
        <w:jc w:val="both"/>
        <w:rPr>
          <w:rFonts w:eastAsia="仿宋_GB2312"/>
          <w:sz w:val="30"/>
          <w:szCs w:val="30"/>
          <w:u w:val="none"/>
        </w:rPr>
      </w:pPr>
      <w:r>
        <w:rPr>
          <w:rFonts w:hint="eastAsia" w:ascii="仿宋_GB2312" w:eastAsia="仿宋_GB2312" w:cs="仿宋_GB2312"/>
          <w:sz w:val="30"/>
          <w:szCs w:val="30"/>
          <w:u w:val="none"/>
        </w:rPr>
        <w:t>公务用车购置费预算0.00元，支出决算0.00元（去年同期</w:t>
      </w:r>
      <w:r>
        <w:rPr>
          <w:rFonts w:hint="eastAsia" w:ascii="仿宋_GB2312" w:eastAsia="仿宋_GB2312" w:cs="仿宋_GB2312"/>
          <w:sz w:val="30"/>
          <w:szCs w:val="30"/>
          <w:u w:val="none"/>
          <w:lang w:val="en-US" w:eastAsia="zh-CN"/>
        </w:rPr>
        <w:t>0</w:t>
      </w:r>
      <w:r>
        <w:rPr>
          <w:rFonts w:hint="eastAsia" w:ascii="仿宋_GB2312" w:eastAsia="仿宋_GB2312" w:cs="仿宋_GB2312"/>
          <w:sz w:val="30"/>
          <w:szCs w:val="30"/>
          <w:u w:val="none"/>
        </w:rPr>
        <w:t>.00元），支出决算与预算相比持平；支出决算较上年持平。因本年及去年同期均未使用一般公共预算财政拨款列支“公务用车购置”经费，故本年支出决算与本年预算、上年支出决算均持平为0。2022年购置公务用车0辆。</w:t>
      </w:r>
    </w:p>
    <w:p>
      <w:pPr>
        <w:spacing w:line="600" w:lineRule="exact"/>
        <w:ind w:firstLine="645"/>
        <w:jc w:val="both"/>
        <w:rPr>
          <w:rFonts w:eastAsia="仿宋_GB2312" w:cs="仿宋_GB2312"/>
          <w:sz w:val="30"/>
          <w:szCs w:val="30"/>
          <w:u w:val="none"/>
        </w:rPr>
      </w:pPr>
      <w:r>
        <w:rPr>
          <w:rFonts w:hint="eastAsia" w:eastAsia="仿宋_GB2312"/>
          <w:sz w:val="30"/>
          <w:szCs w:val="30"/>
          <w:u w:val="none"/>
        </w:rPr>
        <w:t>3.</w:t>
      </w:r>
      <w:r>
        <w:rPr>
          <w:rFonts w:hint="eastAsia" w:ascii="仿宋_GB2312" w:eastAsia="仿宋_GB2312" w:cs="仿宋_GB2312"/>
          <w:sz w:val="30"/>
          <w:szCs w:val="30"/>
          <w:u w:val="none"/>
        </w:rPr>
        <w:t>公务接待费预算0.00元，支出决算0.00元（去年同期0.00元），支出决算与预算相比持平；支出决算较上年持平。</w:t>
      </w:r>
      <w:r>
        <w:rPr>
          <w:rFonts w:ascii="仿宋_GB2312" w:eastAsia="仿宋_GB2312" w:cs="仿宋_GB2312"/>
          <w:sz w:val="30"/>
          <w:szCs w:val="30"/>
          <w:u w:val="none"/>
        </w:rPr>
        <w:t>因本年及去年同期均未使用一般公共预算财政拨款列支“公务接待”经费，故本年支出决算与本年预算、上年支出决算均持平为0。2022</w:t>
      </w:r>
      <w:r>
        <w:rPr>
          <w:rFonts w:hint="eastAsia" w:ascii="仿宋_GB2312" w:eastAsia="仿宋_GB2312" w:cs="仿宋_GB2312"/>
          <w:sz w:val="30"/>
          <w:szCs w:val="30"/>
          <w:u w:val="none"/>
        </w:rPr>
        <w:t>年本单位国内公务接待0批</w:t>
      </w:r>
      <w:r>
        <w:rPr>
          <w:rFonts w:hint="eastAsia" w:eastAsia="仿宋_GB2312" w:cs="仿宋_GB2312"/>
          <w:sz w:val="30"/>
          <w:szCs w:val="30"/>
          <w:u w:val="none"/>
        </w:rPr>
        <w:t>次，</w:t>
      </w:r>
      <w:r>
        <w:rPr>
          <w:rFonts w:hint="eastAsia" w:ascii="仿宋_GB2312" w:eastAsia="仿宋_GB2312" w:cs="仿宋_GB2312"/>
          <w:sz w:val="30"/>
          <w:szCs w:val="30"/>
          <w:u w:val="none"/>
        </w:rPr>
        <w:t>0</w:t>
      </w:r>
      <w:r>
        <w:rPr>
          <w:rFonts w:hint="eastAsia" w:eastAsia="仿宋_GB2312" w:cs="仿宋_GB2312"/>
          <w:sz w:val="30"/>
          <w:szCs w:val="30"/>
          <w:u w:val="none"/>
        </w:rPr>
        <w:t>人次；其中，外事接待</w:t>
      </w:r>
      <w:r>
        <w:rPr>
          <w:rFonts w:hint="eastAsia" w:ascii="仿宋_GB2312" w:eastAsia="仿宋_GB2312" w:cs="仿宋_GB2312"/>
          <w:sz w:val="30"/>
          <w:szCs w:val="30"/>
          <w:u w:val="none"/>
        </w:rPr>
        <w:t>0</w:t>
      </w:r>
      <w:r>
        <w:rPr>
          <w:rFonts w:hint="eastAsia" w:eastAsia="仿宋_GB2312" w:cs="仿宋_GB2312"/>
          <w:sz w:val="30"/>
          <w:szCs w:val="30"/>
          <w:u w:val="none"/>
        </w:rPr>
        <w:t>批次，</w:t>
      </w:r>
      <w:r>
        <w:rPr>
          <w:rFonts w:hint="eastAsia" w:ascii="仿宋_GB2312" w:eastAsia="仿宋_GB2312" w:cs="仿宋_GB2312"/>
          <w:sz w:val="30"/>
          <w:szCs w:val="30"/>
          <w:u w:val="none"/>
        </w:rPr>
        <w:t>0</w:t>
      </w:r>
      <w:r>
        <w:rPr>
          <w:rFonts w:hint="eastAsia" w:eastAsia="仿宋_GB2312" w:cs="仿宋_GB2312"/>
          <w:sz w:val="30"/>
          <w:szCs w:val="30"/>
          <w:u w:val="none"/>
        </w:rPr>
        <w:t>人次。</w:t>
      </w:r>
    </w:p>
    <w:p>
      <w:pPr>
        <w:pStyle w:val="3"/>
        <w:spacing w:before="0" w:after="0" w:line="600" w:lineRule="exact"/>
        <w:ind w:firstLine="600" w:firstLineChars="200"/>
        <w:rPr>
          <w:rFonts w:ascii="黑体" w:hAnsi="黑体" w:eastAsia="黑体"/>
          <w:b w:val="0"/>
          <w:sz w:val="30"/>
          <w:szCs w:val="30"/>
          <w:u w:val="none"/>
        </w:rPr>
      </w:pPr>
      <w:bookmarkStart w:id="26" w:name="_Toc3411"/>
      <w:r>
        <w:rPr>
          <w:rFonts w:hint="eastAsia" w:ascii="黑体" w:hAnsi="黑体" w:eastAsia="黑体"/>
          <w:b w:val="0"/>
          <w:sz w:val="30"/>
          <w:szCs w:val="30"/>
          <w:u w:val="none"/>
        </w:rPr>
        <w:t>十、</w:t>
      </w:r>
      <w:r>
        <w:rPr>
          <w:rFonts w:ascii="黑体" w:hAnsi="黑体" w:eastAsia="黑体"/>
          <w:b w:val="0"/>
          <w:sz w:val="30"/>
          <w:szCs w:val="30"/>
          <w:u w:val="none"/>
        </w:rPr>
        <w:t>机关运行经费</w:t>
      </w:r>
      <w:r>
        <w:rPr>
          <w:rFonts w:hint="eastAsia" w:ascii="黑体" w:hAnsi="黑体" w:eastAsia="黑体"/>
          <w:b w:val="0"/>
          <w:sz w:val="30"/>
          <w:szCs w:val="30"/>
          <w:u w:val="none"/>
        </w:rPr>
        <w:t>支出情况</w:t>
      </w:r>
      <w:r>
        <w:rPr>
          <w:rFonts w:hint="eastAsia" w:ascii="黑体" w:hAnsi="黑体" w:eastAsia="黑体"/>
          <w:b w:val="0"/>
          <w:bCs w:val="0"/>
          <w:sz w:val="30"/>
          <w:szCs w:val="30"/>
          <w:u w:val="none"/>
        </w:rPr>
        <w:t>说明</w:t>
      </w:r>
      <w:bookmarkEnd w:id="26"/>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天津市津南区北闸口镇镇域经济发展服务中心2022年度无机关运行经费。</w:t>
      </w:r>
    </w:p>
    <w:p>
      <w:pPr>
        <w:pStyle w:val="3"/>
        <w:spacing w:before="0" w:after="0" w:line="600" w:lineRule="exact"/>
        <w:ind w:firstLine="600" w:firstLineChars="200"/>
        <w:rPr>
          <w:rFonts w:ascii="黑体" w:hAnsi="黑体" w:eastAsia="黑体"/>
          <w:b w:val="0"/>
          <w:sz w:val="30"/>
          <w:szCs w:val="30"/>
          <w:u w:val="none"/>
        </w:rPr>
      </w:pPr>
      <w:bookmarkStart w:id="27" w:name="_Toc31102"/>
      <w:r>
        <w:rPr>
          <w:rFonts w:hint="eastAsia" w:ascii="黑体" w:hAnsi="黑体" w:eastAsia="黑体"/>
          <w:b w:val="0"/>
          <w:sz w:val="30"/>
          <w:szCs w:val="30"/>
          <w:u w:val="none"/>
        </w:rPr>
        <w:t>十一、</w:t>
      </w:r>
      <w:r>
        <w:rPr>
          <w:rFonts w:ascii="黑体" w:hAnsi="黑体" w:eastAsia="黑体"/>
          <w:b w:val="0"/>
          <w:sz w:val="30"/>
          <w:szCs w:val="30"/>
          <w:u w:val="none"/>
        </w:rPr>
        <w:t>政府采购</w:t>
      </w:r>
      <w:r>
        <w:rPr>
          <w:rFonts w:hint="eastAsia" w:ascii="黑体" w:hAnsi="黑体" w:eastAsia="黑体"/>
          <w:b w:val="0"/>
          <w:sz w:val="30"/>
          <w:szCs w:val="30"/>
          <w:u w:val="none"/>
        </w:rPr>
        <w:t>支出</w:t>
      </w:r>
      <w:r>
        <w:rPr>
          <w:rFonts w:ascii="黑体" w:hAnsi="黑体" w:eastAsia="黑体"/>
          <w:b w:val="0"/>
          <w:sz w:val="30"/>
          <w:szCs w:val="30"/>
          <w:u w:val="none"/>
        </w:rPr>
        <w:t>情况</w:t>
      </w:r>
      <w:r>
        <w:rPr>
          <w:rFonts w:hint="eastAsia" w:ascii="黑体" w:hAnsi="黑体" w:eastAsia="黑体"/>
          <w:b w:val="0"/>
          <w:bCs w:val="0"/>
          <w:sz w:val="30"/>
          <w:szCs w:val="30"/>
          <w:u w:val="none"/>
        </w:rPr>
        <w:t>说明</w:t>
      </w:r>
      <w:bookmarkEnd w:id="27"/>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天津市津南区北闸口镇镇域经济发展服务中心2022年度无政府采购支出。</w:t>
      </w:r>
    </w:p>
    <w:p>
      <w:pPr>
        <w:pStyle w:val="3"/>
        <w:spacing w:before="0" w:after="0" w:line="600" w:lineRule="exact"/>
        <w:ind w:firstLine="600" w:firstLineChars="200"/>
        <w:rPr>
          <w:rFonts w:ascii="黑体" w:hAnsi="黑体" w:eastAsia="黑体"/>
          <w:b w:val="0"/>
          <w:sz w:val="30"/>
          <w:szCs w:val="30"/>
          <w:u w:val="none"/>
        </w:rPr>
      </w:pPr>
      <w:bookmarkStart w:id="28" w:name="_Toc23709"/>
      <w:r>
        <w:rPr>
          <w:rFonts w:hint="eastAsia" w:ascii="黑体" w:hAnsi="黑体" w:eastAsia="黑体"/>
          <w:b w:val="0"/>
          <w:sz w:val="30"/>
          <w:szCs w:val="30"/>
          <w:u w:val="none"/>
        </w:rPr>
        <w:t>十二、国有资产占有使用情况</w:t>
      </w:r>
      <w:r>
        <w:rPr>
          <w:rFonts w:hint="eastAsia" w:ascii="黑体" w:hAnsi="黑体" w:eastAsia="黑体"/>
          <w:b w:val="0"/>
          <w:bCs w:val="0"/>
          <w:sz w:val="30"/>
          <w:szCs w:val="30"/>
          <w:u w:val="none"/>
        </w:rPr>
        <w:t>说明</w:t>
      </w:r>
      <w:bookmarkEnd w:id="28"/>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截至2022年12月31日，天津市津南区北闸口镇镇域经济发展服务中心共有车辆1辆，其中：副部（省）级及以上领导用车</w:t>
      </w:r>
      <w:r>
        <w:rPr>
          <w:rFonts w:hint="eastAsia" w:ascii="仿宋_GB2312" w:eastAsia="仿宋_GB2312" w:cs="仿宋_GB2312"/>
          <w:sz w:val="30"/>
          <w:szCs w:val="30"/>
          <w:u w:val="none"/>
          <w:lang w:val="en-US" w:eastAsia="zh-CN"/>
        </w:rPr>
        <w:t>0</w:t>
      </w:r>
      <w:r>
        <w:rPr>
          <w:rFonts w:hint="eastAsia" w:ascii="仿宋_GB2312" w:eastAsia="仿宋_GB2312" w:cs="仿宋_GB2312"/>
          <w:sz w:val="30"/>
          <w:szCs w:val="30"/>
          <w:u w:val="none"/>
        </w:rPr>
        <w:t>辆、主要领导干部用车0辆、机要通信车0辆、应急保障用车0辆、执法执勤用车0辆、特种专业技术用车0辆、离退休干部用车0辆、其他用车1辆，其他用车主要包括</w:t>
      </w:r>
      <w:r>
        <w:rPr>
          <w:rFonts w:hint="eastAsia" w:ascii="仿宋_GB2312" w:eastAsia="仿宋_GB2312" w:cs="仿宋_GB2312"/>
          <w:sz w:val="30"/>
          <w:szCs w:val="30"/>
          <w:u w:val="none"/>
          <w:lang w:eastAsia="zh-CN"/>
        </w:rPr>
        <w:t>公务用途用车</w:t>
      </w:r>
      <w:r>
        <w:rPr>
          <w:rFonts w:hint="eastAsia" w:ascii="仿宋_GB2312" w:eastAsia="仿宋_GB2312" w:cs="仿宋_GB2312"/>
          <w:sz w:val="30"/>
          <w:szCs w:val="30"/>
          <w:u w:val="none"/>
        </w:rPr>
        <w:t>。单价100万元以上的专用设备0台（套）。</w:t>
      </w:r>
    </w:p>
    <w:p>
      <w:pPr>
        <w:pStyle w:val="3"/>
        <w:numPr>
          <w:ilvl w:val="0"/>
          <w:numId w:val="2"/>
        </w:numPr>
        <w:spacing w:before="0" w:after="0" w:line="540" w:lineRule="exact"/>
        <w:ind w:left="0" w:leftChars="0" w:firstLine="600" w:firstLineChars="200"/>
        <w:rPr>
          <w:rFonts w:hint="eastAsia" w:ascii="黑体" w:hAnsi="黑体" w:eastAsia="黑体"/>
          <w:b w:val="0"/>
          <w:bCs w:val="0"/>
          <w:sz w:val="30"/>
          <w:szCs w:val="30"/>
          <w:u w:val="none"/>
        </w:rPr>
      </w:pPr>
      <w:bookmarkStart w:id="29" w:name="_Toc11467"/>
      <w:r>
        <w:rPr>
          <w:rFonts w:hint="eastAsia" w:ascii="黑体" w:hAnsi="黑体" w:eastAsia="黑体"/>
          <w:b w:val="0"/>
          <w:bCs w:val="0"/>
          <w:sz w:val="30"/>
          <w:szCs w:val="30"/>
          <w:u w:val="none"/>
        </w:rPr>
        <w:t>预算绩效情况说明</w:t>
      </w:r>
      <w:bookmarkEnd w:id="29"/>
    </w:p>
    <w:p>
      <w:pPr>
        <w:spacing w:line="600" w:lineRule="exact"/>
        <w:ind w:firstLine="645"/>
        <w:jc w:val="both"/>
        <w:rPr>
          <w:rFonts w:hint="eastAsia" w:ascii="仿宋_GB2312" w:eastAsia="仿宋_GB2312" w:cs="仿宋_GB2312"/>
          <w:sz w:val="30"/>
          <w:szCs w:val="30"/>
          <w:u w:val="none"/>
        </w:rPr>
      </w:pPr>
      <w:bookmarkStart w:id="30" w:name="_Toc15949"/>
      <w:r>
        <w:rPr>
          <w:rFonts w:hint="eastAsia" w:ascii="仿宋_GB2312" w:eastAsia="仿宋_GB2312" w:cs="仿宋_GB2312"/>
          <w:sz w:val="30"/>
          <w:szCs w:val="30"/>
          <w:u w:val="none"/>
        </w:rPr>
        <w:t>根据预算绩效管理要求，天津市津南区北闸口镇镇域经济发展服务中心2022年度已对</w:t>
      </w:r>
      <w:r>
        <w:rPr>
          <w:rFonts w:hint="eastAsia" w:ascii="仿宋_GB2312" w:eastAsia="仿宋_GB2312" w:cs="仿宋_GB2312"/>
          <w:sz w:val="30"/>
          <w:szCs w:val="30"/>
          <w:u w:val="none"/>
          <w:lang w:val="en-US" w:eastAsia="zh-CN"/>
        </w:rPr>
        <w:t>3</w:t>
      </w:r>
      <w:r>
        <w:rPr>
          <w:rFonts w:hint="eastAsia" w:ascii="仿宋_GB2312" w:eastAsia="仿宋_GB2312" w:cs="仿宋_GB2312"/>
          <w:sz w:val="30"/>
          <w:szCs w:val="30"/>
          <w:u w:val="none"/>
        </w:rPr>
        <w:t>个</w:t>
      </w:r>
      <w:r>
        <w:rPr>
          <w:rFonts w:hint="eastAsia" w:ascii="仿宋_GB2312" w:eastAsia="仿宋_GB2312" w:cs="仿宋_GB2312"/>
          <w:sz w:val="30"/>
          <w:szCs w:val="30"/>
          <w:u w:val="none"/>
          <w:lang w:eastAsia="zh-CN"/>
        </w:rPr>
        <w:t>镇</w:t>
      </w:r>
      <w:r>
        <w:rPr>
          <w:rFonts w:hint="eastAsia" w:ascii="仿宋_GB2312" w:eastAsia="仿宋_GB2312" w:cs="仿宋_GB2312"/>
          <w:sz w:val="30"/>
          <w:szCs w:val="30"/>
          <w:u w:val="none"/>
        </w:rPr>
        <w:t>级项目开展绩效自评，涉及金额</w:t>
      </w:r>
      <w:r>
        <w:rPr>
          <w:rFonts w:hint="eastAsia" w:ascii="仿宋_GB2312" w:eastAsia="仿宋_GB2312" w:cs="仿宋_GB2312"/>
          <w:sz w:val="30"/>
          <w:szCs w:val="30"/>
          <w:u w:val="none"/>
          <w:lang w:val="en-US" w:eastAsia="zh-CN"/>
        </w:rPr>
        <w:t>630860.00</w:t>
      </w:r>
      <w:r>
        <w:rPr>
          <w:rFonts w:hint="eastAsia" w:ascii="仿宋_GB2312" w:eastAsia="仿宋_GB2312" w:cs="仿宋_GB2312"/>
          <w:sz w:val="30"/>
          <w:szCs w:val="30"/>
          <w:u w:val="none"/>
        </w:rPr>
        <w:t>元，自评结果已随部门决算一并公开。</w:t>
      </w:r>
    </w:p>
    <w:p>
      <w:pPr>
        <w:pStyle w:val="3"/>
        <w:spacing w:before="0" w:after="0" w:line="600" w:lineRule="exact"/>
        <w:ind w:firstLine="600" w:firstLineChars="200"/>
        <w:rPr>
          <w:rFonts w:ascii="Times New Roman" w:hAnsi="Times New Roman" w:eastAsia="黑体"/>
          <w:b w:val="0"/>
          <w:sz w:val="30"/>
          <w:szCs w:val="30"/>
          <w:u w:val="none"/>
        </w:rPr>
      </w:pPr>
      <w:r>
        <w:rPr>
          <w:rFonts w:hint="eastAsia" w:ascii="Times New Roman" w:hAnsi="Times New Roman" w:eastAsia="黑体"/>
          <w:b w:val="0"/>
          <w:sz w:val="30"/>
          <w:szCs w:val="30"/>
          <w:u w:val="none"/>
        </w:rPr>
        <w:t>十四、</w:t>
      </w:r>
      <w:r>
        <w:rPr>
          <w:rFonts w:ascii="Times New Roman" w:hAnsi="Times New Roman" w:eastAsia="黑体"/>
          <w:b w:val="0"/>
          <w:sz w:val="30"/>
          <w:szCs w:val="30"/>
          <w:u w:val="none"/>
        </w:rPr>
        <w:t>教育、医疗卫生、社会保障和就业、住房保障、涉农补贴等民生支出情况</w:t>
      </w:r>
      <w:r>
        <w:rPr>
          <w:rFonts w:hint="eastAsia" w:ascii="黑体" w:hAnsi="黑体" w:eastAsia="黑体"/>
          <w:b w:val="0"/>
          <w:bCs w:val="0"/>
          <w:sz w:val="30"/>
          <w:szCs w:val="30"/>
          <w:u w:val="none"/>
        </w:rPr>
        <w:t>说明</w:t>
      </w:r>
      <w:bookmarkEnd w:id="30"/>
    </w:p>
    <w:p>
      <w:pPr>
        <w:spacing w:line="600" w:lineRule="exact"/>
        <w:ind w:firstLine="645"/>
        <w:jc w:val="both"/>
        <w:rPr>
          <w:rFonts w:ascii="仿宋_GB2312" w:eastAsia="仿宋_GB2312" w:cs="仿宋_GB2312"/>
          <w:sz w:val="30"/>
          <w:szCs w:val="30"/>
          <w:u w:val="none"/>
        </w:rPr>
        <w:sectPr>
          <w:pgSz w:w="11906" w:h="16838"/>
          <w:pgMar w:top="1440" w:right="1800" w:bottom="1440" w:left="1800" w:header="851" w:footer="992" w:gutter="0"/>
          <w:cols w:space="720" w:num="1"/>
          <w:docGrid w:type="lines" w:linePitch="312" w:charSpace="0"/>
        </w:sectPr>
      </w:pPr>
      <w:r>
        <w:rPr>
          <w:rFonts w:hint="eastAsia" w:ascii="仿宋_GB2312" w:eastAsia="仿宋_GB2312" w:cs="仿宋_GB2312"/>
          <w:sz w:val="30"/>
          <w:szCs w:val="30"/>
          <w:u w:val="none"/>
        </w:rPr>
        <w:t>2022年度，天津市津南区北闸口镇镇域经济发展服务中心</w:t>
      </w:r>
      <w:r>
        <w:rPr>
          <w:rFonts w:hint="eastAsia" w:ascii="仿宋_GB2312" w:eastAsia="仿宋_GB2312" w:cs="仿宋_GB2312"/>
          <w:sz w:val="30"/>
          <w:szCs w:val="30"/>
          <w:u w:val="none"/>
          <w:lang w:eastAsia="zh-CN"/>
        </w:rPr>
        <w:t>无</w:t>
      </w:r>
      <w:r>
        <w:rPr>
          <w:rFonts w:hint="eastAsia" w:ascii="仿宋_GB2312" w:eastAsia="仿宋_GB2312" w:cs="仿宋_GB2312"/>
          <w:sz w:val="30"/>
          <w:szCs w:val="30"/>
          <w:u w:val="none"/>
        </w:rPr>
        <w:t>教育、医疗卫生、社会保障和就业、住房保障、涉农补贴等民生支出情况。</w:t>
      </w:r>
    </w:p>
    <w:p>
      <w:pPr>
        <w:pStyle w:val="2"/>
        <w:spacing w:before="0" w:after="0" w:line="600" w:lineRule="exact"/>
        <w:jc w:val="center"/>
        <w:rPr>
          <w:rFonts w:ascii="方正小标宋简体" w:hAnsi="方正小标宋简体" w:eastAsia="方正小标宋简体" w:cs="方正小标宋简体"/>
          <w:b w:val="0"/>
          <w:u w:val="none"/>
        </w:rPr>
      </w:pPr>
      <w:bookmarkStart w:id="31" w:name="_Toc30612"/>
      <w:r>
        <w:rPr>
          <w:rFonts w:hint="eastAsia" w:ascii="方正小标宋简体" w:hAnsi="方正小标宋简体" w:eastAsia="方正小标宋简体" w:cs="方正小标宋简体"/>
          <w:b w:val="0"/>
          <w:u w:val="none"/>
        </w:rPr>
        <w:t>第四部分  名词解释</w:t>
      </w:r>
      <w:bookmarkEnd w:id="31"/>
    </w:p>
    <w:p>
      <w:pPr>
        <w:spacing w:line="600" w:lineRule="exact"/>
        <w:ind w:firstLine="600" w:firstLineChars="200"/>
        <w:rPr>
          <w:rFonts w:ascii="仿宋_GB2312" w:eastAsia="仿宋_GB2312"/>
          <w:sz w:val="30"/>
          <w:szCs w:val="30"/>
          <w:u w:val="none"/>
        </w:rPr>
      </w:pPr>
    </w:p>
    <w:p>
      <w:pPr>
        <w:numPr>
          <w:ilvl w:val="0"/>
          <w:numId w:val="4"/>
        </w:numPr>
        <w:spacing w:line="600" w:lineRule="exact"/>
        <w:ind w:firstLine="600" w:firstLineChars="200"/>
        <w:rPr>
          <w:rFonts w:eastAsia="仿宋_GB2312"/>
          <w:sz w:val="30"/>
          <w:szCs w:val="30"/>
          <w:u w:val="none"/>
        </w:rPr>
      </w:pPr>
      <w:r>
        <w:rPr>
          <w:rFonts w:hint="eastAsia" w:eastAsia="仿宋_GB2312"/>
          <w:sz w:val="30"/>
          <w:szCs w:val="30"/>
          <w:u w:val="none"/>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spacing w:line="600" w:lineRule="exact"/>
        <w:ind w:firstLine="600" w:firstLineChars="200"/>
        <w:rPr>
          <w:rFonts w:eastAsia="仿宋_GB2312"/>
          <w:sz w:val="30"/>
          <w:szCs w:val="30"/>
          <w:u w:val="none"/>
        </w:rPr>
      </w:pPr>
      <w:r>
        <w:rPr>
          <w:rFonts w:hint="eastAsia" w:eastAsia="仿宋_GB2312"/>
          <w:sz w:val="30"/>
          <w:szCs w:val="30"/>
          <w:u w:val="none"/>
        </w:rPr>
        <w:t>2.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spacing w:line="600" w:lineRule="exact"/>
        <w:ind w:firstLine="600" w:firstLineChars="200"/>
        <w:rPr>
          <w:rFonts w:eastAsia="仿宋_GB2312"/>
          <w:sz w:val="30"/>
          <w:szCs w:val="30"/>
          <w:u w:val="none"/>
        </w:rPr>
      </w:pPr>
      <w:r>
        <w:rPr>
          <w:rFonts w:hint="eastAsia" w:eastAsia="仿宋_GB2312"/>
          <w:sz w:val="30"/>
          <w:szCs w:val="30"/>
          <w:u w:val="none"/>
        </w:rPr>
        <w:t>3.“三公”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pPr>
        <w:spacing w:line="600" w:lineRule="exact"/>
        <w:ind w:firstLine="600" w:firstLineChars="200"/>
        <w:rPr>
          <w:rFonts w:eastAsia="仿宋_GB2312"/>
          <w:sz w:val="30"/>
          <w:szCs w:val="30"/>
          <w:highlight w:val="yellow"/>
          <w:u w:val="none"/>
        </w:rPr>
      </w:pPr>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j4x0QAgAABwQAAA4AAABkcnMvZTJvRG9jLnhtbK1TzY7TMBC+I/EO&#10;lu80aRG7Vd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oI+MdEAIAAAcEAAAOAAAAAAAAAAEAIAAA&#10;AB8BAABkcnMvZTJvRG9jLnhtbFBLBQYAAAAABgAGAFkBAACh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63852D"/>
    <w:multiLevelType w:val="singleLevel"/>
    <w:tmpl w:val="8F63852D"/>
    <w:lvl w:ilvl="0" w:tentative="0">
      <w:start w:val="1"/>
      <w:numFmt w:val="chineseCounting"/>
      <w:suff w:val="nothing"/>
      <w:lvlText w:val="%1、"/>
      <w:lvlJc w:val="left"/>
      <w:rPr>
        <w:rFonts w:hint="eastAsia"/>
      </w:rPr>
    </w:lvl>
  </w:abstractNum>
  <w:abstractNum w:abstractNumId="1">
    <w:nsid w:val="403A6DC5"/>
    <w:multiLevelType w:val="singleLevel"/>
    <w:tmpl w:val="403A6DC5"/>
    <w:lvl w:ilvl="0" w:tentative="0">
      <w:start w:val="12"/>
      <w:numFmt w:val="chineseCounting"/>
      <w:suff w:val="nothing"/>
      <w:lvlText w:val="%1、"/>
      <w:lvlJc w:val="left"/>
      <w:rPr>
        <w:rFonts w:hint="eastAsia"/>
      </w:rPr>
    </w:lvl>
  </w:abstractNum>
  <w:abstractNum w:abstractNumId="2">
    <w:nsid w:val="62CB79B7"/>
    <w:multiLevelType w:val="singleLevel"/>
    <w:tmpl w:val="62CB79B7"/>
    <w:lvl w:ilvl="0" w:tentative="0">
      <w:start w:val="3"/>
      <w:numFmt w:val="chineseCounting"/>
      <w:suff w:val="nothing"/>
      <w:lvlText w:val="（%1）"/>
      <w:lvlJc w:val="left"/>
    </w:lvl>
  </w:abstractNum>
  <w:abstractNum w:abstractNumId="3">
    <w:nsid w:val="62CB88B4"/>
    <w:multiLevelType w:val="singleLevel"/>
    <w:tmpl w:val="62CB88B4"/>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ZmJjZTk2ZTkyODk0YjRhYzQ1MWY2MDgzOGJjMDUifQ=="/>
  </w:docVars>
  <w:rsids>
    <w:rsidRoot w:val="00172A27"/>
    <w:rsid w:val="00015911"/>
    <w:rsid w:val="000423B8"/>
    <w:rsid w:val="00046E1C"/>
    <w:rsid w:val="00053901"/>
    <w:rsid w:val="000864BF"/>
    <w:rsid w:val="00092AB8"/>
    <w:rsid w:val="000B4E39"/>
    <w:rsid w:val="00105432"/>
    <w:rsid w:val="00112C55"/>
    <w:rsid w:val="001179AF"/>
    <w:rsid w:val="0012059C"/>
    <w:rsid w:val="00124993"/>
    <w:rsid w:val="0012531C"/>
    <w:rsid w:val="00126E2D"/>
    <w:rsid w:val="00172A27"/>
    <w:rsid w:val="001829A0"/>
    <w:rsid w:val="00186ED8"/>
    <w:rsid w:val="001974AC"/>
    <w:rsid w:val="001F61CD"/>
    <w:rsid w:val="00215444"/>
    <w:rsid w:val="00215EBD"/>
    <w:rsid w:val="00241712"/>
    <w:rsid w:val="002532F7"/>
    <w:rsid w:val="002566ED"/>
    <w:rsid w:val="00257643"/>
    <w:rsid w:val="002912A7"/>
    <w:rsid w:val="002D2BBE"/>
    <w:rsid w:val="002E091E"/>
    <w:rsid w:val="002F00A9"/>
    <w:rsid w:val="003365DD"/>
    <w:rsid w:val="00352CF7"/>
    <w:rsid w:val="003714D5"/>
    <w:rsid w:val="00381206"/>
    <w:rsid w:val="0038216E"/>
    <w:rsid w:val="003942CD"/>
    <w:rsid w:val="003A4529"/>
    <w:rsid w:val="003E54CB"/>
    <w:rsid w:val="004040D1"/>
    <w:rsid w:val="00432D37"/>
    <w:rsid w:val="0044208E"/>
    <w:rsid w:val="00464079"/>
    <w:rsid w:val="00465602"/>
    <w:rsid w:val="004918AD"/>
    <w:rsid w:val="004A1361"/>
    <w:rsid w:val="0050332F"/>
    <w:rsid w:val="00532C4C"/>
    <w:rsid w:val="00570354"/>
    <w:rsid w:val="005B60DB"/>
    <w:rsid w:val="005C22AF"/>
    <w:rsid w:val="005F2510"/>
    <w:rsid w:val="00676A5E"/>
    <w:rsid w:val="006A54BF"/>
    <w:rsid w:val="006D05B2"/>
    <w:rsid w:val="00722412"/>
    <w:rsid w:val="00727434"/>
    <w:rsid w:val="00734D29"/>
    <w:rsid w:val="0077787E"/>
    <w:rsid w:val="0079348B"/>
    <w:rsid w:val="007A3491"/>
    <w:rsid w:val="007B4B58"/>
    <w:rsid w:val="007B78DD"/>
    <w:rsid w:val="007F3679"/>
    <w:rsid w:val="007F448B"/>
    <w:rsid w:val="007F718E"/>
    <w:rsid w:val="00801B2B"/>
    <w:rsid w:val="0080287C"/>
    <w:rsid w:val="00803B43"/>
    <w:rsid w:val="00817AE2"/>
    <w:rsid w:val="008405C5"/>
    <w:rsid w:val="0085671E"/>
    <w:rsid w:val="00876FA4"/>
    <w:rsid w:val="00893EAC"/>
    <w:rsid w:val="008A6092"/>
    <w:rsid w:val="008C19C3"/>
    <w:rsid w:val="008C3474"/>
    <w:rsid w:val="008C677C"/>
    <w:rsid w:val="008D2605"/>
    <w:rsid w:val="008D64CE"/>
    <w:rsid w:val="008E4334"/>
    <w:rsid w:val="009142B8"/>
    <w:rsid w:val="00915276"/>
    <w:rsid w:val="00936468"/>
    <w:rsid w:val="009371C3"/>
    <w:rsid w:val="00977064"/>
    <w:rsid w:val="0098387F"/>
    <w:rsid w:val="009D4654"/>
    <w:rsid w:val="009E0EF5"/>
    <w:rsid w:val="009F18E1"/>
    <w:rsid w:val="009F712F"/>
    <w:rsid w:val="00A12C57"/>
    <w:rsid w:val="00A557F8"/>
    <w:rsid w:val="00AA676A"/>
    <w:rsid w:val="00B13870"/>
    <w:rsid w:val="00B14558"/>
    <w:rsid w:val="00B17258"/>
    <w:rsid w:val="00B210F5"/>
    <w:rsid w:val="00B53416"/>
    <w:rsid w:val="00B807AE"/>
    <w:rsid w:val="00BA3182"/>
    <w:rsid w:val="00BB0047"/>
    <w:rsid w:val="00BB051A"/>
    <w:rsid w:val="00BD343E"/>
    <w:rsid w:val="00BE682B"/>
    <w:rsid w:val="00C0672E"/>
    <w:rsid w:val="00C33362"/>
    <w:rsid w:val="00C47864"/>
    <w:rsid w:val="00C528B3"/>
    <w:rsid w:val="00C52B2B"/>
    <w:rsid w:val="00C53602"/>
    <w:rsid w:val="00C77332"/>
    <w:rsid w:val="00C83F29"/>
    <w:rsid w:val="00CA5CD5"/>
    <w:rsid w:val="00CE4C80"/>
    <w:rsid w:val="00CE7A0E"/>
    <w:rsid w:val="00CF0671"/>
    <w:rsid w:val="00CF4ADE"/>
    <w:rsid w:val="00D20562"/>
    <w:rsid w:val="00D56FBF"/>
    <w:rsid w:val="00D81609"/>
    <w:rsid w:val="00DA3A83"/>
    <w:rsid w:val="00DB0D2B"/>
    <w:rsid w:val="00DC0D31"/>
    <w:rsid w:val="00E124DF"/>
    <w:rsid w:val="00E21DD7"/>
    <w:rsid w:val="00E4337C"/>
    <w:rsid w:val="00E56EBF"/>
    <w:rsid w:val="00E56F06"/>
    <w:rsid w:val="00E576CC"/>
    <w:rsid w:val="00E8795B"/>
    <w:rsid w:val="00EB277E"/>
    <w:rsid w:val="00EB7B3B"/>
    <w:rsid w:val="00F01373"/>
    <w:rsid w:val="00F14DB8"/>
    <w:rsid w:val="00F3454D"/>
    <w:rsid w:val="00F3737B"/>
    <w:rsid w:val="00F6315A"/>
    <w:rsid w:val="00FF6CDB"/>
    <w:rsid w:val="01582EB3"/>
    <w:rsid w:val="01670A75"/>
    <w:rsid w:val="01D92F4B"/>
    <w:rsid w:val="021D09AE"/>
    <w:rsid w:val="02317CA1"/>
    <w:rsid w:val="02C26D17"/>
    <w:rsid w:val="032B2B72"/>
    <w:rsid w:val="03633F1C"/>
    <w:rsid w:val="03877CF5"/>
    <w:rsid w:val="03971CD2"/>
    <w:rsid w:val="03997587"/>
    <w:rsid w:val="03A73B20"/>
    <w:rsid w:val="04D27C6A"/>
    <w:rsid w:val="04DA6289"/>
    <w:rsid w:val="04DA6E85"/>
    <w:rsid w:val="054E0E8D"/>
    <w:rsid w:val="05901C8F"/>
    <w:rsid w:val="059D199E"/>
    <w:rsid w:val="06516202"/>
    <w:rsid w:val="065A73D7"/>
    <w:rsid w:val="068D56CD"/>
    <w:rsid w:val="068F1656"/>
    <w:rsid w:val="06CE3C39"/>
    <w:rsid w:val="070745F4"/>
    <w:rsid w:val="0750320D"/>
    <w:rsid w:val="080C427F"/>
    <w:rsid w:val="08496DC5"/>
    <w:rsid w:val="08601190"/>
    <w:rsid w:val="08610C17"/>
    <w:rsid w:val="08AB76E6"/>
    <w:rsid w:val="08B17C7F"/>
    <w:rsid w:val="09794F69"/>
    <w:rsid w:val="09BC7107"/>
    <w:rsid w:val="09C86481"/>
    <w:rsid w:val="09CD6F6A"/>
    <w:rsid w:val="0ABD2EA9"/>
    <w:rsid w:val="0AF02B7A"/>
    <w:rsid w:val="0B0C0657"/>
    <w:rsid w:val="0B2F7E6E"/>
    <w:rsid w:val="0B7057C8"/>
    <w:rsid w:val="0BF51CAC"/>
    <w:rsid w:val="0C327E5C"/>
    <w:rsid w:val="0D66464C"/>
    <w:rsid w:val="0DCA24E7"/>
    <w:rsid w:val="0E1905E8"/>
    <w:rsid w:val="0E6B081A"/>
    <w:rsid w:val="0E812A35"/>
    <w:rsid w:val="0F3A7BBE"/>
    <w:rsid w:val="0FB146BC"/>
    <w:rsid w:val="10D0376E"/>
    <w:rsid w:val="11D75F2F"/>
    <w:rsid w:val="11D802DB"/>
    <w:rsid w:val="121401BA"/>
    <w:rsid w:val="122B009F"/>
    <w:rsid w:val="12946208"/>
    <w:rsid w:val="135D03D9"/>
    <w:rsid w:val="13A17616"/>
    <w:rsid w:val="144F5DF3"/>
    <w:rsid w:val="149264E6"/>
    <w:rsid w:val="14A04A70"/>
    <w:rsid w:val="14F31DE2"/>
    <w:rsid w:val="15127621"/>
    <w:rsid w:val="156A2C3E"/>
    <w:rsid w:val="157A3189"/>
    <w:rsid w:val="15E37C52"/>
    <w:rsid w:val="162D0315"/>
    <w:rsid w:val="169221B4"/>
    <w:rsid w:val="16EA0A1B"/>
    <w:rsid w:val="17A617C9"/>
    <w:rsid w:val="181D0AF6"/>
    <w:rsid w:val="18E12A26"/>
    <w:rsid w:val="1A2F34CF"/>
    <w:rsid w:val="1B0B6786"/>
    <w:rsid w:val="1BCC4E67"/>
    <w:rsid w:val="1BE24A05"/>
    <w:rsid w:val="1C12375B"/>
    <w:rsid w:val="1C2E1750"/>
    <w:rsid w:val="1C8A5079"/>
    <w:rsid w:val="1D520C3E"/>
    <w:rsid w:val="1DA340AC"/>
    <w:rsid w:val="1E2F4E67"/>
    <w:rsid w:val="1E506972"/>
    <w:rsid w:val="1E8146FC"/>
    <w:rsid w:val="1E9B145E"/>
    <w:rsid w:val="1EC8639D"/>
    <w:rsid w:val="1EC97805"/>
    <w:rsid w:val="1EFB07B0"/>
    <w:rsid w:val="1F6101B7"/>
    <w:rsid w:val="1FABD71D"/>
    <w:rsid w:val="20505929"/>
    <w:rsid w:val="2093268B"/>
    <w:rsid w:val="228770CD"/>
    <w:rsid w:val="22A211C8"/>
    <w:rsid w:val="22F75B35"/>
    <w:rsid w:val="236906A5"/>
    <w:rsid w:val="23BA0D09"/>
    <w:rsid w:val="24593BF8"/>
    <w:rsid w:val="24BA0C0F"/>
    <w:rsid w:val="250B61A3"/>
    <w:rsid w:val="259F5563"/>
    <w:rsid w:val="25A662F9"/>
    <w:rsid w:val="25AD749C"/>
    <w:rsid w:val="25AE4162"/>
    <w:rsid w:val="261B2634"/>
    <w:rsid w:val="26872640"/>
    <w:rsid w:val="26C653DA"/>
    <w:rsid w:val="26EC5D21"/>
    <w:rsid w:val="27615821"/>
    <w:rsid w:val="27A13E6E"/>
    <w:rsid w:val="27A644E5"/>
    <w:rsid w:val="28863E70"/>
    <w:rsid w:val="288A6337"/>
    <w:rsid w:val="28994B2A"/>
    <w:rsid w:val="28CD1B01"/>
    <w:rsid w:val="290441D9"/>
    <w:rsid w:val="292E4395"/>
    <w:rsid w:val="29867FF5"/>
    <w:rsid w:val="29D72E63"/>
    <w:rsid w:val="29F01BC9"/>
    <w:rsid w:val="2A1248CB"/>
    <w:rsid w:val="2A24302B"/>
    <w:rsid w:val="2A7456B8"/>
    <w:rsid w:val="2B330D0F"/>
    <w:rsid w:val="2C3B01C9"/>
    <w:rsid w:val="2CB024EC"/>
    <w:rsid w:val="2D2B1A30"/>
    <w:rsid w:val="2D5BB7F4"/>
    <w:rsid w:val="2DA87FE3"/>
    <w:rsid w:val="2DAB1C1C"/>
    <w:rsid w:val="2E4A19D8"/>
    <w:rsid w:val="2E6455AA"/>
    <w:rsid w:val="2E6E5875"/>
    <w:rsid w:val="2EAA1E45"/>
    <w:rsid w:val="2EBA2F30"/>
    <w:rsid w:val="2F8573F4"/>
    <w:rsid w:val="2FFC60D8"/>
    <w:rsid w:val="2FFD4B55"/>
    <w:rsid w:val="31F32BCC"/>
    <w:rsid w:val="322D5537"/>
    <w:rsid w:val="32371FBB"/>
    <w:rsid w:val="32500429"/>
    <w:rsid w:val="32B00783"/>
    <w:rsid w:val="33987EA4"/>
    <w:rsid w:val="33E55770"/>
    <w:rsid w:val="342060B3"/>
    <w:rsid w:val="343041E9"/>
    <w:rsid w:val="343E2C5A"/>
    <w:rsid w:val="34E404B6"/>
    <w:rsid w:val="353874A5"/>
    <w:rsid w:val="356C4B0F"/>
    <w:rsid w:val="357756D0"/>
    <w:rsid w:val="35F83418"/>
    <w:rsid w:val="35FA3DA7"/>
    <w:rsid w:val="36433E0B"/>
    <w:rsid w:val="3685618C"/>
    <w:rsid w:val="369B027F"/>
    <w:rsid w:val="36DF7E92"/>
    <w:rsid w:val="37210A48"/>
    <w:rsid w:val="37C605ED"/>
    <w:rsid w:val="37EC07D4"/>
    <w:rsid w:val="39054161"/>
    <w:rsid w:val="395157DA"/>
    <w:rsid w:val="39D81DB4"/>
    <w:rsid w:val="39DD1F63"/>
    <w:rsid w:val="3A875795"/>
    <w:rsid w:val="3B3A6848"/>
    <w:rsid w:val="3B5C22DF"/>
    <w:rsid w:val="3C7702D9"/>
    <w:rsid w:val="3C822FFF"/>
    <w:rsid w:val="3C987755"/>
    <w:rsid w:val="3D1712DB"/>
    <w:rsid w:val="3D6E4CFB"/>
    <w:rsid w:val="3DB948D9"/>
    <w:rsid w:val="3DED19CC"/>
    <w:rsid w:val="3E551C1D"/>
    <w:rsid w:val="3E6D1878"/>
    <w:rsid w:val="3EAA16DD"/>
    <w:rsid w:val="3EE7006C"/>
    <w:rsid w:val="3F043070"/>
    <w:rsid w:val="3F397145"/>
    <w:rsid w:val="3F707260"/>
    <w:rsid w:val="419141BF"/>
    <w:rsid w:val="41C515FE"/>
    <w:rsid w:val="41F26234"/>
    <w:rsid w:val="424A70AB"/>
    <w:rsid w:val="42955F29"/>
    <w:rsid w:val="42C52D12"/>
    <w:rsid w:val="42EA0B90"/>
    <w:rsid w:val="436E1D48"/>
    <w:rsid w:val="442221E6"/>
    <w:rsid w:val="44FC0AD9"/>
    <w:rsid w:val="45C66F5A"/>
    <w:rsid w:val="464311BD"/>
    <w:rsid w:val="46762869"/>
    <w:rsid w:val="46800ECA"/>
    <w:rsid w:val="46D65DFF"/>
    <w:rsid w:val="46ED43C8"/>
    <w:rsid w:val="47655748"/>
    <w:rsid w:val="481F5D29"/>
    <w:rsid w:val="485B08F6"/>
    <w:rsid w:val="48CF1ECE"/>
    <w:rsid w:val="48E65506"/>
    <w:rsid w:val="49A95325"/>
    <w:rsid w:val="49C60D15"/>
    <w:rsid w:val="49EE18E7"/>
    <w:rsid w:val="4A200969"/>
    <w:rsid w:val="4C72500A"/>
    <w:rsid w:val="4DAD5500"/>
    <w:rsid w:val="4E470451"/>
    <w:rsid w:val="4E5A4E46"/>
    <w:rsid w:val="4E776E4B"/>
    <w:rsid w:val="4EBE5040"/>
    <w:rsid w:val="4EC635D4"/>
    <w:rsid w:val="4EF42DDE"/>
    <w:rsid w:val="4F021DFD"/>
    <w:rsid w:val="4F4E29DD"/>
    <w:rsid w:val="4FA93361"/>
    <w:rsid w:val="50491464"/>
    <w:rsid w:val="50EB4351"/>
    <w:rsid w:val="513E3E14"/>
    <w:rsid w:val="516E5D30"/>
    <w:rsid w:val="519A61B8"/>
    <w:rsid w:val="529328AD"/>
    <w:rsid w:val="52A26688"/>
    <w:rsid w:val="52C3106D"/>
    <w:rsid w:val="532D1C0A"/>
    <w:rsid w:val="53583E88"/>
    <w:rsid w:val="54D72BF4"/>
    <w:rsid w:val="54F6709D"/>
    <w:rsid w:val="566138B1"/>
    <w:rsid w:val="56832AE6"/>
    <w:rsid w:val="56F540E8"/>
    <w:rsid w:val="576B6402"/>
    <w:rsid w:val="57814C22"/>
    <w:rsid w:val="579303E0"/>
    <w:rsid w:val="57BD125F"/>
    <w:rsid w:val="57DB4D69"/>
    <w:rsid w:val="58CB2B06"/>
    <w:rsid w:val="59005937"/>
    <w:rsid w:val="596D5572"/>
    <w:rsid w:val="59DC23BD"/>
    <w:rsid w:val="5A106A61"/>
    <w:rsid w:val="5B012DD6"/>
    <w:rsid w:val="5B4A303E"/>
    <w:rsid w:val="5B867F38"/>
    <w:rsid w:val="5BBF1EDC"/>
    <w:rsid w:val="5C0D5EDF"/>
    <w:rsid w:val="5CCB520D"/>
    <w:rsid w:val="5CDE5F6B"/>
    <w:rsid w:val="5CE729B2"/>
    <w:rsid w:val="5D072615"/>
    <w:rsid w:val="5D820B03"/>
    <w:rsid w:val="5DDC291B"/>
    <w:rsid w:val="5DE919D2"/>
    <w:rsid w:val="5DE96BF2"/>
    <w:rsid w:val="5E3B56D9"/>
    <w:rsid w:val="5E7F01AB"/>
    <w:rsid w:val="5E910416"/>
    <w:rsid w:val="5FC652D8"/>
    <w:rsid w:val="6043407E"/>
    <w:rsid w:val="605F74B4"/>
    <w:rsid w:val="607B68FE"/>
    <w:rsid w:val="617007B5"/>
    <w:rsid w:val="61E56E86"/>
    <w:rsid w:val="621870FC"/>
    <w:rsid w:val="62DA2A3D"/>
    <w:rsid w:val="637B3A8F"/>
    <w:rsid w:val="63A65E89"/>
    <w:rsid w:val="65001203"/>
    <w:rsid w:val="65737FA2"/>
    <w:rsid w:val="65D920E1"/>
    <w:rsid w:val="65D9655D"/>
    <w:rsid w:val="6637149C"/>
    <w:rsid w:val="6656630C"/>
    <w:rsid w:val="66EC0C69"/>
    <w:rsid w:val="67AD24B8"/>
    <w:rsid w:val="67F5DAB5"/>
    <w:rsid w:val="68261741"/>
    <w:rsid w:val="693E2FAD"/>
    <w:rsid w:val="698062FC"/>
    <w:rsid w:val="69BD5EE8"/>
    <w:rsid w:val="6A740B43"/>
    <w:rsid w:val="6ABD46BF"/>
    <w:rsid w:val="6AF730BD"/>
    <w:rsid w:val="6B432C0C"/>
    <w:rsid w:val="6B617BE2"/>
    <w:rsid w:val="6BA66029"/>
    <w:rsid w:val="6CA041B2"/>
    <w:rsid w:val="6DDD5EBF"/>
    <w:rsid w:val="6DFC4CD2"/>
    <w:rsid w:val="6E2E2D6D"/>
    <w:rsid w:val="6E3F51B6"/>
    <w:rsid w:val="6E460B96"/>
    <w:rsid w:val="6EA82131"/>
    <w:rsid w:val="6F046708"/>
    <w:rsid w:val="6F68529E"/>
    <w:rsid w:val="6FB410D2"/>
    <w:rsid w:val="6FC54BEF"/>
    <w:rsid w:val="706921FA"/>
    <w:rsid w:val="70B22C23"/>
    <w:rsid w:val="71411B5D"/>
    <w:rsid w:val="719931E1"/>
    <w:rsid w:val="7240055A"/>
    <w:rsid w:val="728E0BA0"/>
    <w:rsid w:val="73134A0E"/>
    <w:rsid w:val="736064A7"/>
    <w:rsid w:val="736159D6"/>
    <w:rsid w:val="73F71039"/>
    <w:rsid w:val="73F91498"/>
    <w:rsid w:val="74D5337C"/>
    <w:rsid w:val="74D975E2"/>
    <w:rsid w:val="756B7D6A"/>
    <w:rsid w:val="757C417D"/>
    <w:rsid w:val="759455DB"/>
    <w:rsid w:val="75D160D9"/>
    <w:rsid w:val="762914BB"/>
    <w:rsid w:val="76685F07"/>
    <w:rsid w:val="76F5729E"/>
    <w:rsid w:val="773A73AB"/>
    <w:rsid w:val="775767BB"/>
    <w:rsid w:val="7779068F"/>
    <w:rsid w:val="77B92148"/>
    <w:rsid w:val="77FFE39F"/>
    <w:rsid w:val="781B1736"/>
    <w:rsid w:val="78F051A8"/>
    <w:rsid w:val="79EF18A6"/>
    <w:rsid w:val="7A903B21"/>
    <w:rsid w:val="7AC3080E"/>
    <w:rsid w:val="7B565005"/>
    <w:rsid w:val="7B837A94"/>
    <w:rsid w:val="7CF2196B"/>
    <w:rsid w:val="7D2E7430"/>
    <w:rsid w:val="7D993EC8"/>
    <w:rsid w:val="7D9A013D"/>
    <w:rsid w:val="7E9160CF"/>
    <w:rsid w:val="7EC677D3"/>
    <w:rsid w:val="7FDC2489"/>
    <w:rsid w:val="7FFDEEFD"/>
    <w:rsid w:val="BBFEB28B"/>
    <w:rsid w:val="D74FDF30"/>
    <w:rsid w:val="DEAEE68D"/>
    <w:rsid w:val="F7F97754"/>
    <w:rsid w:val="FB7FC3E7"/>
    <w:rsid w:val="FF3F61B6"/>
    <w:rsid w:val="FFC7E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4"/>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16"/>
    <w:unhideWhenUsed/>
    <w:qFormat/>
    <w:uiPriority w:val="9"/>
    <w:pPr>
      <w:keepNext/>
      <w:keepLines/>
      <w:spacing w:before="260" w:after="260" w:line="416" w:lineRule="atLeast"/>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styleId="6">
    <w:name w:val="Balloon Text"/>
    <w:basedOn w:val="1"/>
    <w:link w:val="17"/>
    <w:unhideWhenUsed/>
    <w:qFormat/>
    <w:uiPriority w:val="99"/>
    <w:pPr>
      <w:spacing w:line="240" w:lineRule="auto"/>
    </w:pPr>
    <w:rPr>
      <w:sz w:val="18"/>
      <w:szCs w:val="18"/>
    </w:rPr>
  </w:style>
  <w:style w:type="paragraph" w:styleId="7">
    <w:name w:val="footer"/>
    <w:basedOn w:val="1"/>
    <w:link w:val="18"/>
    <w:unhideWhenUsed/>
    <w:qFormat/>
    <w:uiPriority w:val="0"/>
    <w:pPr>
      <w:tabs>
        <w:tab w:val="center" w:pos="4153"/>
        <w:tab w:val="right" w:pos="8306"/>
      </w:tabs>
      <w:snapToGrid w:val="0"/>
      <w:spacing w:line="240" w:lineRule="atLeast"/>
    </w:pPr>
    <w:rPr>
      <w:sz w:val="18"/>
      <w:szCs w:val="18"/>
    </w:rPr>
  </w:style>
  <w:style w:type="paragraph" w:styleId="8">
    <w:name w:val="header"/>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character" w:styleId="13">
    <w:name w:val="Hyperlink"/>
    <w:unhideWhenUsed/>
    <w:qFormat/>
    <w:uiPriority w:val="99"/>
    <w:rPr>
      <w:color w:val="0000FF"/>
      <w:u w:val="single"/>
    </w:rPr>
  </w:style>
  <w:style w:type="character" w:customStyle="1" w:styleId="14">
    <w:name w:val="标题 1 字符"/>
    <w:link w:val="2"/>
    <w:qFormat/>
    <w:uiPriority w:val="9"/>
    <w:rPr>
      <w:b/>
      <w:bCs/>
      <w:kern w:val="44"/>
      <w:sz w:val="44"/>
      <w:szCs w:val="44"/>
    </w:rPr>
  </w:style>
  <w:style w:type="character" w:customStyle="1" w:styleId="15">
    <w:name w:val="标题 2 字符"/>
    <w:link w:val="3"/>
    <w:semiHidden/>
    <w:qFormat/>
    <w:uiPriority w:val="9"/>
    <w:rPr>
      <w:rFonts w:ascii="Cambria" w:hAnsi="Cambria" w:eastAsia="宋体" w:cs="Times New Roman"/>
      <w:b/>
      <w:bCs/>
      <w:sz w:val="32"/>
      <w:szCs w:val="32"/>
    </w:rPr>
  </w:style>
  <w:style w:type="character" w:customStyle="1" w:styleId="16">
    <w:name w:val="标题 3 字符"/>
    <w:link w:val="4"/>
    <w:semiHidden/>
    <w:qFormat/>
    <w:uiPriority w:val="9"/>
    <w:rPr>
      <w:b/>
      <w:bCs/>
      <w:sz w:val="32"/>
      <w:szCs w:val="32"/>
    </w:rPr>
  </w:style>
  <w:style w:type="character" w:customStyle="1" w:styleId="17">
    <w:name w:val="批注框文本 字符"/>
    <w:link w:val="6"/>
    <w:semiHidden/>
    <w:qFormat/>
    <w:uiPriority w:val="99"/>
    <w:rPr>
      <w:sz w:val="18"/>
      <w:szCs w:val="18"/>
    </w:rPr>
  </w:style>
  <w:style w:type="character" w:customStyle="1" w:styleId="18">
    <w:name w:val="页脚 字符"/>
    <w:link w:val="7"/>
    <w:semiHidden/>
    <w:qFormat/>
    <w:uiPriority w:val="0"/>
    <w:rPr>
      <w:sz w:val="18"/>
      <w:szCs w:val="18"/>
    </w:rPr>
  </w:style>
  <w:style w:type="character" w:customStyle="1" w:styleId="19">
    <w:name w:val="页眉 字符"/>
    <w:link w:val="8"/>
    <w:semiHidden/>
    <w:qFormat/>
    <w:uiPriority w:val="0"/>
    <w:rPr>
      <w:sz w:val="18"/>
      <w:szCs w:val="18"/>
    </w:rPr>
  </w:style>
  <w:style w:type="paragraph" w:customStyle="1" w:styleId="20">
    <w:name w:val="TOC 标题1"/>
    <w:basedOn w:val="2"/>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1002</Words>
  <Characters>5714</Characters>
  <Lines>47</Lines>
  <Paragraphs>13</Paragraphs>
  <TotalTime>13</TotalTime>
  <ScaleCrop>false</ScaleCrop>
  <LinksUpToDate>false</LinksUpToDate>
  <CharactersWithSpaces>6703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2019-07-28T02:37:00Z</dcterms:created>
  <dc:creator>Administrator</dc:creator>
  <cp:lastModifiedBy>Administrator</cp:lastModifiedBy>
  <cp:lastPrinted>2012-09-19T14:00:00Z</cp:lastPrinted>
  <dcterms:modified xsi:type="dcterms:W3CDTF">2023-10-10T08:36:31Z</dcterms:modified>
  <dc:title>附件1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90D74AD8847844C8B6B3F08FF3278CF3_13</vt:lpwstr>
  </property>
</Properties>
</file>