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天津市津南区人民政府双新街道办事处</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3</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16</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（一）贯彻落实党和国家的法律、法规、规章、政策和区委、区政府的决定、命令、指示，完成区政府部署的各项任务，做好辖区内行政事务管理工作。</w:t>
        <w:br/>
        <w:t>　　（二）负责本辖区的城市管理工作，落实各项市容环境卫生、园林绿化管理、物业管理、爱国卫生和环境保护工作。</w:t>
        <w:br/>
        <w:t>　　（三）负责制定社区建设工作规划，积极做好社会保障工作。做好辖区拥军优属、社会救济、殡葬改革、残疾人保障工作。</w:t>
        <w:br/>
        <w:t>　　（四）负责制定辖区科技、教育、文化、卫生、人口与计划生育和体育发展规划的组织实施工作。</w:t>
        <w:br/>
        <w:t>　　（五）做好辖区抢险救灾、安全生产检查、公共事业应急处置，协同有关部门做好食品安全、交通安全、消防安全监管等工作。</w:t>
        <w:br/>
        <w:t>　　（六）负责制定社会治安综合治理规划并组织实施。治理危害国家安全和社会治安的各种行为，防范处理邪教工作。</w:t>
        <w:br/>
        <w:t>　　（七）负责辖区国防动员和公民服兵役工作。</w:t>
        <w:br/>
        <w:t>　　（八）指导社区居委会建设，负责社区管理与服务。协助开展居委会的选举工作，充分发挥群众自治组织组织作用；健全社区服务设施，组织社区志愿者队伍，发展社会服务事业，开展便民利民服务。</w:t>
        <w:br/>
        <w:t>　　（九）指导区域经济发展，提供全方位服务，创造良好的发展环境。</w:t>
        <w:br/>
        <w:t>　　（十）协调人大代表、政协委员在社区的活动；做好民族宗教和侨台事务工作。</w:t>
        <w:br/>
        <w:t>　　（十一）行使街道综合管理相关的法律、法规、规章规定的行政检查权、行政处罚权，并实施与之相关的行政强制措施。</w:t>
        <w:br/>
        <w:t>　　（十二）承办区政府交办的其他事项。</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天津市津南区人民政府双新街道办事处内设12个职能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室。纳入天津市津南区人民政府双新街道办事处2023年度部门决算编制范围的单位包括：</w:t>
        <w:br/>
        <w:t>　　天津市津南区人民政府双新街道办事处(本级)</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 xml:space="preserve"> </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天津市津南区人民政府双新街道办事处2023年度收入、支出决算总计49,830,946.24元。与2022年度相比，收、支总计各增加30,096.21元，增长0.06%，主要原因是人员增加导致人员类及运转类公用经费支出增加。</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人民政府双新街道办事处2023年度本年收入合计49,828,183.82元。与2022年度相比增加69,978.71元，主要原因是人员增加导致人员类及运转类公用经费支出增加。其中：一般公共预算财政拨款收入48,311,942.16元，占96.96%；政府性基金预算财政拨款收入1,471,701.00元，占2.95%；国有资本经营预算财政拨款收入7,000.00元，占0.01%；其他收入37,540.66元，占0.08%。</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人民政府双新街道办事处2023年度本年支出合计49,828,131.16元。与2022年度相比增加30,018.54元，主要原因是人员增加导致人员类及运转类公用经费支出增加。其中：基本支出22,628,193.76元，占45.41%；项目支出27,199,937.40元，占54.59%。</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天津市津南区人民政府双新街道办事处2023年度财政拨款收入、支出决算总计49,790,643.16元。与2022年度相比，财政拨款收、支总计各增加44,720.04元，增长0.09%，主要原因是在职人员增加导致人员及公用经费增加。</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人民政府双新街道办事处2023年度部门决算一般公共预算财政拨款支出合计48,311,942.16元，占本年支出合计的97.03%。与2022年度相比，一般公共预算财政拨款支出减少1,265,222.96元，下降2.55%，主要原因是财政资金紧张，一般公共预算项目支出拨付减少。</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2023年度一般公共预算财政拨款支出48,311,942.16元，主要用于以下方面：</w:t>
        <w:br/>
        <w:t>　　一般公共服务支出（类）支出19,753,356.52元，占40.89%；</w:t>
        <w:br/>
        <w:t>　　科学技术支出（类）支出80,000.00元，占0.17%；</w:t>
        <w:br/>
        <w:t>　　文化旅游体育与传媒支出（类）支出31,546.00元，占0.07%；</w:t>
        <w:br/>
        <w:t>　　社会保障和就业支出（类）支出25,640,919.25元，占53.07%；</w:t>
        <w:br/>
        <w:t>　　卫生健康支出（类）支出1,431,480.39元，占2.96%；</w:t>
        <w:br/>
        <w:t>　　农林水支出（类）支出30,000.00元，占0.06%；</w:t>
        <w:br/>
        <w:t>　　住房保障支出（类）支出1,344,640.00元，占2.78%。</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2023年度一般公共预算财政拨款支出年初预算为55,482,758.65元，支出决算为48,311,942.16元，完成年初预算的87.08%。其中：</w:t>
        <w:br/>
        <w:t>　　1.一般公共服务支出（类）人大事务（款）代表工作（项）年初预算为0元，支出决算为3,000.00元，完成年初预算的100%，决算数大于年初预算数的主要原因是追加的转移支付项目，年初未安排预算。</w:t>
        <w:br/>
        <w:t>　　2.一般公共服务支出（类）政府办公厅（室）及相关机构事务（款）行政运行（项）年初预算为8,345,189.93元，支出决算为12,108,717.96元，完成年初预算的145.09%，决算数大于年初预算数的主要原因是人员增加，年度绩效工资及年终一次性奖金的未纳入年初预算。</w:t>
        <w:br/>
        <w:t>　　3.一般公共服务支出（类）政府办公厅（室）及相关机构事务（款）事业运行（项）年初预算为5,880,827.2元，支出决算为7,559,151.56元，完成年初预算的128.55%，决算数大于年初预算数的主要原因是人员增加，未休年假等未纳入年初预算。</w:t>
        <w:br/>
        <w:t>　　4.一般公共服务支出（类）党委办公厅（室）及相关机构事务（款）事业运行（项）年初预算为0元，支出决算为1,500.00元，完成年初预算的100%，决算数大于年初预算数的主要原因是转移支付项目，年初未安排。</w:t>
        <w:br/>
        <w:t>　　5.一般公共服务支出（类）组织事务（款）其他组织事务支出（项）年初预算为48,000元，支出决算为47,387.00元，完成年初预算的98.72%，决算数小于年初预算数的主要原因是项目实际开展情况结算。</w:t>
        <w:br/>
        <w:t>　　6.一般公共服务支出（类）市场监督管理事务（款）食品安全监管（项）年初预算为33,600.00元，支出决算为33,600.00元，完成年初预算的100%。</w:t>
        <w:br/>
        <w:t>　　7.科学技术支出（类）科学技术普及（款）科普活动（项）年初预算为0元，支出决算为80,000.00元，完成年初预算的100%，决算数大于年初预算数的主要原因是年中进行的科目调整，相关项目支出年初未列入此科目。</w:t>
        <w:br/>
        <w:t>　　8.文化旅游体育与传媒支出（类）文化和旅游（款）群众文化（项）年初预算为192,600元，支出决算为31,546.00元，完成年初预算的16.38%，决算数小于年初预算数的主要原因是部门项目开展时间较晚，按照合同支付相应延后。</w:t>
        <w:br/>
        <w:t>　　9.社会保障和就业支出（类）民政管理事务（款）基层政权建设和社区治理（项）年初预算为26,201,412元，支出决算为17,533,893.40元，完成年初预算的66.92%，决算数小于年初预算数的主要原因是包干经费项目拨付资金少于预算，支付相应减少。</w:t>
        <w:br/>
        <w:t>　　10.社会保障和就业支出（类）民政管理事务（款）其他民政管理事务支出（项）年初预算为5,880,000.00元，支出决算为5,880,000.00元，完成年初预算的100%。</w:t>
        <w:br/>
        <w:t>　　11.社会保障和就业支出（类）行政事业单位养老支出（款）机关事业单位基本养老保险缴费支出（项）年初预算为1,424,192.12元，支出决算为1,479,697.53元，完成年初预算的103.89%，决算数大于年初预算数的主要原因是人员的增加。</w:t>
        <w:br/>
        <w:t>　　12.社会保障和就业支出（类）行政事业单位养老支出（款）机关事业单位职业年金缴费支出（项）年初预算为616316.64元，支出决算为739,584.32元，完成年初预算的120%，决算数大于年初预算数的主要原因是人员的增加。</w:t>
        <w:br/>
        <w:t>　　13.社会保障和就业支出（类）社会福利（款）老年福利（项）年初预算为0元，支出决算为1,224.00元，完成年初预算的100%，决算数大于年初预算数的主要原因是年中追加的转移支付项目。</w:t>
        <w:br/>
        <w:t>　　14.社会保障和就业支出（类）残疾人事业（款）残疾人就业（项）年初预算为20,400元，支出决算为6,260.00元，完成年初预算的30.68%，决算数小于年初预算数的主要原因是发放方式变化，由区残联通过一卡通统一发放，不再通过转移支付至街镇发放。</w:t>
        <w:br/>
        <w:t>　　15.社会保障和就业支出（类）残疾人事业（款）其他残疾人事业支出（项）年初预算为260元，支出决算为260.00元，完成年初预算的100%。</w:t>
        <w:br/>
        <w:t>　　16.卫生健康支出（类）公共卫生（款）重大公共卫生服务（项）年初预算为0元，支出决算为49,510.00元，完成年初预算的100%，决算数大于年初预算数的主要原因是年中追加转移支付项目。</w:t>
        <w:br/>
        <w:t>　　17.卫生健康支出（类）公共卫生（款）突发公共卫生事件应急处理（项）年初预算为0元，支出决算为262,384.00元，完成年初预算的100%，决算数大于年初预算数的主要原因是年中追加转移支付项目。</w:t>
        <w:br/>
        <w:t>　　18.卫生健康支出（类）计划生育事务（款）计划生育服务（项）年初预算为101,300元，支出决算为690.00元，完成年初预算的0.01%，决算数小于年初预算数的主要原因是项目项目开展晚，进度慢，支付相应滞后。</w:t>
        <w:br/>
        <w:t>　　19.卫生健康支出（类）行政事业单位医疗（款）行政单位医疗（项）年初预算为415,070.04元，支出决算为552,479.87元，完成年初预算的133.1%，决算数大于年初预算数的主要原因是人员变动及工资变动。</w:t>
        <w:br/>
        <w:t>　　20.卫生健康支出（类）行政事业单位医疗（款）事业单位医疗（项）年初预算为393,847.68元，支出决算为410,677.08元，完成年初预算的104.27%，决算数大于年初预算数的主要原因是事业人员增加。</w:t>
        <w:br/>
        <w:t>　　21.卫生健康支出（类）行政事业单位医疗（款）公务员医疗补助（项）年初预算为151128.84元，支出决算为106,097.78元，完成年初预算的67.09%，决算数小于年初预算数的主要原因是有人员退休。</w:t>
        <w:br/>
        <w:t>　　22.卫生健康支出（类）行政事业单位医疗（款）其他行政事业单位医疗支出（项）年初预算为45,600元，支出决算为49,641.66元，完成年初预算的108.86%，决算数大于年初预算数的主要原因是人员增加。</w:t>
        <w:br/>
        <w:t>　　23.农林水支出（类）水利（款）其他水利支出（项）年初预算为30,000.00元，支出决算为30,000.00元，完成年初预算的100%。</w:t>
        <w:br/>
        <w:t>　　24.住房保障支出（类）住房改革支出（款）住房公积金（项）年初预算为1,213,704元，支出决算为1,344,640.00元，完成年初预算的110.79%，决算数大于年初预算数的主要原因是人员增加及公积金基数的变动。</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天津市津南区人民政府双新街道办事处2023年度部门决算一般公共预算财政拨款基本支出合计22,627,287.76元，与2022年度相比减少4,557,846.18元，主要原因是财政资金紧张，一般公共预算项目支出拨付减少。其中：</w:t>
        <w:br/>
        <w:t>　　人员经费20,607,579.58元，主要包括基本工资、津贴补贴、奖金、绩效工资、机关事业单位养老保险缴费、职业年金缴费、职工基本医疗保险缴费、公务员医疗补助缴费、其他社会保障缴费、住房公积金、其他工资福利支出、退休费、抚恤金；</w:t>
        <w:br/>
        <w:t>　　公用经费2,019,708.18元，主要包括办公费、印刷费、咨询费、水费、电费、邮电费、取暖费、差旅费、维修（护）费、培训费、劳务费、委托物业费、工会经费、福利费、公务用车运行维护费、其他交通费用、其他商品和服务支出、办公设备购置。</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人民政府双新街道办事处2023年度部门决算政府性基金预算财政拨款年初结转和结余0.00元，收入1,471,701.00元，支出1,471,701.00元，年末结转和结余0.00元。与2022年度相比，政府性基金预算财政拨款支出增加1,372,943.00元，增长1,390.21%，主要原因是政府性基金项目增加。</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人民政府双新街道办事处2023年度部门决算国有资本经营预算财政拨款年初结转和结余0.00元，收入7,000.00元，支出7,000.00元，年末结转和结余0.00元。与2022年度相比，国有资本经营预算财政拨款支出减少63,000.00元，下降90.00%，主要原因是国有资本经营预算项目减少。</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98,152.07元，支出决算98,152.07元（去年同期84,600.00元），支出决算与2023年预算相比持平，完成预算的100.00%；支出决算较上年增加13,552.07元，增长16.02%。决算数与预算数相比持平的主要原因是年内未执行完的“三公”经费预算在年末核减。决算数较上年增加的主要原因是主要是由于修车费用增加，其中一辆执法执勤车辆接近报废年限，经常需要检修。</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2023年本部门组织的出国团组0个，出国0人次。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98,152.07元，支出决算98,152.07元（去年同期82,000.00元），支出决算与2023年预算相比持平，完成预算的100.00%；支出决算较上年增加16,152.07元，增长19.70%。决算数与预算数相比持平的主要原因是年内未执行完的公务用车购置及运行维护费预算在年末核减。决算数较上年增加的主要原因是公车维修费用增加导致公车运维费增加。其中：</w:t>
        <w:br/>
        <w:t>　　公务用车运行维护费预算98,152.07元，支出决算98,152.07元（去年同期82,000.00元），支出决算与2023年预算相比持平，完成预算的100.00%；支出决算较上年增加16,152.07元，增长19.70%。决算数与预算数相比持平的主要原因是年内未执行完的公务用车运行维护费预算在年末核减。决算数较上年增加的主要原因是主要是有一辆执法执勤车辆接近报废年限，维修成本上升。截至2023年12月31日，使用财政拨款开支运行维护费的公务用车保有量为7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2,600.00元），支出决算与2023年预算相比持平；支出决算较上年减少2,600.00元，下降100.00%。决算数与预算数相比持平的主要原因是本年度未用财政拨款经费列支公务接待费。决算数较上年减少的主要原因是本年度未用财政拨款经费列支公务接待费。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机关运行经费是指行政单位和参照公务员法管理的事业单位使用一般公共预算财政拨款安排的基本支出中的日常公用经费支出，天津市津南区人民政府双新街道办事处2023年度机关运行经费决算数2,019,708.18元，比2022年减少1,107,299.46元，下降35.41%，主要原因是食堂物业支出从2023年开始按项目管理，不在基本支出中反应。</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人民政府双新街道办事处2023年政府采购支出总额9,065,434.00元，其中：政府采购货物支出520,836.00元、政府采购工程支出3,373,143.00元、政府采购服务支出5,171,455.00元。授予中小企业合同金额9,032,324.00元，占政府采购支出总额的99.63%，其中：授予小微企业合同金额5,435,911.00元，占政府采购支出总额的59.96%；货物采购授予中小企业合同金额占货物支出金额的93.64%，工程采购授予中小企业合同金额占工程支出金额的100.00%，服务采购授予中小企业合同金额占服务支出金额的100.00%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截至2023年12月31日，天津市津南区人民政府双新街道办事处共有车辆6辆，其中：副部（省）级及以上领导用车0辆、主要负责人用车0辆、机要通信用车2辆、应急保障用车0辆、执法执勤用车4辆、特种专业技术用车0辆、离退休干部用车0辆、其他用车0辆。单价100万元以上的设备0台（套）。</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根据预算绩效管理要求，天津市津南区人民政府双新街道办事处2023年度已对31个区级项目开展绩效自评，涉及金额27163355.4元，自评结果已随部门决算一并公开。本部门2023年度已对31个项目开展部门评价，涉及金额27163355.4元。</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2023年度，天津市津南区人民政府双新街道办事处医疗卫生涉及4个项目：2023年独生子女父母奖励费，预算2000元，符合条件的家长可以申领奖励费，按每户发放；2023年计划生育专项经费，预算99000元，为符合条件人员减免计划生育手术相关费用；2022年常态化核算筛查结算资金（中央参照直达津财预指【2022】4号），预算262000元，用于双新街疫情防控相关支出；2023年重大传染病防控经费（中央转移支付提前下达【2022】157号），用于双新街疫情防控相关支出。社会保障和就业涉及7个项目：2021年残疾人机动轮椅车燃油补贴[中央直达结转资金津财社指[2020]166号]，预算260元，发放人数1人，每人260元；残疾人机动轮椅车燃油补贴（中央直达资金津财社指【2021】123号），预算260元，发放人数1人，每人260元；残疾人高等教育扶残助学金（市级残保金津财社指【2021】97号），预算1320元，项目未开展；残疾人取暖补贴、通讯补贴、水电气补贴（市级残保金津财社指【2021】97号），预算5200元，发放3120元，每人260元，发放12人；残疾人托养服务补贴（市级残保金津财社指【2021】97号），预算14900元，发放2880元，每人260元，发放9人；残疾人托养服务补贴（市级残保金津财社指【2022】97号），预算10000元，项目未执行；临时救济（市级-津财社指20225号），预算20000元，项目未执行。</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16</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16</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19</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