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6"/>
        <w:spacing w:line="360" w:lineRule="auto"/>
        <w:ind w:firstLine="0" w:firstLineChars="0"/>
        <w:jc w:val="center"/>
        <w:rPr>
          <w:rFonts w:ascii="仿宋" w:hAnsi="仿宋" w:eastAsia="仿宋"/>
          <w:b/>
          <w:color w:val="FF0000"/>
          <w:sz w:val="56"/>
          <w:szCs w:val="72"/>
        </w:rPr>
      </w:pPr>
      <w:bookmarkStart w:id="0" w:name="_Hlk51780493"/>
    </w:p>
    <w:bookmarkEnd w:id="0"/>
    <w:p>
      <w:pPr>
        <w:pStyle w:val="46"/>
        <w:ind w:firstLine="0" w:firstLineChars="0"/>
        <w:jc w:val="center"/>
        <w:rPr>
          <w:rFonts w:ascii="仿宋" w:hAnsi="仿宋" w:eastAsia="仿宋"/>
          <w:b/>
          <w:sz w:val="56"/>
          <w:szCs w:val="72"/>
        </w:rPr>
      </w:pPr>
      <w:r>
        <w:rPr>
          <w:rFonts w:hint="eastAsia" w:ascii="仿宋" w:hAnsi="仿宋" w:eastAsia="仿宋"/>
          <w:b/>
          <w:sz w:val="56"/>
          <w:szCs w:val="72"/>
        </w:rPr>
        <w:t>天津市津南区农业农村委员会</w:t>
      </w:r>
    </w:p>
    <w:p>
      <w:pPr>
        <w:pStyle w:val="46"/>
        <w:ind w:firstLine="0" w:firstLineChars="0"/>
        <w:jc w:val="center"/>
        <w:rPr>
          <w:rFonts w:ascii="仿宋" w:hAnsi="仿宋" w:eastAsia="仿宋"/>
          <w:b/>
          <w:sz w:val="56"/>
          <w:szCs w:val="72"/>
        </w:rPr>
      </w:pPr>
      <w:r>
        <w:rPr>
          <w:rFonts w:hint="eastAsia" w:ascii="仿宋" w:hAnsi="仿宋" w:eastAsia="仿宋"/>
          <w:b/>
          <w:sz w:val="56"/>
          <w:szCs w:val="72"/>
        </w:rPr>
        <w:t>2019年度造林绿化资金</w:t>
      </w:r>
    </w:p>
    <w:p>
      <w:pPr>
        <w:pStyle w:val="46"/>
        <w:ind w:firstLine="0" w:firstLineChars="0"/>
        <w:jc w:val="center"/>
        <w:rPr>
          <w:rFonts w:ascii="仿宋" w:hAnsi="仿宋" w:eastAsia="仿宋"/>
          <w:b/>
          <w:sz w:val="56"/>
          <w:szCs w:val="72"/>
        </w:rPr>
      </w:pPr>
      <w:r>
        <w:rPr>
          <w:rFonts w:hint="eastAsia" w:ascii="仿宋" w:hAnsi="仿宋" w:eastAsia="仿宋"/>
          <w:b/>
          <w:sz w:val="56"/>
          <w:szCs w:val="72"/>
        </w:rPr>
        <w:t>项目支出绩效评价报告</w:t>
      </w:r>
    </w:p>
    <w:p>
      <w:pPr>
        <w:pStyle w:val="44"/>
        <w:spacing w:before="163" w:after="163" w:line="480" w:lineRule="exact"/>
        <w:ind w:firstLine="0" w:firstLineChars="0"/>
        <w:jc w:val="center"/>
        <w:rPr>
          <w:rFonts w:ascii="仿宋" w:hAnsi="仿宋" w:eastAsia="仿宋"/>
          <w:b/>
          <w:sz w:val="56"/>
          <w:szCs w:val="56"/>
        </w:rPr>
      </w:pPr>
    </w:p>
    <w:p>
      <w:pPr>
        <w:pStyle w:val="44"/>
        <w:spacing w:before="163" w:after="163" w:line="480" w:lineRule="exact"/>
        <w:ind w:firstLine="0" w:firstLineChars="0"/>
        <w:jc w:val="center"/>
        <w:rPr>
          <w:rFonts w:ascii="仿宋" w:hAnsi="仿宋" w:eastAsia="仿宋"/>
          <w:b/>
          <w:sz w:val="56"/>
          <w:szCs w:val="56"/>
        </w:rPr>
      </w:pPr>
    </w:p>
    <w:p>
      <w:pPr>
        <w:pStyle w:val="44"/>
        <w:spacing w:before="163" w:after="163" w:line="480" w:lineRule="exact"/>
        <w:ind w:firstLine="0" w:firstLineChars="0"/>
        <w:jc w:val="center"/>
        <w:rPr>
          <w:rFonts w:ascii="仿宋" w:hAnsi="仿宋" w:eastAsia="仿宋"/>
          <w:b/>
          <w:sz w:val="56"/>
          <w:szCs w:val="56"/>
        </w:rPr>
      </w:pPr>
    </w:p>
    <w:p>
      <w:pPr>
        <w:pStyle w:val="44"/>
        <w:spacing w:before="163" w:after="163" w:line="480" w:lineRule="exact"/>
        <w:ind w:firstLine="0" w:firstLineChars="0"/>
        <w:jc w:val="center"/>
        <w:rPr>
          <w:rFonts w:ascii="仿宋" w:hAnsi="仿宋" w:eastAsia="仿宋"/>
          <w:b/>
          <w:sz w:val="56"/>
          <w:szCs w:val="56"/>
        </w:rPr>
      </w:pPr>
    </w:p>
    <w:p>
      <w:pPr>
        <w:pStyle w:val="44"/>
        <w:spacing w:before="163" w:after="163" w:line="480" w:lineRule="exact"/>
        <w:ind w:firstLine="0" w:firstLineChars="0"/>
        <w:rPr>
          <w:rFonts w:ascii="仿宋" w:hAnsi="仿宋" w:eastAsia="仿宋"/>
          <w:b/>
          <w:sz w:val="30"/>
          <w:szCs w:val="30"/>
        </w:rPr>
      </w:pPr>
    </w:p>
    <w:p>
      <w:pPr>
        <w:pStyle w:val="44"/>
        <w:spacing w:before="163" w:after="163" w:line="480" w:lineRule="exact"/>
        <w:ind w:firstLine="0" w:firstLineChars="0"/>
        <w:jc w:val="center"/>
        <w:rPr>
          <w:rFonts w:ascii="仿宋" w:hAnsi="仿宋" w:eastAsia="仿宋"/>
          <w:b/>
          <w:sz w:val="30"/>
          <w:szCs w:val="30"/>
        </w:rPr>
      </w:pPr>
    </w:p>
    <w:p>
      <w:pPr>
        <w:pStyle w:val="44"/>
        <w:spacing w:before="163" w:after="163" w:line="480" w:lineRule="exact"/>
        <w:ind w:firstLine="0" w:firstLineChars="0"/>
        <w:jc w:val="center"/>
        <w:rPr>
          <w:rFonts w:ascii="仿宋" w:hAnsi="仿宋" w:eastAsia="仿宋"/>
          <w:b/>
          <w:sz w:val="30"/>
          <w:szCs w:val="30"/>
        </w:rPr>
      </w:pPr>
    </w:p>
    <w:p>
      <w:pPr>
        <w:pStyle w:val="44"/>
        <w:spacing w:before="163" w:after="163" w:line="480" w:lineRule="exact"/>
        <w:ind w:firstLine="0" w:firstLineChars="0"/>
        <w:jc w:val="center"/>
        <w:rPr>
          <w:rFonts w:ascii="仿宋" w:hAnsi="仿宋" w:eastAsia="仿宋"/>
          <w:b/>
          <w:sz w:val="30"/>
          <w:szCs w:val="30"/>
        </w:rPr>
      </w:pPr>
    </w:p>
    <w:p>
      <w:pPr>
        <w:pStyle w:val="44"/>
        <w:spacing w:before="163" w:after="163" w:line="480" w:lineRule="exact"/>
        <w:ind w:firstLine="0" w:firstLineChars="0"/>
        <w:jc w:val="center"/>
        <w:rPr>
          <w:rFonts w:hint="eastAsia" w:ascii="仿宋" w:hAnsi="仿宋" w:eastAsia="仿宋"/>
          <w:b/>
          <w:sz w:val="30"/>
          <w:szCs w:val="30"/>
        </w:rPr>
      </w:pPr>
    </w:p>
    <w:p>
      <w:pPr>
        <w:pStyle w:val="44"/>
        <w:spacing w:before="163" w:after="163" w:line="480" w:lineRule="exact"/>
        <w:ind w:firstLine="1507" w:firstLineChars="471"/>
        <w:jc w:val="left"/>
        <w:rPr>
          <w:rFonts w:ascii="仿宋" w:hAnsi="仿宋" w:eastAsia="仿宋"/>
          <w:bCs/>
          <w:sz w:val="32"/>
          <w:szCs w:val="28"/>
        </w:rPr>
      </w:pPr>
      <w:r>
        <w:rPr>
          <w:rFonts w:hint="eastAsia" w:ascii="仿宋" w:hAnsi="仿宋" w:eastAsia="仿宋"/>
          <w:bCs/>
          <w:sz w:val="32"/>
          <w:szCs w:val="28"/>
        </w:rPr>
        <w:t>评价对象：天津市津南区农业农村委员会</w:t>
      </w:r>
    </w:p>
    <w:p>
      <w:pPr>
        <w:pStyle w:val="44"/>
        <w:spacing w:before="163" w:after="163" w:line="480" w:lineRule="exact"/>
        <w:ind w:firstLine="1507" w:firstLineChars="471"/>
        <w:jc w:val="left"/>
        <w:rPr>
          <w:rFonts w:ascii="仿宋" w:hAnsi="仿宋" w:eastAsia="仿宋"/>
          <w:bCs/>
          <w:sz w:val="32"/>
          <w:szCs w:val="28"/>
        </w:rPr>
      </w:pPr>
      <w:r>
        <w:rPr>
          <w:rFonts w:hint="eastAsia" w:ascii="仿宋" w:hAnsi="仿宋" w:eastAsia="仿宋"/>
          <w:bCs/>
          <w:sz w:val="32"/>
          <w:szCs w:val="28"/>
        </w:rPr>
        <w:t>委托单位：天津市津南区财政局</w:t>
      </w:r>
    </w:p>
    <w:p>
      <w:pPr>
        <w:pStyle w:val="44"/>
        <w:spacing w:before="163" w:after="163" w:line="480" w:lineRule="exact"/>
        <w:ind w:firstLine="1507" w:firstLineChars="471"/>
        <w:jc w:val="left"/>
        <w:rPr>
          <w:rFonts w:ascii="仿宋" w:hAnsi="仿宋" w:eastAsia="仿宋"/>
          <w:bCs/>
          <w:sz w:val="32"/>
          <w:szCs w:val="28"/>
        </w:rPr>
      </w:pPr>
      <w:r>
        <w:rPr>
          <w:rFonts w:hint="eastAsia" w:ascii="仿宋" w:hAnsi="仿宋" w:eastAsia="仿宋"/>
          <w:bCs/>
          <w:sz w:val="32"/>
          <w:szCs w:val="28"/>
        </w:rPr>
        <w:t>评价机构：天津安信管理咨询有限公司</w:t>
      </w:r>
    </w:p>
    <w:p>
      <w:pPr>
        <w:pStyle w:val="44"/>
        <w:spacing w:before="163" w:after="163" w:line="480" w:lineRule="exact"/>
        <w:ind w:firstLine="0" w:firstLineChars="0"/>
        <w:jc w:val="left"/>
        <w:rPr>
          <w:rFonts w:ascii="仿宋" w:hAnsi="仿宋" w:eastAsia="仿宋"/>
          <w:bCs/>
          <w:sz w:val="32"/>
          <w:szCs w:val="28"/>
        </w:rPr>
      </w:pPr>
      <w:r>
        <w:rPr>
          <w:rFonts w:hint="eastAsia" w:ascii="仿宋" w:hAnsi="仿宋" w:eastAsia="仿宋"/>
          <w:bCs/>
          <w:sz w:val="32"/>
          <w:szCs w:val="28"/>
        </w:rPr>
        <w:t xml:space="preserve"> </w:t>
      </w:r>
    </w:p>
    <w:p>
      <w:pPr>
        <w:pStyle w:val="44"/>
        <w:spacing w:before="163" w:after="163" w:line="480" w:lineRule="exact"/>
        <w:ind w:firstLine="320" w:firstLineChars="100"/>
        <w:rPr>
          <w:rFonts w:ascii="仿宋" w:hAnsi="仿宋" w:eastAsia="仿宋"/>
          <w:bCs/>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1440" w:right="1800" w:bottom="1440" w:left="1800" w:header="0" w:footer="454" w:gutter="0"/>
          <w:pgNumType w:start="1"/>
          <w:cols w:space="425" w:num="1"/>
          <w:titlePg/>
          <w:docGrid w:type="lines" w:linePitch="326" w:charSpace="0"/>
        </w:sectPr>
      </w:pPr>
      <w:r>
        <w:rPr>
          <w:rFonts w:ascii="仿宋" w:hAnsi="仿宋" w:eastAsia="仿宋"/>
          <w:bCs/>
          <w:sz w:val="32"/>
          <w:szCs w:val="28"/>
        </w:rPr>
        <w:t xml:space="preserve">                     2021</w:t>
      </w:r>
      <w:r>
        <w:rPr>
          <w:rFonts w:hint="eastAsia" w:ascii="仿宋" w:hAnsi="仿宋" w:eastAsia="仿宋"/>
          <w:bCs/>
          <w:sz w:val="32"/>
          <w:szCs w:val="28"/>
        </w:rPr>
        <w:t>年1</w:t>
      </w:r>
      <w:r>
        <w:rPr>
          <w:rFonts w:ascii="仿宋" w:hAnsi="仿宋" w:eastAsia="仿宋"/>
          <w:bCs/>
          <w:sz w:val="32"/>
          <w:szCs w:val="28"/>
        </w:rPr>
        <w:t>2</w:t>
      </w:r>
      <w:r>
        <w:rPr>
          <w:rFonts w:hint="eastAsia" w:ascii="仿宋" w:hAnsi="仿宋" w:eastAsia="仿宋"/>
          <w:bCs/>
          <w:sz w:val="32"/>
          <w:szCs w:val="28"/>
        </w:rPr>
        <w:t>月</w:t>
      </w:r>
    </w:p>
    <w:p>
      <w:pPr>
        <w:widowControl/>
        <w:spacing w:line="480" w:lineRule="exact"/>
        <w:ind w:firstLine="0" w:firstLineChars="0"/>
        <w:rPr>
          <w:rFonts w:ascii="仿宋" w:hAnsi="仿宋"/>
        </w:rPr>
        <w:sectPr>
          <w:footerReference r:id="rId11" w:type="default"/>
          <w:type w:val="continuous"/>
          <w:pgSz w:w="11906" w:h="16838"/>
          <w:pgMar w:top="1440" w:right="1800" w:bottom="1440" w:left="1800" w:header="0" w:footer="454" w:gutter="0"/>
          <w:pgNumType w:start="1"/>
          <w:cols w:space="425" w:num="1"/>
          <w:titlePg/>
          <w:docGrid w:type="lines" w:linePitch="326" w:charSpace="0"/>
        </w:sectPr>
      </w:pPr>
    </w:p>
    <w:p>
      <w:pPr>
        <w:pStyle w:val="32"/>
        <w:ind w:firstLine="0" w:firstLineChars="0"/>
        <w:jc w:val="center"/>
        <w:rPr>
          <w:rFonts w:ascii="仿宋" w:hAnsi="仿宋"/>
          <w:bCs/>
          <w:sz w:val="32"/>
          <w:szCs w:val="32"/>
        </w:rPr>
      </w:pPr>
      <w:r>
        <w:rPr>
          <w:rFonts w:hint="eastAsia" w:ascii="仿宋" w:hAnsi="仿宋"/>
          <w:bCs/>
          <w:sz w:val="32"/>
          <w:szCs w:val="32"/>
        </w:rPr>
        <w:t>目录</w:t>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TOC \o "1-2" \h \z \u </w:instrText>
      </w:r>
      <w:r>
        <w:rPr>
          <w:rFonts w:hint="eastAsia" w:ascii="仿宋" w:hAnsi="仿宋" w:eastAsia="仿宋" w:cs="仿宋"/>
          <w:b w:val="0"/>
          <w:sz w:val="28"/>
          <w:szCs w:val="28"/>
        </w:rPr>
        <w:fldChar w:fldCharType="separate"/>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"_Toc91632809"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摘要</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_Toc91632809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1</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"_Toc91632810"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一、基本情况</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_Toc91632810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1</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"_Toc91632813"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二、评价结论和绩效分析</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_Toc91632813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2</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"_Toc91632814"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三、主要经验及做法</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_Toc91632814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2</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"_Toc91632815"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四、主要问题</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_Toc91632815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4</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"_Toc91632816"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五、相关建议</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_Toc91632816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4</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"_Toc91632817"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正文</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_Toc91632817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6</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"_Toc91632818"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一、基本情况</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_Toc91632818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7</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6"/>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"_Toc91632819" </w:instrText>
      </w:r>
      <w:r>
        <w:rPr>
          <w:rFonts w:hint="eastAsia" w:ascii="仿宋" w:hAnsi="仿宋" w:eastAsia="仿宋" w:cs="仿宋"/>
          <w:sz w:val="28"/>
          <w:szCs w:val="28"/>
        </w:rPr>
        <w:fldChar w:fldCharType="separate"/>
      </w:r>
      <w:r>
        <w:rPr>
          <w:rStyle w:val="21"/>
          <w:rFonts w:hint="eastAsia" w:ascii="仿宋" w:hAnsi="仿宋" w:eastAsia="仿宋" w:cs="仿宋"/>
          <w:sz w:val="28"/>
          <w:szCs w:val="28"/>
        </w:rPr>
        <w:t>（一）项目概况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_Toc91632819 \h </w:instrText>
      </w:r>
      <w:r>
        <w:rPr>
          <w:rFonts w:hint="eastAsia" w:ascii="仿宋" w:hAnsi="仿宋" w:eastAsia="仿宋" w:cs="仿宋"/>
          <w:sz w:val="28"/>
          <w:szCs w:val="28"/>
        </w:rPr>
        <w:fldChar w:fldCharType="separate"/>
      </w:r>
      <w:r>
        <w:rPr>
          <w:rFonts w:hint="eastAsia" w:ascii="仿宋" w:hAnsi="仿宋" w:eastAsia="仿宋" w:cs="仿宋"/>
          <w:sz w:val="28"/>
          <w:szCs w:val="28"/>
        </w:rPr>
        <w:t>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6"/>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"_Toc91632820" </w:instrText>
      </w:r>
      <w:r>
        <w:rPr>
          <w:rFonts w:hint="eastAsia" w:ascii="仿宋" w:hAnsi="仿宋" w:eastAsia="仿宋" w:cs="仿宋"/>
          <w:sz w:val="28"/>
          <w:szCs w:val="28"/>
        </w:rPr>
        <w:fldChar w:fldCharType="separate"/>
      </w:r>
      <w:r>
        <w:rPr>
          <w:rStyle w:val="21"/>
          <w:rFonts w:hint="eastAsia" w:ascii="仿宋" w:hAnsi="仿宋" w:eastAsia="仿宋" w:cs="仿宋"/>
          <w:sz w:val="28"/>
          <w:szCs w:val="28"/>
          <w:lang w:bidi="zh-CN"/>
        </w:rPr>
        <w:t>（二）项目绩效目标</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_Toc91632820 \h </w:instrText>
      </w:r>
      <w:r>
        <w:rPr>
          <w:rFonts w:hint="eastAsia" w:ascii="仿宋" w:hAnsi="仿宋" w:eastAsia="仿宋" w:cs="仿宋"/>
          <w:sz w:val="28"/>
          <w:szCs w:val="28"/>
        </w:rPr>
        <w:fldChar w:fldCharType="separate"/>
      </w:r>
      <w:r>
        <w:rPr>
          <w:rFonts w:hint="eastAsia" w:ascii="仿宋" w:hAnsi="仿宋" w:eastAsia="仿宋" w:cs="仿宋"/>
          <w:sz w:val="28"/>
          <w:szCs w:val="28"/>
        </w:rPr>
        <w:t>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"_Toc91632821"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二、绩效评价工作开展情况</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_Toc91632821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10</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6"/>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"_Toc91632822" </w:instrText>
      </w:r>
      <w:r>
        <w:rPr>
          <w:rFonts w:hint="eastAsia" w:ascii="仿宋" w:hAnsi="仿宋" w:eastAsia="仿宋" w:cs="仿宋"/>
          <w:sz w:val="28"/>
          <w:szCs w:val="28"/>
        </w:rPr>
        <w:fldChar w:fldCharType="separate"/>
      </w:r>
      <w:r>
        <w:rPr>
          <w:rStyle w:val="21"/>
          <w:rFonts w:hint="eastAsia" w:ascii="仿宋" w:hAnsi="仿宋" w:eastAsia="仿宋" w:cs="仿宋"/>
          <w:sz w:val="28"/>
          <w:szCs w:val="28"/>
        </w:rPr>
        <w:t>（一）绩效评价目的</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_Toc91632822 \h </w:instrText>
      </w:r>
      <w:r>
        <w:rPr>
          <w:rFonts w:hint="eastAsia" w:ascii="仿宋" w:hAnsi="仿宋" w:eastAsia="仿宋" w:cs="仿宋"/>
          <w:sz w:val="28"/>
          <w:szCs w:val="28"/>
        </w:rPr>
        <w:fldChar w:fldCharType="separate"/>
      </w:r>
      <w:r>
        <w:rPr>
          <w:rFonts w:hint="eastAsia" w:ascii="仿宋" w:hAnsi="仿宋" w:eastAsia="仿宋" w:cs="仿宋"/>
          <w:sz w:val="28"/>
          <w:szCs w:val="28"/>
        </w:rPr>
        <w:t>10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6"/>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"_Toc91632823" </w:instrText>
      </w:r>
      <w:r>
        <w:rPr>
          <w:rFonts w:hint="eastAsia" w:ascii="仿宋" w:hAnsi="仿宋" w:eastAsia="仿宋" w:cs="仿宋"/>
          <w:sz w:val="28"/>
          <w:szCs w:val="28"/>
        </w:rPr>
        <w:fldChar w:fldCharType="separate"/>
      </w:r>
      <w:r>
        <w:rPr>
          <w:rStyle w:val="21"/>
          <w:rFonts w:hint="eastAsia" w:ascii="仿宋" w:hAnsi="仿宋" w:eastAsia="仿宋" w:cs="仿宋"/>
          <w:sz w:val="28"/>
          <w:szCs w:val="28"/>
          <w:lang w:bidi="zh-CN"/>
        </w:rPr>
        <w:t>（二）绩效评价原则及方法</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_Toc91632823 \h </w:instrText>
      </w:r>
      <w:r>
        <w:rPr>
          <w:rFonts w:hint="eastAsia" w:ascii="仿宋" w:hAnsi="仿宋" w:eastAsia="仿宋" w:cs="仿宋"/>
          <w:sz w:val="28"/>
          <w:szCs w:val="28"/>
        </w:rPr>
        <w:fldChar w:fldCharType="separate"/>
      </w:r>
      <w:r>
        <w:rPr>
          <w:rFonts w:hint="eastAsia" w:ascii="仿宋" w:hAnsi="仿宋" w:eastAsia="仿宋" w:cs="仿宋"/>
          <w:sz w:val="28"/>
          <w:szCs w:val="28"/>
        </w:rPr>
        <w:t>10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6"/>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"_Toc91632824" </w:instrText>
      </w:r>
      <w:r>
        <w:rPr>
          <w:rFonts w:hint="eastAsia" w:ascii="仿宋" w:hAnsi="仿宋" w:eastAsia="仿宋" w:cs="仿宋"/>
          <w:sz w:val="28"/>
          <w:szCs w:val="28"/>
        </w:rPr>
        <w:fldChar w:fldCharType="separate"/>
      </w:r>
      <w:r>
        <w:rPr>
          <w:rStyle w:val="21"/>
          <w:rFonts w:hint="eastAsia" w:ascii="仿宋" w:hAnsi="仿宋" w:eastAsia="仿宋" w:cs="仿宋"/>
          <w:sz w:val="28"/>
          <w:szCs w:val="28"/>
          <w:lang w:bidi="zh-CN"/>
        </w:rPr>
        <w:t>（三）绩效评价工作过程</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_Toc91632824 \h </w:instrText>
      </w:r>
      <w:r>
        <w:rPr>
          <w:rFonts w:hint="eastAsia" w:ascii="仿宋" w:hAnsi="仿宋" w:eastAsia="仿宋" w:cs="仿宋"/>
          <w:sz w:val="28"/>
          <w:szCs w:val="28"/>
        </w:rPr>
        <w:fldChar w:fldCharType="separate"/>
      </w:r>
      <w:r>
        <w:rPr>
          <w:rFonts w:hint="eastAsia" w:ascii="仿宋" w:hAnsi="仿宋" w:eastAsia="仿宋" w:cs="仿宋"/>
          <w:sz w:val="28"/>
          <w:szCs w:val="28"/>
        </w:rPr>
        <w:t>13</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"_Toc91632825"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三、综合评价情况及评价结论</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_Toc91632825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16</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6"/>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"_Toc91632826" </w:instrText>
      </w:r>
      <w:r>
        <w:rPr>
          <w:rFonts w:hint="eastAsia" w:ascii="仿宋" w:hAnsi="仿宋" w:eastAsia="仿宋" w:cs="仿宋"/>
          <w:sz w:val="28"/>
          <w:szCs w:val="28"/>
        </w:rPr>
        <w:fldChar w:fldCharType="separate"/>
      </w:r>
      <w:r>
        <w:rPr>
          <w:rStyle w:val="21"/>
          <w:rFonts w:hint="eastAsia" w:ascii="仿宋" w:hAnsi="仿宋" w:eastAsia="仿宋" w:cs="仿宋"/>
          <w:sz w:val="28"/>
          <w:szCs w:val="28"/>
        </w:rPr>
        <w:t>（一）综合评价情况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_Toc91632826 \h </w:instrText>
      </w:r>
      <w:r>
        <w:rPr>
          <w:rFonts w:hint="eastAsia" w:ascii="仿宋" w:hAnsi="仿宋" w:eastAsia="仿宋" w:cs="仿宋"/>
          <w:sz w:val="28"/>
          <w:szCs w:val="28"/>
        </w:rPr>
        <w:fldChar w:fldCharType="separate"/>
      </w:r>
      <w:r>
        <w:rPr>
          <w:rFonts w:hint="eastAsia" w:ascii="仿宋" w:hAnsi="仿宋" w:eastAsia="仿宋" w:cs="仿宋"/>
          <w:sz w:val="28"/>
          <w:szCs w:val="28"/>
        </w:rPr>
        <w:t>16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6"/>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"_Toc91632827" </w:instrText>
      </w:r>
      <w:r>
        <w:rPr>
          <w:rFonts w:hint="eastAsia" w:ascii="仿宋" w:hAnsi="仿宋" w:eastAsia="仿宋" w:cs="仿宋"/>
          <w:sz w:val="28"/>
          <w:szCs w:val="28"/>
        </w:rPr>
        <w:fldChar w:fldCharType="separate"/>
      </w:r>
      <w:r>
        <w:rPr>
          <w:rStyle w:val="21"/>
          <w:rFonts w:hint="eastAsia" w:ascii="仿宋" w:hAnsi="仿宋" w:eastAsia="仿宋" w:cs="仿宋"/>
          <w:sz w:val="28"/>
          <w:szCs w:val="28"/>
        </w:rPr>
        <w:t>（二）评价结论</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_Toc91632827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"_Toc91632828"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四、绩效评价指标分析</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_Toc91632828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19</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6"/>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"_Toc91632829" </w:instrText>
      </w:r>
      <w:r>
        <w:rPr>
          <w:rFonts w:hint="eastAsia" w:ascii="仿宋" w:hAnsi="仿宋" w:eastAsia="仿宋" w:cs="仿宋"/>
          <w:sz w:val="28"/>
          <w:szCs w:val="28"/>
        </w:rPr>
        <w:fldChar w:fldCharType="separate"/>
      </w:r>
      <w:r>
        <w:rPr>
          <w:rStyle w:val="21"/>
          <w:rFonts w:hint="eastAsia" w:ascii="仿宋" w:hAnsi="仿宋" w:eastAsia="仿宋" w:cs="仿宋"/>
          <w:sz w:val="28"/>
          <w:szCs w:val="28"/>
        </w:rPr>
        <w:t>（一）项目决策情况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_Toc91632829 \h </w:instrText>
      </w:r>
      <w:r>
        <w:rPr>
          <w:rFonts w:hint="eastAsia" w:ascii="仿宋" w:hAnsi="仿宋" w:eastAsia="仿宋" w:cs="仿宋"/>
          <w:sz w:val="28"/>
          <w:szCs w:val="28"/>
        </w:rPr>
        <w:fldChar w:fldCharType="separate"/>
      </w:r>
      <w:r>
        <w:rPr>
          <w:rFonts w:hint="eastAsia" w:ascii="仿宋" w:hAnsi="仿宋" w:eastAsia="仿宋" w:cs="仿宋"/>
          <w:sz w:val="28"/>
          <w:szCs w:val="28"/>
        </w:rPr>
        <w:t>19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6"/>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"_Toc91632830" </w:instrText>
      </w:r>
      <w:r>
        <w:rPr>
          <w:rFonts w:hint="eastAsia" w:ascii="仿宋" w:hAnsi="仿宋" w:eastAsia="仿宋" w:cs="仿宋"/>
          <w:sz w:val="28"/>
          <w:szCs w:val="28"/>
        </w:rPr>
        <w:fldChar w:fldCharType="separate"/>
      </w:r>
      <w:r>
        <w:rPr>
          <w:rStyle w:val="21"/>
          <w:rFonts w:hint="eastAsia" w:ascii="仿宋" w:hAnsi="仿宋" w:eastAsia="仿宋" w:cs="仿宋"/>
          <w:sz w:val="28"/>
          <w:szCs w:val="28"/>
        </w:rPr>
        <w:t>（二）项目过程情况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_Toc91632830 \h </w:instrText>
      </w:r>
      <w:r>
        <w:rPr>
          <w:rFonts w:hint="eastAsia" w:ascii="仿宋" w:hAnsi="仿宋" w:eastAsia="仿宋" w:cs="仿宋"/>
          <w:sz w:val="28"/>
          <w:szCs w:val="28"/>
        </w:rPr>
        <w:fldChar w:fldCharType="separate"/>
      </w:r>
      <w:r>
        <w:rPr>
          <w:rFonts w:hint="eastAsia" w:ascii="仿宋" w:hAnsi="仿宋" w:eastAsia="仿宋" w:cs="仿宋"/>
          <w:sz w:val="28"/>
          <w:szCs w:val="28"/>
        </w:rPr>
        <w:t>20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6"/>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"_Toc91632831" </w:instrText>
      </w:r>
      <w:r>
        <w:rPr>
          <w:rFonts w:hint="eastAsia" w:ascii="仿宋" w:hAnsi="仿宋" w:eastAsia="仿宋" w:cs="仿宋"/>
          <w:sz w:val="28"/>
          <w:szCs w:val="28"/>
        </w:rPr>
        <w:fldChar w:fldCharType="separate"/>
      </w:r>
      <w:r>
        <w:rPr>
          <w:rStyle w:val="21"/>
          <w:rFonts w:hint="eastAsia" w:ascii="仿宋" w:hAnsi="仿宋" w:eastAsia="仿宋" w:cs="仿宋"/>
          <w:sz w:val="28"/>
          <w:szCs w:val="28"/>
        </w:rPr>
        <w:t>（三）项目产出情况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_Toc91632831 \h </w:instrText>
      </w:r>
      <w:r>
        <w:rPr>
          <w:rFonts w:hint="eastAsia" w:ascii="仿宋" w:hAnsi="仿宋" w:eastAsia="仿宋" w:cs="仿宋"/>
          <w:sz w:val="28"/>
          <w:szCs w:val="28"/>
        </w:rPr>
        <w:fldChar w:fldCharType="separate"/>
      </w:r>
      <w:r>
        <w:rPr>
          <w:rFonts w:hint="eastAsia" w:ascii="仿宋" w:hAnsi="仿宋" w:eastAsia="仿宋" w:cs="仿宋"/>
          <w:sz w:val="28"/>
          <w:szCs w:val="28"/>
        </w:rPr>
        <w:t>23</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6"/>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"_Toc91632832" </w:instrText>
      </w:r>
      <w:r>
        <w:rPr>
          <w:rFonts w:hint="eastAsia" w:ascii="仿宋" w:hAnsi="仿宋" w:eastAsia="仿宋" w:cs="仿宋"/>
          <w:sz w:val="28"/>
          <w:szCs w:val="28"/>
        </w:rPr>
        <w:fldChar w:fldCharType="separate"/>
      </w:r>
      <w:r>
        <w:rPr>
          <w:rStyle w:val="21"/>
          <w:rFonts w:hint="eastAsia" w:ascii="仿宋" w:hAnsi="仿宋" w:eastAsia="仿宋" w:cs="仿宋"/>
          <w:sz w:val="28"/>
          <w:szCs w:val="28"/>
        </w:rPr>
        <w:t>（四）项目效益情况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_Toc91632832 \h </w:instrText>
      </w:r>
      <w:r>
        <w:rPr>
          <w:rFonts w:hint="eastAsia" w:ascii="仿宋" w:hAnsi="仿宋" w:eastAsia="仿宋" w:cs="仿宋"/>
          <w:sz w:val="28"/>
          <w:szCs w:val="28"/>
        </w:rPr>
        <w:fldChar w:fldCharType="separate"/>
      </w:r>
      <w:r>
        <w:rPr>
          <w:rFonts w:hint="eastAsia" w:ascii="仿宋" w:hAnsi="仿宋" w:eastAsia="仿宋" w:cs="仿宋"/>
          <w:sz w:val="28"/>
          <w:szCs w:val="28"/>
        </w:rPr>
        <w:t>24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6"/>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"_Toc91632833" </w:instrText>
      </w:r>
      <w:r>
        <w:rPr>
          <w:rFonts w:hint="eastAsia" w:ascii="仿宋" w:hAnsi="仿宋" w:eastAsia="仿宋" w:cs="仿宋"/>
          <w:sz w:val="28"/>
          <w:szCs w:val="28"/>
        </w:rPr>
        <w:fldChar w:fldCharType="separate"/>
      </w:r>
      <w:r>
        <w:rPr>
          <w:rStyle w:val="21"/>
          <w:rFonts w:hint="eastAsia" w:ascii="仿宋" w:hAnsi="仿宋" w:eastAsia="仿宋" w:cs="仿宋"/>
          <w:sz w:val="28"/>
          <w:szCs w:val="28"/>
        </w:rPr>
        <w:t>（五）项目满意度指标情况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_Toc91632833 \h </w:instrText>
      </w:r>
      <w:r>
        <w:rPr>
          <w:rFonts w:hint="eastAsia" w:ascii="仿宋" w:hAnsi="仿宋" w:eastAsia="仿宋" w:cs="仿宋"/>
          <w:sz w:val="28"/>
          <w:szCs w:val="28"/>
        </w:rPr>
        <w:fldChar w:fldCharType="separate"/>
      </w:r>
      <w:r>
        <w:rPr>
          <w:rFonts w:hint="eastAsia" w:ascii="仿宋" w:hAnsi="仿宋" w:eastAsia="仿宋" w:cs="仿宋"/>
          <w:sz w:val="28"/>
          <w:szCs w:val="28"/>
        </w:rPr>
        <w:t>25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"_Toc91632834"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五、主要经验及做法、存在的问题及原因分析</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_Toc91632834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27</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"_Toc91632837"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六、有关建议</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_Toc91632837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28</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"_Toc91632838"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七、其他需要说明的问题</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_Toc91632838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30</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480" w:lineRule="exact"/>
        <w:rPr>
          <w:rFonts w:hint="eastAsia" w:ascii="仿宋" w:hAnsi="仿宋" w:eastAsia="仿宋" w:cs="仿宋"/>
          <w:b w:val="0"/>
          <w:bCs w:val="0"/>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"_Toc91632839" </w:instrText>
      </w:r>
      <w:r>
        <w:rPr>
          <w:rFonts w:hint="eastAsia" w:ascii="仿宋" w:hAnsi="仿宋" w:eastAsia="仿宋" w:cs="仿宋"/>
          <w:sz w:val="28"/>
          <w:szCs w:val="28"/>
        </w:rPr>
        <w:fldChar w:fldCharType="separate"/>
      </w:r>
      <w:r>
        <w:rPr>
          <w:rStyle w:val="21"/>
          <w:rFonts w:hint="eastAsia" w:ascii="仿宋" w:hAnsi="仿宋" w:eastAsia="仿宋" w:cs="仿宋"/>
          <w:b w:val="0"/>
          <w:sz w:val="28"/>
          <w:szCs w:val="28"/>
        </w:rPr>
        <w:t>八、评价指标体系</w:t>
      </w:r>
      <w:r>
        <w:rPr>
          <w:rFonts w:hint="eastAsia" w:ascii="仿宋" w:hAnsi="仿宋" w:eastAsia="仿宋" w:cs="仿宋"/>
          <w:b w:val="0"/>
          <w:sz w:val="28"/>
          <w:szCs w:val="28"/>
        </w:rPr>
        <w:tab/>
      </w:r>
      <w:r>
        <w:rPr>
          <w:rFonts w:hint="eastAsia" w:ascii="仿宋" w:hAnsi="仿宋" w:eastAsia="仿宋" w:cs="仿宋"/>
          <w:b w:val="0"/>
          <w:sz w:val="28"/>
          <w:szCs w:val="28"/>
        </w:rPr>
        <w:fldChar w:fldCharType="begin"/>
      </w:r>
      <w:r>
        <w:rPr>
          <w:rFonts w:hint="eastAsia" w:ascii="仿宋" w:hAnsi="仿宋" w:eastAsia="仿宋" w:cs="仿宋"/>
          <w:b w:val="0"/>
          <w:sz w:val="28"/>
          <w:szCs w:val="28"/>
        </w:rPr>
        <w:instrText xml:space="preserve"> PAGEREF _Toc91632839 \h </w:instrText>
      </w:r>
      <w:r>
        <w:rPr>
          <w:rFonts w:hint="eastAsia" w:ascii="仿宋" w:hAnsi="仿宋" w:eastAsia="仿宋" w:cs="仿宋"/>
          <w:b w:val="0"/>
          <w:sz w:val="28"/>
          <w:szCs w:val="28"/>
        </w:rPr>
        <w:fldChar w:fldCharType="separate"/>
      </w:r>
      <w:r>
        <w:rPr>
          <w:rFonts w:hint="eastAsia" w:ascii="仿宋" w:hAnsi="仿宋" w:eastAsia="仿宋" w:cs="仿宋"/>
          <w:b w:val="0"/>
          <w:sz w:val="28"/>
          <w:szCs w:val="28"/>
        </w:rPr>
        <w:t>31</w:t>
      </w:r>
      <w:r>
        <w:rPr>
          <w:rFonts w:hint="eastAsia" w:ascii="仿宋" w:hAnsi="仿宋" w:eastAsia="仿宋" w:cs="仿宋"/>
          <w:b w:val="0"/>
          <w:sz w:val="28"/>
          <w:szCs w:val="28"/>
        </w:rPr>
        <w:fldChar w:fldCharType="end"/>
      </w:r>
      <w:r>
        <w:rPr>
          <w:rFonts w:hint="eastAsia" w:ascii="仿宋" w:hAnsi="仿宋" w:eastAsia="仿宋" w:cs="仿宋"/>
          <w:b w:val="0"/>
          <w:sz w:val="28"/>
          <w:szCs w:val="28"/>
        </w:rPr>
        <w:fldChar w:fldCharType="end"/>
      </w:r>
    </w:p>
    <w:p>
      <w:pPr>
        <w:pStyle w:val="32"/>
        <w:keepNext w:val="0"/>
        <w:keepLines w:val="0"/>
        <w:pageBreakBefore w:val="0"/>
        <w:widowControl w:val="0"/>
        <w:kinsoku/>
        <w:wordWrap/>
        <w:overflowPunct/>
        <w:topLinePunct w:val="0"/>
        <w:autoSpaceDE/>
        <w:autoSpaceDN/>
        <w:bidi w:val="0"/>
        <w:adjustRightInd/>
        <w:snapToGrid/>
        <w:ind w:firstLine="0" w:firstLineChars="0"/>
        <w:jc w:val="both"/>
        <w:rPr>
          <w:rFonts w:ascii="仿宋" w:hAnsi="仿宋"/>
          <w:bCs/>
          <w:sz w:val="32"/>
          <w:szCs w:val="32"/>
        </w:rPr>
        <w:sectPr>
          <w:pgSz w:w="11906" w:h="16838"/>
          <w:pgMar w:top="1440" w:right="1800" w:bottom="1440" w:left="1800" w:header="0" w:footer="454" w:gutter="0"/>
          <w:pgNumType w:start="1"/>
          <w:cols w:space="425" w:num="1"/>
          <w:titlePg/>
          <w:docGrid w:type="lines" w:linePitch="326" w:charSpace="0"/>
        </w:sectPr>
      </w:pPr>
      <w:r>
        <w:rPr>
          <w:rFonts w:hint="eastAsia" w:ascii="仿宋" w:hAnsi="仿宋" w:eastAsia="仿宋" w:cs="仿宋"/>
          <w:bCs/>
          <w:sz w:val="28"/>
          <w:szCs w:val="28"/>
        </w:rPr>
        <w:fldChar w:fldCharType="end"/>
      </w:r>
    </w:p>
    <w:p>
      <w:pPr>
        <w:pStyle w:val="32"/>
        <w:spacing w:after="312"/>
        <w:ind w:firstLine="0" w:firstLineChars="0"/>
        <w:jc w:val="center"/>
        <w:outlineLvl w:val="0"/>
        <w:rPr>
          <w:rFonts w:ascii="仿宋" w:hAnsi="仿宋"/>
          <w:b/>
          <w:bCs/>
          <w:sz w:val="44"/>
          <w:szCs w:val="44"/>
        </w:rPr>
      </w:pPr>
      <w:bookmarkStart w:id="1" w:name="_Toc91632809"/>
      <w:r>
        <w:rPr>
          <w:rFonts w:hint="eastAsia" w:ascii="仿宋" w:hAnsi="仿宋"/>
          <w:b/>
          <w:bCs/>
          <w:sz w:val="44"/>
          <w:szCs w:val="44"/>
        </w:rPr>
        <w:t>摘要</w:t>
      </w:r>
      <w:bookmarkEnd w:id="1"/>
    </w:p>
    <w:p>
      <w:pPr>
        <w:pStyle w:val="30"/>
      </w:pPr>
      <w:bookmarkStart w:id="2" w:name="_Toc65078799"/>
      <w:bookmarkStart w:id="3" w:name="_Toc65079654"/>
      <w:bookmarkStart w:id="4" w:name="_Toc65078986"/>
      <w:bookmarkStart w:id="5" w:name="_Toc65080009"/>
      <w:bookmarkStart w:id="6" w:name="_Toc91632810"/>
      <w:r>
        <w:rPr>
          <w:rFonts w:hint="eastAsia"/>
        </w:rPr>
        <w:t>一、基本情况</w:t>
      </w:r>
      <w:bookmarkEnd w:id="2"/>
      <w:bookmarkEnd w:id="3"/>
      <w:bookmarkEnd w:id="4"/>
      <w:bookmarkEnd w:id="5"/>
      <w:bookmarkEnd w:id="6"/>
    </w:p>
    <w:p>
      <w:pPr>
        <w:pStyle w:val="28"/>
      </w:pPr>
      <w:bookmarkStart w:id="7" w:name="_Toc65078987"/>
      <w:bookmarkStart w:id="8" w:name="_Toc91632811"/>
      <w:bookmarkStart w:id="9" w:name="_Toc65080010"/>
      <w:bookmarkStart w:id="10" w:name="_Toc65078800"/>
      <w:bookmarkStart w:id="11" w:name="_Toc65079655"/>
      <w:r>
        <w:rPr>
          <w:rFonts w:hint="eastAsia"/>
        </w:rPr>
        <w:t>（一）项目概况</w:t>
      </w:r>
      <w:bookmarkEnd w:id="7"/>
      <w:bookmarkEnd w:id="8"/>
      <w:bookmarkEnd w:id="9"/>
      <w:bookmarkEnd w:id="10"/>
      <w:bookmarkEnd w:id="11"/>
    </w:p>
    <w:p>
      <w:pPr>
        <w:pStyle w:val="32"/>
        <w:ind w:firstLine="600"/>
        <w:rPr>
          <w:rFonts w:ascii="仿宋" w:hAnsi="仿宋"/>
          <w:sz w:val="30"/>
          <w:szCs w:val="30"/>
        </w:rPr>
      </w:pPr>
      <w:r>
        <w:rPr>
          <w:rFonts w:hint="eastAsia" w:ascii="仿宋" w:hAnsi="仿宋"/>
          <w:sz w:val="30"/>
          <w:szCs w:val="30"/>
        </w:rPr>
        <w:t>生态文明是实现人与自然和谐发展的必然要求，生态文明建设是关系中华民族永续发展的根本大计。按照习近平主席关于生态文明建设系列讲话要求，为加快天津市生态文明建设、改善生态环境，2018年5月28日天津市第十七届人民代表大会常务委员会第三次会议通过《天津市人民代表大会常务委员会关于加强滨海新区与中心城区中间地带规划管控建设绿色生态屏障的决定》。决定指出：滨海新区与中心城区中间地带建设绿色生态屏障实行严格规划管控，分为一级管控区、二级管控区和三级管控区，要坚持以人为本、生态优先，提高城市发展持续性、宜居性的原则，加强滨海新区与中心城区中间地带规划管控、建设绿色生态屏障。</w:t>
      </w:r>
    </w:p>
    <w:p>
      <w:pPr>
        <w:pStyle w:val="32"/>
        <w:ind w:firstLine="600"/>
        <w:rPr>
          <w:rFonts w:ascii="仿宋" w:hAnsi="仿宋"/>
          <w:sz w:val="30"/>
          <w:szCs w:val="30"/>
        </w:rPr>
      </w:pPr>
      <w:r>
        <w:rPr>
          <w:rFonts w:hint="eastAsia" w:ascii="仿宋" w:hAnsi="仿宋"/>
          <w:sz w:val="30"/>
          <w:szCs w:val="30"/>
        </w:rPr>
        <w:t>2018年10月31日，天津市政府下发《天津市加强滨海新区和中心城区中间地带规划管控建设绿色生态屏障实施细则》对天津市滨海新区和中心城区中间地带规划管控地区（即生态屏障区）各级管控区范围、建设要求进行了明确规定。双城中间地带规划管控范围包含宁河区、东丽区、津南区、西青区、滨海新区，总面积 736 平方公里。</w:t>
      </w:r>
    </w:p>
    <w:p>
      <w:pPr>
        <w:pStyle w:val="32"/>
        <w:ind w:firstLine="600"/>
        <w:rPr>
          <w:rFonts w:ascii="仿宋" w:hAnsi="仿宋"/>
          <w:sz w:val="32"/>
          <w:szCs w:val="32"/>
        </w:rPr>
      </w:pPr>
      <w:r>
        <w:rPr>
          <w:rFonts w:hint="eastAsia" w:ascii="仿宋" w:hAnsi="仿宋"/>
          <w:sz w:val="30"/>
          <w:szCs w:val="30"/>
        </w:rPr>
        <w:t>津南区作为连接中心城区与滨海新区的重要节点，是绿色生态屏障区的主要区域，总面积达 330 平方公里，约占双城中间地带规划管控范围面积的 45%。为了积极推进绿色生态屏障的有效建设，津南区委区政府按照规划引导、分步实施的原则，提出津南区绿化造林工程。项目涉及辛庄镇、双桥河镇、葛沽镇、八里台镇、北闸口镇、小站镇、津南开发区等 7个镇及区域，总面积约为 13605亩的造林绿化。</w:t>
      </w:r>
    </w:p>
    <w:p>
      <w:pPr>
        <w:pStyle w:val="28"/>
      </w:pPr>
      <w:bookmarkStart w:id="12" w:name="_Toc65078988"/>
      <w:bookmarkStart w:id="13" w:name="_Toc65080011"/>
      <w:bookmarkStart w:id="14" w:name="_Toc65079656"/>
      <w:bookmarkStart w:id="15" w:name="_Toc65078801"/>
      <w:bookmarkStart w:id="16" w:name="_Toc91632812"/>
      <w:r>
        <w:rPr>
          <w:rFonts w:hint="eastAsia"/>
        </w:rPr>
        <w:t>（二）评价工作概况</w:t>
      </w:r>
      <w:bookmarkEnd w:id="12"/>
      <w:bookmarkEnd w:id="13"/>
      <w:bookmarkEnd w:id="14"/>
      <w:bookmarkEnd w:id="15"/>
      <w:bookmarkEnd w:id="16"/>
    </w:p>
    <w:p>
      <w:pPr>
        <w:spacing w:line="480" w:lineRule="exact"/>
        <w:ind w:firstLine="600"/>
        <w:rPr>
          <w:rFonts w:ascii="仿宋" w:hAnsi="仿宋"/>
          <w:sz w:val="30"/>
          <w:szCs w:val="30"/>
        </w:rPr>
      </w:pPr>
      <w:r>
        <w:rPr>
          <w:rFonts w:ascii="仿宋" w:hAnsi="仿宋" w:cs="仿宋"/>
          <w:sz w:val="30"/>
          <w:szCs w:val="30"/>
        </w:rPr>
        <w:t>本次</w:t>
      </w:r>
      <w:r>
        <w:rPr>
          <w:rFonts w:hint="eastAsia" w:ascii="仿宋" w:hAnsi="仿宋" w:cs="仿宋"/>
          <w:sz w:val="30"/>
          <w:szCs w:val="30"/>
        </w:rPr>
        <w:t>2019年度造林绿化资金项目</w:t>
      </w:r>
      <w:r>
        <w:rPr>
          <w:rFonts w:ascii="仿宋" w:hAnsi="仿宋" w:cs="仿宋"/>
          <w:sz w:val="30"/>
          <w:szCs w:val="30"/>
        </w:rPr>
        <w:t>绩效评价，围绕项目决策、资金管理、组织实施和项目产出和效益等多个角度考察项目预算执行情况、目标实现情况和项目整体效果。重点考察</w:t>
      </w:r>
      <w:r>
        <w:rPr>
          <w:rFonts w:hint="eastAsia" w:ascii="仿宋" w:hAnsi="仿宋" w:cs="仿宋"/>
          <w:sz w:val="30"/>
          <w:szCs w:val="30"/>
        </w:rPr>
        <w:t>造林绿化项目覆盖区域，项目竣工验收情况，项目完工及时情况，项目费用标准情况，改善区域生态环境、人居环境情况，提升津南区区域发展环境的影响情况和周边居民满意度，</w:t>
      </w:r>
      <w:r>
        <w:rPr>
          <w:rFonts w:ascii="仿宋" w:hAnsi="仿宋" w:cs="仿宋"/>
          <w:sz w:val="30"/>
          <w:szCs w:val="30"/>
        </w:rPr>
        <w:t>设计绩效评价指标体系。根据</w:t>
      </w:r>
      <w:r>
        <w:rPr>
          <w:rFonts w:hint="eastAsia" w:ascii="仿宋" w:hAnsi="仿宋" w:cs="仿宋"/>
          <w:sz w:val="30"/>
          <w:szCs w:val="30"/>
        </w:rPr>
        <w:t>评价</w:t>
      </w:r>
      <w:r>
        <w:rPr>
          <w:rFonts w:ascii="仿宋" w:hAnsi="仿宋" w:cs="仿宋"/>
          <w:sz w:val="30"/>
          <w:szCs w:val="30"/>
        </w:rPr>
        <w:t>指标体系，通过数据采集、问卷调查等方式，结合</w:t>
      </w:r>
      <w:r>
        <w:rPr>
          <w:rFonts w:hint="eastAsia" w:ascii="仿宋" w:hAnsi="仿宋" w:cs="仿宋"/>
          <w:sz w:val="30"/>
          <w:szCs w:val="30"/>
        </w:rPr>
        <w:t>项目</w:t>
      </w:r>
      <w:r>
        <w:rPr>
          <w:rFonts w:ascii="仿宋" w:hAnsi="仿宋" w:cs="仿宋"/>
          <w:sz w:val="30"/>
          <w:szCs w:val="30"/>
        </w:rPr>
        <w:t>实地调研情况以落实评价工作。</w:t>
      </w:r>
    </w:p>
    <w:p>
      <w:pPr>
        <w:pStyle w:val="30"/>
      </w:pPr>
      <w:bookmarkStart w:id="17" w:name="_Toc65080012"/>
      <w:bookmarkStart w:id="18" w:name="_Toc65079657"/>
      <w:bookmarkStart w:id="19" w:name="_Toc65078989"/>
      <w:bookmarkStart w:id="20" w:name="_Toc91632813"/>
      <w:bookmarkStart w:id="21" w:name="_Toc65078802"/>
      <w:r>
        <w:rPr>
          <w:rFonts w:hint="eastAsia"/>
        </w:rPr>
        <w:t>二、评价结论和绩效分析</w:t>
      </w:r>
      <w:bookmarkEnd w:id="17"/>
      <w:bookmarkEnd w:id="18"/>
      <w:bookmarkEnd w:id="19"/>
      <w:bookmarkEnd w:id="20"/>
      <w:bookmarkEnd w:id="21"/>
    </w:p>
    <w:p>
      <w:pPr>
        <w:pStyle w:val="32"/>
        <w:ind w:firstLine="600"/>
        <w:rPr>
          <w:rFonts w:ascii="仿宋" w:hAnsi="仿宋"/>
          <w:sz w:val="30"/>
          <w:szCs w:val="30"/>
        </w:rPr>
      </w:pPr>
      <w:r>
        <w:rPr>
          <w:rFonts w:ascii="仿宋" w:hAnsi="仿宋"/>
          <w:sz w:val="30"/>
          <w:szCs w:val="30"/>
        </w:rPr>
        <w:t>运用</w:t>
      </w:r>
      <w:r>
        <w:rPr>
          <w:rFonts w:hint="eastAsia" w:ascii="仿宋" w:hAnsi="仿宋"/>
          <w:sz w:val="30"/>
          <w:szCs w:val="30"/>
        </w:rPr>
        <w:t>绩效评价小组</w:t>
      </w:r>
      <w:r>
        <w:rPr>
          <w:rFonts w:ascii="仿宋" w:hAnsi="仿宋"/>
          <w:sz w:val="30"/>
          <w:szCs w:val="30"/>
        </w:rPr>
        <w:t>设计的绩效评价指标体系及评分标准</w:t>
      </w:r>
      <w:r>
        <w:rPr>
          <w:rFonts w:hint="eastAsia" w:ascii="仿宋" w:hAnsi="仿宋"/>
          <w:sz w:val="30"/>
          <w:szCs w:val="30"/>
        </w:rPr>
        <w:t>，</w:t>
      </w:r>
      <w:r>
        <w:rPr>
          <w:rFonts w:ascii="仿宋" w:hAnsi="仿宋"/>
          <w:sz w:val="30"/>
          <w:szCs w:val="30"/>
        </w:rPr>
        <w:t>本项目绩效评价得分为89</w:t>
      </w:r>
      <w:r>
        <w:rPr>
          <w:rFonts w:hint="eastAsia" w:ascii="仿宋" w:hAnsi="仿宋"/>
          <w:sz w:val="30"/>
          <w:szCs w:val="30"/>
        </w:rPr>
        <w:t>.88</w:t>
      </w:r>
      <w:r>
        <w:rPr>
          <w:rFonts w:ascii="仿宋" w:hAnsi="仿宋"/>
          <w:sz w:val="30"/>
          <w:szCs w:val="30"/>
        </w:rPr>
        <w:t>分，评价等级为“</w:t>
      </w:r>
      <w:r>
        <w:rPr>
          <w:rFonts w:hint="eastAsia" w:ascii="仿宋" w:hAnsi="仿宋"/>
          <w:sz w:val="30"/>
          <w:szCs w:val="30"/>
        </w:rPr>
        <w:t>良</w:t>
      </w:r>
      <w:r>
        <w:rPr>
          <w:rFonts w:ascii="仿宋" w:hAnsi="仿宋"/>
          <w:sz w:val="30"/>
          <w:szCs w:val="30"/>
        </w:rPr>
        <w:t xml:space="preserve">”。 </w:t>
      </w:r>
    </w:p>
    <w:p>
      <w:pPr>
        <w:pStyle w:val="32"/>
        <w:ind w:firstLine="600"/>
        <w:rPr>
          <w:rFonts w:ascii="仿宋" w:hAnsi="仿宋"/>
          <w:sz w:val="30"/>
          <w:szCs w:val="30"/>
          <w:lang w:bidi="zh-CN"/>
        </w:rPr>
      </w:pPr>
      <w:r>
        <w:rPr>
          <w:rFonts w:hint="eastAsia" w:ascii="仿宋" w:hAnsi="仿宋"/>
          <w:sz w:val="30"/>
          <w:szCs w:val="30"/>
        </w:rPr>
        <w:t>从整体情况看，2019年度造林绿化资金项目</w:t>
      </w:r>
      <w:r>
        <w:rPr>
          <w:rFonts w:ascii="仿宋" w:hAnsi="仿宋"/>
          <w:sz w:val="30"/>
          <w:szCs w:val="30"/>
        </w:rPr>
        <w:t>主要对</w:t>
      </w:r>
      <w:r>
        <w:rPr>
          <w:rFonts w:hint="eastAsia" w:ascii="仿宋" w:hAnsi="仿宋"/>
          <w:sz w:val="30"/>
          <w:szCs w:val="30"/>
        </w:rPr>
        <w:t>津南区</w:t>
      </w:r>
      <w:r>
        <w:rPr>
          <w:rFonts w:ascii="仿宋" w:hAnsi="仿宋"/>
          <w:sz w:val="30"/>
          <w:szCs w:val="30"/>
        </w:rPr>
        <w:t>造林绿化工程开展实施作业，</w:t>
      </w:r>
      <w:r>
        <w:rPr>
          <w:rFonts w:hint="eastAsia" w:ascii="仿宋" w:hAnsi="仿宋"/>
          <w:sz w:val="30"/>
          <w:szCs w:val="30"/>
        </w:rPr>
        <w:t>按照《天津市加强滨海新区和中心城区中间地带规划管控建设绿色生态屏障实施细则》、《津南区 2019 年造林绿化工作实施方案》以及</w:t>
      </w:r>
      <w:r>
        <w:rPr>
          <w:rFonts w:hint="eastAsia" w:ascii="仿宋" w:hAnsi="仿宋" w:cs="仿宋"/>
          <w:sz w:val="30"/>
          <w:szCs w:val="30"/>
        </w:rPr>
        <w:t>《</w:t>
      </w:r>
      <w:r>
        <w:rPr>
          <w:rFonts w:hint="eastAsia" w:ascii="仿宋" w:hAnsi="仿宋" w:cs="仿宋"/>
          <w:kern w:val="0"/>
          <w:sz w:val="30"/>
          <w:szCs w:val="30"/>
          <w:lang w:bidi="ar"/>
        </w:rPr>
        <w:t>津南区发展改革委关于“津南区2019年造林绿化工程”项目可行性研究报告的批复</w:t>
      </w:r>
      <w:r>
        <w:rPr>
          <w:rFonts w:hint="eastAsia" w:ascii="仿宋" w:hAnsi="仿宋" w:cs="仿宋"/>
          <w:sz w:val="30"/>
          <w:szCs w:val="30"/>
        </w:rPr>
        <w:t>》文件实施。</w:t>
      </w:r>
      <w:r>
        <w:rPr>
          <w:rFonts w:hint="eastAsia" w:ascii="仿宋" w:hAnsi="仿宋"/>
          <w:sz w:val="30"/>
          <w:szCs w:val="30"/>
        </w:rPr>
        <w:t>项目实施效果总体良好，有效改善津南区区域生态环境，修复生态系统，改善人居环境，提高百姓生活水平和生活条件，改善投资环境，具有一定的就业带动效应，对于津南区建设与发展有重要作用。</w:t>
      </w:r>
      <w:r>
        <w:rPr>
          <w:rFonts w:hint="eastAsia" w:ascii="仿宋" w:hAnsi="仿宋"/>
          <w:sz w:val="30"/>
          <w:szCs w:val="30"/>
          <w:lang w:bidi="zh-CN"/>
        </w:rPr>
        <w:t>但也存在一些问题，比如：一是绩效管理工作有待加强。津南区农业农村委并未根据项目计划及时开展绩效目标表填报工作，从而导致该项目绩效运行监控及自评工作无法进行。二是施工过程监管力度有待提高。施工过程中对居民生活有一定影响，高峰时段施工时易造成交通拥堵，施工过程中存在扬尘等环境污染的情况。</w:t>
      </w:r>
    </w:p>
    <w:p>
      <w:pPr>
        <w:pStyle w:val="30"/>
        <w:numPr>
          <w:ilvl w:val="0"/>
          <w:numId w:val="1"/>
        </w:numPr>
      </w:pPr>
      <w:bookmarkStart w:id="22" w:name="_Toc91632814"/>
      <w:bookmarkStart w:id="23" w:name="_Toc65078803"/>
      <w:bookmarkStart w:id="24" w:name="_Toc65078990"/>
      <w:bookmarkStart w:id="25" w:name="_Toc65080013"/>
      <w:bookmarkStart w:id="26" w:name="_Toc65079658"/>
      <w:r>
        <w:rPr>
          <w:rFonts w:hint="eastAsia"/>
        </w:rPr>
        <w:t>主要经验及做法</w:t>
      </w:r>
      <w:bookmarkEnd w:id="22"/>
      <w:bookmarkEnd w:id="23"/>
      <w:bookmarkEnd w:id="24"/>
      <w:bookmarkEnd w:id="25"/>
      <w:bookmarkEnd w:id="26"/>
    </w:p>
    <w:p>
      <w:pPr>
        <w:pStyle w:val="32"/>
        <w:ind w:firstLine="600"/>
        <w:rPr>
          <w:rFonts w:ascii="仿宋" w:hAnsi="仿宋"/>
          <w:sz w:val="30"/>
          <w:szCs w:val="30"/>
        </w:rPr>
      </w:pPr>
      <w:r>
        <w:rPr>
          <w:rFonts w:hint="eastAsia" w:ascii="仿宋" w:hAnsi="仿宋"/>
          <w:sz w:val="30"/>
          <w:szCs w:val="30"/>
        </w:rPr>
        <w:t>加强滨海新区与中心城区中间地带规划管控、建设绿色生态屏障，实现滨海新区与中心城区“两城夹绿”，是贯彻习近平新时代中国特色社会主义思想、落实国家推进生态文明建设要求和京津冀协同发展重大国家战略的重要举措，是加快建设生态宜居的现代化天津、推动天津高质量发展的实际行动。为做好滨海新区与中心城区中间地带绿色生态屏障建设工作，严格规划管控，天津市人民代表大会常务委员会</w:t>
      </w:r>
    </w:p>
    <w:p>
      <w:pPr>
        <w:pStyle w:val="32"/>
        <w:ind w:firstLine="600"/>
        <w:rPr>
          <w:rFonts w:ascii="仿宋" w:hAnsi="仿宋"/>
          <w:sz w:val="30"/>
          <w:szCs w:val="30"/>
        </w:rPr>
      </w:pPr>
      <w:r>
        <w:rPr>
          <w:rFonts w:hint="eastAsia" w:ascii="仿宋" w:hAnsi="仿宋"/>
          <w:sz w:val="30"/>
          <w:szCs w:val="30"/>
        </w:rPr>
        <w:t>作出《关于加强滨海新区与中心城区中间地带规划管控建设绿色生态屏障的决定》。2018年10月31日，天津市政府下发《天津市加强滨海新区和中心城区中间地带规划管控建设绿色生态屏障实施细则》对天津市滨海新区和中心城区中间地带规划管控地区（即生态屏障区）各级管控区范围、建设要求进行了明确规定。双城中间地带规划管控范围包含宁河区、东丽区、津南区、西青区、滨海新区，总面积 736 平方公里。</w:t>
      </w:r>
    </w:p>
    <w:p>
      <w:pPr>
        <w:pStyle w:val="32"/>
        <w:ind w:firstLine="600"/>
        <w:rPr>
          <w:rFonts w:ascii="仿宋" w:hAnsi="仿宋"/>
          <w:sz w:val="30"/>
          <w:szCs w:val="30"/>
        </w:rPr>
      </w:pPr>
      <w:r>
        <w:rPr>
          <w:rFonts w:hint="eastAsia" w:ascii="仿宋" w:hAnsi="仿宋"/>
          <w:sz w:val="30"/>
          <w:szCs w:val="30"/>
        </w:rPr>
        <w:t>津南区作为连接中心城区与滨海新区的重要节点，是绿色生态屏障区的主要区域，总面积达 330 平方公里，约占双城中间地带规划管控范围面积的 45%。其中一级管控区约 205 平方公里、二级管控区约75平方公里、三级管控区约 50 平方公里。为了积极推进绿色生态屏障的有效建设，津南区委区政府按照规划引导、分步实施的原则，提出津南区绿化造林工程。2019年，津南区造林绿化任务为 2.72 万亩，其中新造林 1.87 万亩，提升改造 0.85 万亩。津南区生态屏障区涉及下辖咸水沽镇、北闸口镇、辛庄镇、八里台镇、小站镇、葛沽镇、双桥河镇等7个镇和津南开发区。</w:t>
      </w:r>
    </w:p>
    <w:p>
      <w:pPr>
        <w:pStyle w:val="32"/>
        <w:ind w:firstLine="600"/>
        <w:rPr>
          <w:rFonts w:ascii="仿宋" w:hAnsi="仿宋"/>
        </w:rPr>
      </w:pPr>
      <w:r>
        <w:rPr>
          <w:rFonts w:hint="eastAsia" w:ascii="仿宋" w:hAnsi="仿宋"/>
          <w:sz w:val="30"/>
          <w:szCs w:val="30"/>
        </w:rPr>
        <w:t>项目实施后能够使实施区域遭到破坏的生态系统得到修补，提升区域绿化率和绿化质量，人口居住环境，加强城镇基础设施建设，促进城镇整体建设水平提升，符合市政府文件要求，加快津南区绿色生态屏障建设，并推进双城中间地带规划管控建设绿色生态屏障的总体进度。通过植树造林，使实施区域受到破坏的生态环境得以修复和延续发展，对于动植物繁衍声息、生物多样性维护具有重要意义。同时，项目通过提升城镇周边绿化水平，能够改善百姓生活环境，并逐步改变百姓生活方式，传播绿色发展理念，使越来越多的人口意识到生态保护的重要性，从而维系自然修复和城镇建设成果，促进人与自然和谐共生。</w:t>
      </w:r>
    </w:p>
    <w:p>
      <w:pPr>
        <w:pStyle w:val="30"/>
        <w:numPr>
          <w:ilvl w:val="0"/>
          <w:numId w:val="1"/>
        </w:numPr>
      </w:pPr>
      <w:bookmarkStart w:id="27" w:name="_Toc91632815"/>
      <w:bookmarkStart w:id="28" w:name="_Toc65080014"/>
      <w:bookmarkStart w:id="29" w:name="_Toc65079659"/>
      <w:bookmarkStart w:id="30" w:name="_Toc65078991"/>
      <w:bookmarkStart w:id="31" w:name="_Toc65078804"/>
      <w:r>
        <w:rPr>
          <w:rFonts w:hint="eastAsia"/>
        </w:rPr>
        <w:t>主要问题</w:t>
      </w:r>
      <w:bookmarkEnd w:id="27"/>
      <w:bookmarkEnd w:id="28"/>
      <w:bookmarkEnd w:id="29"/>
      <w:bookmarkEnd w:id="30"/>
      <w:bookmarkEnd w:id="31"/>
    </w:p>
    <w:p>
      <w:pPr>
        <w:pStyle w:val="53"/>
        <w:ind w:firstLine="643"/>
        <w:rPr>
          <w:rFonts w:ascii="仿宋" w:hAnsi="仿宋"/>
          <w:sz w:val="32"/>
          <w:szCs w:val="32"/>
        </w:rPr>
      </w:pPr>
      <w:r>
        <w:rPr>
          <w:rFonts w:hint="eastAsia" w:ascii="仿宋" w:hAnsi="仿宋"/>
          <w:sz w:val="32"/>
          <w:szCs w:val="32"/>
        </w:rPr>
        <w:t>1</w:t>
      </w:r>
      <w:r>
        <w:rPr>
          <w:rFonts w:ascii="仿宋" w:hAnsi="仿宋"/>
          <w:sz w:val="32"/>
          <w:szCs w:val="32"/>
        </w:rPr>
        <w:t>.</w:t>
      </w:r>
      <w:r>
        <w:rPr>
          <w:rFonts w:hint="eastAsia" w:ascii="仿宋" w:hAnsi="仿宋"/>
          <w:sz w:val="32"/>
          <w:szCs w:val="32"/>
        </w:rPr>
        <w:t>绩效管理工作有待加强</w:t>
      </w:r>
    </w:p>
    <w:p>
      <w:pPr>
        <w:pStyle w:val="32"/>
        <w:ind w:firstLine="600"/>
        <w:rPr>
          <w:rFonts w:ascii="仿宋" w:hAnsi="仿宋"/>
          <w:color w:val="333333"/>
          <w:sz w:val="30"/>
          <w:szCs w:val="30"/>
        </w:rPr>
      </w:pPr>
      <w:r>
        <w:rPr>
          <w:rFonts w:hint="eastAsia" w:ascii="仿宋" w:hAnsi="仿宋"/>
          <w:sz w:val="30"/>
          <w:szCs w:val="30"/>
          <w:lang w:bidi="zh-CN"/>
        </w:rPr>
        <w:t>项目绩效目标是全面推进预算绩效管理的重要内容，是衡量项目完成情况的重要标准，良好的项目绩效目标，可以有效的推进项目开展和落实。但津南区农业农村委并未根据项目计划及时</w:t>
      </w:r>
      <w:r>
        <w:rPr>
          <w:rFonts w:ascii="仿宋" w:hAnsi="仿宋"/>
          <w:sz w:val="30"/>
          <w:szCs w:val="30"/>
          <w:lang w:bidi="zh-CN"/>
        </w:rPr>
        <w:t>开展绩效目标表填报工作，从而导致</w:t>
      </w:r>
      <w:r>
        <w:rPr>
          <w:rFonts w:hint="eastAsia" w:ascii="仿宋" w:hAnsi="仿宋"/>
          <w:sz w:val="30"/>
          <w:szCs w:val="30"/>
          <w:lang w:bidi="zh-CN"/>
        </w:rPr>
        <w:t>该项目</w:t>
      </w:r>
      <w:r>
        <w:rPr>
          <w:rFonts w:ascii="仿宋" w:hAnsi="仿宋"/>
          <w:sz w:val="30"/>
          <w:szCs w:val="30"/>
          <w:lang w:bidi="zh-CN"/>
        </w:rPr>
        <w:t>绩效</w:t>
      </w:r>
      <w:r>
        <w:rPr>
          <w:rFonts w:hint="eastAsia" w:ascii="仿宋" w:hAnsi="仿宋"/>
          <w:sz w:val="30"/>
          <w:szCs w:val="30"/>
          <w:lang w:bidi="zh-CN"/>
        </w:rPr>
        <w:t>运行监控及</w:t>
      </w:r>
      <w:r>
        <w:rPr>
          <w:rFonts w:ascii="仿宋" w:hAnsi="仿宋"/>
          <w:sz w:val="30"/>
          <w:szCs w:val="30"/>
          <w:lang w:bidi="zh-CN"/>
        </w:rPr>
        <w:t>自评工作无法进行</w:t>
      </w:r>
      <w:r>
        <w:rPr>
          <w:rFonts w:hint="eastAsia" w:ascii="仿宋" w:hAnsi="仿宋"/>
          <w:color w:val="333333"/>
          <w:sz w:val="30"/>
          <w:szCs w:val="30"/>
        </w:rPr>
        <w:t>。</w:t>
      </w:r>
    </w:p>
    <w:p>
      <w:pPr>
        <w:pStyle w:val="32"/>
        <w:ind w:firstLine="643"/>
        <w:rPr>
          <w:rFonts w:ascii="仿宋" w:hAnsi="仿宋"/>
          <w:b/>
          <w:sz w:val="32"/>
          <w:szCs w:val="32"/>
        </w:rPr>
      </w:pPr>
      <w:r>
        <w:rPr>
          <w:rFonts w:hint="eastAsia" w:ascii="仿宋" w:hAnsi="仿宋"/>
          <w:b/>
          <w:sz w:val="32"/>
          <w:szCs w:val="32"/>
        </w:rPr>
        <w:t>2.施工过程监管力度有待提高</w:t>
      </w:r>
    </w:p>
    <w:p>
      <w:pPr>
        <w:pStyle w:val="32"/>
        <w:ind w:firstLine="600"/>
        <w:rPr>
          <w:rFonts w:ascii="仿宋" w:hAnsi="仿宋"/>
          <w:sz w:val="30"/>
          <w:szCs w:val="30"/>
        </w:rPr>
      </w:pPr>
      <w:r>
        <w:rPr>
          <w:rFonts w:hint="eastAsia" w:ascii="仿宋" w:hAnsi="仿宋"/>
          <w:sz w:val="30"/>
          <w:szCs w:val="30"/>
        </w:rPr>
        <w:t>项目建设工期为15个月，施工周期较较长且施工区域面积较大。在施工过程中对居民生活有一定影响，特别是夜间施工，存在扰民的情况。高峰时段施工时易造成交通拥堵，施工过程中存在扬尘等环境污染的情况。</w:t>
      </w:r>
    </w:p>
    <w:p>
      <w:pPr>
        <w:pStyle w:val="30"/>
      </w:pPr>
      <w:bookmarkStart w:id="32" w:name="_Toc91632816"/>
      <w:bookmarkStart w:id="33" w:name="_Toc65079660"/>
      <w:bookmarkStart w:id="34" w:name="_Toc65078992"/>
      <w:bookmarkStart w:id="35" w:name="_Toc65080015"/>
      <w:bookmarkStart w:id="36" w:name="_Toc65078805"/>
      <w:r>
        <w:rPr>
          <w:rFonts w:hint="eastAsia"/>
        </w:rPr>
        <w:t>五、相关建议</w:t>
      </w:r>
      <w:bookmarkEnd w:id="32"/>
      <w:bookmarkEnd w:id="33"/>
      <w:bookmarkEnd w:id="34"/>
      <w:bookmarkEnd w:id="35"/>
      <w:bookmarkEnd w:id="36"/>
    </w:p>
    <w:p>
      <w:pPr>
        <w:pStyle w:val="53"/>
        <w:ind w:firstLine="643"/>
        <w:rPr>
          <w:rFonts w:ascii="仿宋" w:hAnsi="仿宋"/>
          <w:sz w:val="32"/>
        </w:rPr>
      </w:pPr>
      <w:r>
        <w:rPr>
          <w:rFonts w:hint="eastAsia" w:ascii="仿宋" w:hAnsi="仿宋"/>
          <w:sz w:val="32"/>
        </w:rPr>
        <w:t>1、加强项目绩效工作管理</w:t>
      </w:r>
    </w:p>
    <w:p>
      <w:pPr>
        <w:pStyle w:val="53"/>
        <w:ind w:firstLine="600"/>
        <w:rPr>
          <w:rFonts w:ascii="仿宋" w:hAnsi="仿宋"/>
          <w:b w:val="0"/>
          <w:sz w:val="30"/>
          <w:szCs w:val="30"/>
        </w:rPr>
      </w:pPr>
      <w:r>
        <w:rPr>
          <w:rFonts w:hint="eastAsia" w:ascii="仿宋" w:hAnsi="仿宋"/>
          <w:b w:val="0"/>
          <w:sz w:val="30"/>
          <w:szCs w:val="30"/>
        </w:rPr>
        <w:t>依据《中共中央国务院关于全面实施预算绩效管理的意见》（中发〔2018〕34 号）、《项目支出绩效评价管理办法》（财预〔2020〕10 号）和天津市财政局关于印发《天津市市级财政项目支出绩效评价管理办法》的通知（〔2020〕12号）等文件的相关要求，项目支出绩效目标是预算安排的前置条件，是预算绩效管理的主要依据之一。单位作为绩效目标编制和实施的责任主体，要提高绩效目标编制的规范性、完整性与预算资金的匹配性，在申请年度部门预算时，同步编制《项目支出预算绩效目标申报表》。项目支出绩效目标应填写完整，清晰反映部门使用财政资金开展项目的预期产出和效果，并以相应的绩效指标和标准予以细化、量化。</w:t>
      </w:r>
    </w:p>
    <w:p>
      <w:pPr>
        <w:pStyle w:val="53"/>
        <w:ind w:firstLine="600"/>
        <w:rPr>
          <w:rFonts w:ascii="仿宋" w:hAnsi="仿宋"/>
          <w:b w:val="0"/>
          <w:sz w:val="30"/>
          <w:szCs w:val="30"/>
        </w:rPr>
      </w:pPr>
      <w:r>
        <w:rPr>
          <w:rFonts w:hint="eastAsia" w:ascii="仿宋" w:hAnsi="仿宋"/>
          <w:b w:val="0"/>
          <w:sz w:val="30"/>
          <w:szCs w:val="30"/>
        </w:rPr>
        <w:t>津南区农业农村委员会应定期展开绩效管理工作培训，深化理解绩效管理工作必要性，贯彻落实财政绩效管理工作，规范绩效填报工作。绩效目标是对单位利用预算资金在本项目预期达到的产出和效果的具体描述，目标内容要能清晰反映预算资金预期开展的具体工作和预期产生的效益结果，文字尽量简明扼要，能反映该项工作的基本内容，绩效指标数量做到与绩效目标项对应，从而全面有效的反映项目的开展情况，全面有效的项目支出绩效指标也是开展运行监控、自评的重要工具，其自评的结果更是单位领导及财政局预算管理部门对于绩效结果应用的重要抓手。我们也建议津南区财政局，应加强项目支出绩效目标的申报与审核，建立健全相应的管理办法及制度文件，严格要求各预算单位认真开展和落实绩效目标申报工作，明确预算绩效主体，落实预算绩效内容。</w:t>
      </w:r>
    </w:p>
    <w:p>
      <w:pPr>
        <w:pStyle w:val="53"/>
        <w:ind w:firstLine="640"/>
        <w:rPr>
          <w:rFonts w:ascii="仿宋" w:hAnsi="仿宋"/>
          <w:sz w:val="32"/>
        </w:rPr>
      </w:pPr>
      <w:r>
        <w:rPr>
          <w:rFonts w:hint="eastAsia" w:ascii="仿宋" w:hAnsi="仿宋"/>
          <w:b w:val="0"/>
          <w:sz w:val="32"/>
          <w:szCs w:val="32"/>
        </w:rPr>
        <w:t>2、</w:t>
      </w:r>
      <w:r>
        <w:rPr>
          <w:rFonts w:hint="eastAsia" w:ascii="仿宋" w:hAnsi="仿宋"/>
          <w:sz w:val="32"/>
        </w:rPr>
        <w:t>提高施工监管力度</w:t>
      </w:r>
    </w:p>
    <w:p>
      <w:pPr>
        <w:pStyle w:val="53"/>
        <w:ind w:firstLine="600"/>
        <w:rPr>
          <w:rFonts w:ascii="仿宋" w:hAnsi="仿宋"/>
          <w:b w:val="0"/>
          <w:sz w:val="30"/>
          <w:szCs w:val="30"/>
        </w:rPr>
      </w:pPr>
      <w:r>
        <w:rPr>
          <w:rFonts w:hint="eastAsia" w:ascii="仿宋" w:hAnsi="仿宋"/>
          <w:b w:val="0"/>
          <w:sz w:val="30"/>
          <w:szCs w:val="30"/>
        </w:rPr>
        <w:t>对于施工周期较长、涉及区域面积较大的项目，在施工过程中，建设单位应合理安排施工计划，充分考虑项目建设期间可能会与当地百姓有接触。尽量减少夜间施工，合理安排运输时间，避免高峰时段占道堵塞交通，加强对施工人员的管理，避免与当地百姓发生矛盾或对当地百姓造成滋扰。同时做好项目文明施工，保持施工场地整洁、卫生。不仅要着重做好现场的场容管理工作，而且还要相应做好现场材料、设备、安全、技术、保卫、消防和生活卫生等方面的管理工作。</w:t>
      </w:r>
    </w:p>
    <w:p>
      <w:pPr>
        <w:pStyle w:val="32"/>
        <w:ind w:firstLine="560"/>
        <w:rPr>
          <w:rFonts w:ascii="仿宋" w:hAnsi="仿宋"/>
          <w:szCs w:val="28"/>
        </w:rPr>
        <w:sectPr>
          <w:headerReference r:id="rId12" w:type="default"/>
          <w:footerReference r:id="rId13" w:type="default"/>
          <w:pgSz w:w="11906" w:h="16838"/>
          <w:pgMar w:top="1440" w:right="1800" w:bottom="1440" w:left="1800" w:header="0" w:footer="454" w:gutter="0"/>
          <w:pgNumType w:fmt="decimal" w:start="1"/>
          <w:cols w:space="425" w:num="1"/>
          <w:docGrid w:type="lines" w:linePitch="326" w:charSpace="0"/>
        </w:sectPr>
      </w:pPr>
      <w:r>
        <w:rPr>
          <w:rFonts w:ascii="仿宋" w:hAnsi="仿宋"/>
        </w:rPr>
        <w:br w:type="page"/>
      </w:r>
    </w:p>
    <w:p>
      <w:pPr>
        <w:pStyle w:val="32"/>
        <w:spacing w:after="312"/>
        <w:ind w:firstLine="0" w:firstLineChars="0"/>
        <w:jc w:val="center"/>
        <w:outlineLvl w:val="0"/>
        <w:rPr>
          <w:rFonts w:ascii="仿宋" w:hAnsi="仿宋"/>
          <w:szCs w:val="28"/>
        </w:rPr>
      </w:pPr>
      <w:bookmarkStart w:id="37" w:name="_Toc91632817"/>
      <w:bookmarkStart w:id="38" w:name="_Toc87898966"/>
      <w:r>
        <w:rPr>
          <w:rFonts w:hint="eastAsia" w:ascii="仿宋" w:hAnsi="仿宋"/>
          <w:b/>
          <w:bCs/>
          <w:sz w:val="44"/>
          <w:szCs w:val="44"/>
        </w:rPr>
        <w:t>正文</w:t>
      </w:r>
      <w:bookmarkEnd w:id="37"/>
      <w:bookmarkEnd w:id="38"/>
    </w:p>
    <w:p>
      <w:pPr>
        <w:pStyle w:val="32"/>
        <w:spacing w:after="312"/>
        <w:ind w:firstLine="640"/>
        <w:rPr>
          <w:rFonts w:ascii="仿宋" w:hAnsi="仿宋"/>
          <w:sz w:val="32"/>
          <w:szCs w:val="32"/>
        </w:rPr>
      </w:pPr>
      <w:r>
        <w:rPr>
          <w:rFonts w:ascii="仿宋" w:hAnsi="仿宋"/>
          <w:sz w:val="32"/>
          <w:szCs w:val="32"/>
        </w:rPr>
        <w:t>为积极贯彻《中共中央国务院关于全面实施预算绩效管理的意见》（中发〔2018〕34 号）、《项目支出绩效评价管理办法》（财预〔2020〕10 号）</w:t>
      </w:r>
      <w:r>
        <w:rPr>
          <w:rFonts w:hint="eastAsia" w:ascii="仿宋" w:hAnsi="仿宋"/>
          <w:sz w:val="32"/>
          <w:szCs w:val="32"/>
        </w:rPr>
        <w:t>和天津市财政局关于印发《天津市市级财政项目支出绩效评价管理办法》的通知（〔</w:t>
      </w:r>
      <w:r>
        <w:rPr>
          <w:rFonts w:ascii="仿宋" w:hAnsi="仿宋"/>
          <w:sz w:val="32"/>
          <w:szCs w:val="32"/>
        </w:rPr>
        <w:t>2020〕12号</w:t>
      </w:r>
      <w:r>
        <w:rPr>
          <w:rFonts w:hint="eastAsia" w:ascii="仿宋" w:hAnsi="仿宋"/>
          <w:sz w:val="32"/>
          <w:szCs w:val="32"/>
        </w:rPr>
        <w:t>）等文件要求，</w:t>
      </w:r>
      <w:r>
        <w:rPr>
          <w:rFonts w:ascii="仿宋" w:hAnsi="仿宋"/>
          <w:sz w:val="32"/>
          <w:szCs w:val="32"/>
        </w:rPr>
        <w:t>更有效地利用财政资金，加强</w:t>
      </w:r>
      <w:r>
        <w:rPr>
          <w:rFonts w:hint="eastAsia" w:ascii="仿宋" w:hAnsi="仿宋"/>
          <w:sz w:val="32"/>
          <w:szCs w:val="32"/>
        </w:rPr>
        <w:t>天津市津南区财政局</w:t>
      </w:r>
      <w:r>
        <w:rPr>
          <w:rFonts w:ascii="仿宋" w:hAnsi="仿宋"/>
          <w:sz w:val="32"/>
          <w:szCs w:val="32"/>
        </w:rPr>
        <w:t>项目资金财政支出的经济性、效率性和有效性，完善预算管理基础，提高目标管理质量和评价的及时性，</w:t>
      </w:r>
      <w:r>
        <w:rPr>
          <w:rFonts w:hint="eastAsia" w:ascii="仿宋" w:hAnsi="仿宋"/>
          <w:sz w:val="32"/>
          <w:szCs w:val="32"/>
        </w:rPr>
        <w:t>受天津市津南区财政局委托，</w:t>
      </w:r>
      <w:r>
        <w:rPr>
          <w:rFonts w:hint="eastAsia" w:ascii="仿宋" w:hAnsi="仿宋"/>
          <w:bCs/>
          <w:sz w:val="32"/>
          <w:szCs w:val="32"/>
        </w:rPr>
        <w:t>天津安信管理咨询有限公司</w:t>
      </w:r>
      <w:r>
        <w:rPr>
          <w:rFonts w:ascii="仿宋" w:hAnsi="仿宋"/>
          <w:sz w:val="32"/>
          <w:szCs w:val="32"/>
        </w:rPr>
        <w:t>对</w:t>
      </w:r>
      <w:r>
        <w:rPr>
          <w:rFonts w:hint="eastAsia" w:ascii="仿宋" w:hAnsi="仿宋"/>
          <w:sz w:val="32"/>
          <w:szCs w:val="32"/>
        </w:rPr>
        <w:t>天津市津南区农业农村委员会2019年度造林绿化资金项目</w:t>
      </w:r>
      <w:r>
        <w:rPr>
          <w:rFonts w:ascii="仿宋" w:hAnsi="仿宋"/>
          <w:sz w:val="32"/>
          <w:szCs w:val="32"/>
        </w:rPr>
        <w:t>的</w:t>
      </w:r>
      <w:r>
        <w:rPr>
          <w:rFonts w:hint="eastAsia" w:ascii="仿宋" w:hAnsi="仿宋"/>
          <w:sz w:val="32"/>
          <w:szCs w:val="32"/>
        </w:rPr>
        <w:t>决策、过程、</w:t>
      </w:r>
      <w:r>
        <w:rPr>
          <w:rFonts w:ascii="仿宋" w:hAnsi="仿宋"/>
          <w:sz w:val="32"/>
          <w:szCs w:val="32"/>
        </w:rPr>
        <w:t>产出</w:t>
      </w:r>
      <w:r>
        <w:rPr>
          <w:rFonts w:hint="eastAsia" w:ascii="仿宋" w:hAnsi="仿宋"/>
          <w:sz w:val="32"/>
          <w:szCs w:val="32"/>
        </w:rPr>
        <w:t>及</w:t>
      </w:r>
      <w:r>
        <w:rPr>
          <w:rFonts w:ascii="仿宋" w:hAnsi="仿宋"/>
          <w:sz w:val="32"/>
          <w:szCs w:val="32"/>
        </w:rPr>
        <w:t>效果进行客观、公正的评价。评价</w:t>
      </w:r>
      <w:r>
        <w:rPr>
          <w:rFonts w:hint="eastAsia" w:ascii="仿宋" w:hAnsi="仿宋"/>
          <w:sz w:val="32"/>
          <w:szCs w:val="32"/>
        </w:rPr>
        <w:t>小</w:t>
      </w:r>
      <w:r>
        <w:rPr>
          <w:rFonts w:ascii="仿宋" w:hAnsi="仿宋"/>
          <w:sz w:val="32"/>
          <w:szCs w:val="32"/>
        </w:rPr>
        <w:t>组根据实地调研与指标分析，形成本报告。</w:t>
      </w:r>
    </w:p>
    <w:p>
      <w:pPr>
        <w:widowControl/>
        <w:spacing w:line="240" w:lineRule="auto"/>
        <w:ind w:firstLine="0" w:firstLineChars="0"/>
        <w:rPr>
          <w:rFonts w:ascii="仿宋" w:hAnsi="仿宋" w:cs="Times New Roman"/>
          <w:sz w:val="32"/>
          <w:szCs w:val="32"/>
        </w:rPr>
      </w:pPr>
      <w:r>
        <w:rPr>
          <w:rFonts w:ascii="仿宋" w:hAnsi="仿宋"/>
          <w:sz w:val="32"/>
          <w:szCs w:val="32"/>
        </w:rPr>
        <w:br w:type="page"/>
      </w:r>
    </w:p>
    <w:p>
      <w:pPr>
        <w:pStyle w:val="30"/>
      </w:pPr>
      <w:bookmarkStart w:id="39" w:name="_Toc91632818"/>
      <w:bookmarkStart w:id="40" w:name="_Toc65078806"/>
      <w:r>
        <w:rPr>
          <w:rFonts w:hint="eastAsia"/>
        </w:rPr>
        <w:t>一、基本情况</w:t>
      </w:r>
      <w:bookmarkEnd w:id="39"/>
      <w:bookmarkEnd w:id="40"/>
    </w:p>
    <w:p>
      <w:pPr>
        <w:pStyle w:val="28"/>
        <w:rPr>
          <w:szCs w:val="32"/>
        </w:rPr>
      </w:pPr>
      <w:bookmarkStart w:id="41" w:name="_Toc91632819"/>
      <w:bookmarkStart w:id="42" w:name="_Toc65078807"/>
      <w:r>
        <w:rPr>
          <w:rFonts w:hint="eastAsia"/>
          <w:szCs w:val="32"/>
        </w:rPr>
        <w:t>（一）项目概况</w:t>
      </w:r>
      <w:bookmarkEnd w:id="41"/>
      <w:bookmarkEnd w:id="42"/>
    </w:p>
    <w:p>
      <w:pPr>
        <w:pStyle w:val="34"/>
        <w:rPr>
          <w:rFonts w:ascii="仿宋" w:hAnsi="仿宋"/>
          <w:sz w:val="32"/>
        </w:rPr>
      </w:pPr>
      <w:bookmarkStart w:id="43" w:name="_Toc65078808"/>
      <w:r>
        <w:rPr>
          <w:rFonts w:hint="eastAsia" w:ascii="仿宋" w:hAnsi="仿宋"/>
          <w:sz w:val="32"/>
        </w:rPr>
        <w:t>1.立项背景及目的</w:t>
      </w:r>
      <w:bookmarkEnd w:id="43"/>
    </w:p>
    <w:p>
      <w:pPr>
        <w:pStyle w:val="32"/>
        <w:ind w:firstLine="600"/>
        <w:rPr>
          <w:rFonts w:ascii="仿宋" w:hAnsi="仿宋"/>
          <w:sz w:val="30"/>
          <w:szCs w:val="30"/>
        </w:rPr>
      </w:pPr>
      <w:bookmarkStart w:id="44" w:name="_Toc65078809"/>
      <w:r>
        <w:rPr>
          <w:rFonts w:hint="eastAsia" w:ascii="仿宋" w:hAnsi="仿宋"/>
          <w:sz w:val="30"/>
          <w:szCs w:val="30"/>
        </w:rPr>
        <w:t>生态文明是实现人与自然和谐发展的必然要求，生态文明建设是关系中华民族永续发展的根本大计。按照习近平主席关于生态文明建设系列讲话要求，为加快天津市生态文明建设、改善生态环境，2018年5月28日天津市第十七届人民代表大会常务委员会第三次会议通过《天津市人民代表大会常务委员会关于加强滨海新区与中心城区中间地带规划管控建设绿色生态屏障的决定》。决定指出：滨海新区与中心城区中间地带建设绿色生态屏障实行严格规划管控，分为一级管控区、二级管控区和三级管控区，要坚持以人为本、生态优先，提高城市发展持续性、宜居性的原则，加强滨海新区与中心城区中间地带规划管控、建设绿色生态屏障。</w:t>
      </w:r>
    </w:p>
    <w:p>
      <w:pPr>
        <w:pStyle w:val="32"/>
        <w:ind w:firstLine="600"/>
        <w:rPr>
          <w:rFonts w:ascii="仿宋" w:hAnsi="仿宋"/>
          <w:sz w:val="30"/>
          <w:szCs w:val="30"/>
        </w:rPr>
      </w:pPr>
      <w:r>
        <w:rPr>
          <w:rFonts w:hint="eastAsia" w:ascii="仿宋" w:hAnsi="仿宋"/>
          <w:sz w:val="30"/>
          <w:szCs w:val="30"/>
        </w:rPr>
        <w:t>2018年10月31日，天津市政府下发《天津市加强滨海新区和中心城区中间地带规划管控建设绿色生态屏障实施细则》对天津市滨海新区和中心城区中间地带规划管控地区（即生态屏障区）各级管控区范围、建设要求进行了明确规定。双城中间地带规划管控范围包含宁河区、东丽区、津南区、西青区、滨海新区，总面积 736 平方公里。</w:t>
      </w:r>
    </w:p>
    <w:p>
      <w:pPr>
        <w:pStyle w:val="32"/>
        <w:ind w:firstLine="600"/>
        <w:rPr>
          <w:rFonts w:ascii="仿宋" w:hAnsi="仿宋"/>
          <w:sz w:val="32"/>
          <w:szCs w:val="32"/>
        </w:rPr>
      </w:pPr>
      <w:r>
        <w:rPr>
          <w:rFonts w:hint="eastAsia" w:ascii="仿宋" w:hAnsi="仿宋"/>
          <w:sz w:val="30"/>
          <w:szCs w:val="30"/>
        </w:rPr>
        <w:t>津南区作为连接中心城区与滨海新区的重要节点，是绿色生态屏障区的主要区域，总面积达 330 平方公里，约占双城中间地带规划管控范围面积的 45%。为了积极推进绿色生态屏障的有效建设，津南区委区政府按照规划引导、分步实施的原则，提出津南区绿化造林工程。项目涉及辛庄镇、双桥河镇、葛沽镇、八里台镇、北闸口镇、小站镇、津南开发区等7个镇及区域，总面积约为 13605亩的造林绿化。</w:t>
      </w:r>
    </w:p>
    <w:p>
      <w:pPr>
        <w:pStyle w:val="34"/>
        <w:spacing w:line="480" w:lineRule="exact"/>
        <w:ind w:firstLine="643" w:firstLineChars="200"/>
        <w:rPr>
          <w:rFonts w:ascii="仿宋" w:hAnsi="仿宋"/>
          <w:sz w:val="32"/>
        </w:rPr>
      </w:pPr>
      <w:r>
        <w:rPr>
          <w:rFonts w:hint="eastAsia" w:ascii="仿宋" w:hAnsi="仿宋"/>
          <w:sz w:val="32"/>
        </w:rPr>
        <w:t>2.预算资金来源及使用情况</w:t>
      </w:r>
      <w:bookmarkEnd w:id="44"/>
    </w:p>
    <w:p>
      <w:pPr>
        <w:pStyle w:val="53"/>
        <w:ind w:firstLine="643"/>
        <w:rPr>
          <w:rFonts w:ascii="仿宋" w:hAnsi="仿宋"/>
          <w:sz w:val="32"/>
          <w:szCs w:val="32"/>
        </w:rPr>
      </w:pPr>
      <w:r>
        <w:rPr>
          <w:rFonts w:hint="eastAsia" w:ascii="仿宋" w:hAnsi="仿宋"/>
          <w:sz w:val="32"/>
          <w:szCs w:val="32"/>
        </w:rPr>
        <w:t>（</w:t>
      </w:r>
      <w:r>
        <w:rPr>
          <w:rFonts w:ascii="仿宋" w:hAnsi="仿宋"/>
          <w:sz w:val="32"/>
          <w:szCs w:val="32"/>
        </w:rPr>
        <w:t>1</w:t>
      </w:r>
      <w:r>
        <w:rPr>
          <w:rFonts w:hint="eastAsia" w:ascii="仿宋" w:hAnsi="仿宋"/>
          <w:sz w:val="32"/>
          <w:szCs w:val="32"/>
        </w:rPr>
        <w:t>）当年预算执行情况</w:t>
      </w:r>
    </w:p>
    <w:p>
      <w:pPr>
        <w:pStyle w:val="32"/>
        <w:ind w:firstLine="600"/>
        <w:rPr>
          <w:rFonts w:ascii="仿宋" w:hAnsi="仿宋"/>
          <w:sz w:val="30"/>
          <w:szCs w:val="30"/>
        </w:rPr>
      </w:pPr>
      <w:r>
        <w:rPr>
          <w:rFonts w:hint="eastAsia" w:ascii="仿宋" w:hAnsi="仿宋"/>
          <w:sz w:val="30"/>
          <w:szCs w:val="30"/>
        </w:rPr>
        <w:t>2019年度造林绿化资金项目2020年度预算资金为27351.623705万元，截至</w:t>
      </w:r>
      <w:r>
        <w:rPr>
          <w:rFonts w:ascii="仿宋" w:hAnsi="仿宋"/>
          <w:sz w:val="30"/>
          <w:szCs w:val="30"/>
        </w:rPr>
        <w:t>2020</w:t>
      </w:r>
      <w:r>
        <w:rPr>
          <w:rFonts w:hint="eastAsia" w:ascii="仿宋" w:hAnsi="仿宋"/>
          <w:sz w:val="30"/>
          <w:szCs w:val="30"/>
        </w:rPr>
        <w:t>年底，共计支出27351.623705万元，年末无结余，预算执行率为</w:t>
      </w:r>
      <w:r>
        <w:rPr>
          <w:rFonts w:ascii="仿宋" w:hAnsi="仿宋"/>
          <w:sz w:val="30"/>
          <w:szCs w:val="30"/>
        </w:rPr>
        <w:t>100</w:t>
      </w:r>
      <w:r>
        <w:rPr>
          <w:rFonts w:hint="eastAsia" w:ascii="仿宋" w:hAnsi="仿宋"/>
          <w:sz w:val="30"/>
          <w:szCs w:val="30"/>
        </w:rPr>
        <w:t>%。</w:t>
      </w:r>
    </w:p>
    <w:p>
      <w:pPr>
        <w:pStyle w:val="34"/>
        <w:rPr>
          <w:rFonts w:ascii="仿宋" w:hAnsi="仿宋"/>
          <w:sz w:val="32"/>
        </w:rPr>
      </w:pPr>
      <w:bookmarkStart w:id="45" w:name="_Toc65078810"/>
      <w:r>
        <w:rPr>
          <w:rFonts w:ascii="仿宋" w:hAnsi="仿宋"/>
          <w:sz w:val="32"/>
        </w:rPr>
        <w:t>3</w:t>
      </w:r>
      <w:r>
        <w:rPr>
          <w:rFonts w:hint="eastAsia" w:ascii="仿宋" w:hAnsi="仿宋"/>
          <w:sz w:val="32"/>
        </w:rPr>
        <w:t>.项目实施情况</w:t>
      </w:r>
      <w:bookmarkEnd w:id="45"/>
    </w:p>
    <w:p>
      <w:pPr>
        <w:pStyle w:val="32"/>
        <w:ind w:firstLine="600"/>
        <w:rPr>
          <w:rFonts w:ascii="仿宋" w:hAnsi="仿宋"/>
          <w:sz w:val="30"/>
          <w:szCs w:val="30"/>
        </w:rPr>
      </w:pPr>
      <w:r>
        <w:rPr>
          <w:rFonts w:hint="eastAsia" w:ascii="仿宋" w:hAnsi="仿宋"/>
          <w:sz w:val="30"/>
          <w:szCs w:val="30"/>
        </w:rPr>
        <w:t>本项目涉及津南区辛庄镇、双桥河镇、葛沽镇、八里台镇、北闸口镇、小站镇、津南开发区等7个镇及区域，总计 58个地块，项目建设总面积13593亩。建设内容主要包括：土方工程、绿化工程、道路铺装及附属工程、景观小品工程、给水灌溉工程、电气工程。工程建设总面积：绿化面积 9024 亩；道路及铺装面积 257.4亩；水域面积 2755.6 亩；其他面积包含复垦地、规划道路及河流道路退线等，总面积为 1556 亩。</w:t>
      </w:r>
    </w:p>
    <w:p>
      <w:pPr>
        <w:pStyle w:val="32"/>
        <w:ind w:firstLine="600"/>
        <w:rPr>
          <w:rFonts w:ascii="仿宋" w:hAnsi="仿宋"/>
          <w:sz w:val="30"/>
          <w:szCs w:val="30"/>
        </w:rPr>
      </w:pPr>
      <w:r>
        <w:rPr>
          <w:rFonts w:hint="eastAsia" w:ascii="仿宋" w:hAnsi="仿宋"/>
          <w:sz w:val="30"/>
          <w:szCs w:val="30"/>
        </w:rPr>
        <w:t>本项目于 2018 年 10 月开启前期工作， 2019 年 1 月开工，2019 年 12 月竣工验收，建设工期 15个月。</w:t>
      </w:r>
    </w:p>
    <w:p>
      <w:pPr>
        <w:pStyle w:val="32"/>
        <w:ind w:firstLine="600"/>
        <w:rPr>
          <w:rFonts w:ascii="仿宋" w:hAnsi="仿宋"/>
          <w:sz w:val="32"/>
          <w:szCs w:val="32"/>
        </w:rPr>
      </w:pPr>
      <w:r>
        <w:rPr>
          <w:rFonts w:hint="eastAsia" w:ascii="仿宋" w:hAnsi="仿宋"/>
          <w:sz w:val="30"/>
          <w:szCs w:val="30"/>
        </w:rPr>
        <w:t>本项目资金全部由津南区财政拨付。项目2020年度预算资金为27351.623705万元，截至</w:t>
      </w:r>
      <w:r>
        <w:rPr>
          <w:rFonts w:ascii="仿宋" w:hAnsi="仿宋"/>
          <w:sz w:val="30"/>
          <w:szCs w:val="30"/>
        </w:rPr>
        <w:t>2020</w:t>
      </w:r>
      <w:r>
        <w:rPr>
          <w:rFonts w:hint="eastAsia" w:ascii="仿宋" w:hAnsi="仿宋"/>
          <w:sz w:val="30"/>
          <w:szCs w:val="30"/>
        </w:rPr>
        <w:t>年底，共计支出27351.623705万元，年末无结余，预算执行率为</w:t>
      </w:r>
      <w:r>
        <w:rPr>
          <w:rFonts w:ascii="仿宋" w:hAnsi="仿宋"/>
          <w:sz w:val="30"/>
          <w:szCs w:val="30"/>
        </w:rPr>
        <w:t>100</w:t>
      </w:r>
      <w:r>
        <w:rPr>
          <w:rFonts w:hint="eastAsia" w:ascii="仿宋" w:hAnsi="仿宋"/>
          <w:sz w:val="30"/>
          <w:szCs w:val="30"/>
        </w:rPr>
        <w:t>%。</w:t>
      </w:r>
    </w:p>
    <w:p>
      <w:pPr>
        <w:pStyle w:val="34"/>
        <w:rPr>
          <w:rFonts w:ascii="仿宋" w:hAnsi="仿宋"/>
          <w:sz w:val="32"/>
        </w:rPr>
      </w:pPr>
      <w:bookmarkStart w:id="46" w:name="_Toc65078811"/>
      <w:r>
        <w:rPr>
          <w:rFonts w:hint="eastAsia" w:ascii="仿宋" w:hAnsi="仿宋"/>
          <w:sz w:val="32"/>
        </w:rPr>
        <w:t>4.组织与管理</w:t>
      </w:r>
      <w:bookmarkEnd w:id="46"/>
    </w:p>
    <w:p>
      <w:pPr>
        <w:pStyle w:val="53"/>
        <w:ind w:firstLine="643"/>
        <w:rPr>
          <w:rFonts w:ascii="仿宋" w:hAnsi="仿宋"/>
          <w:sz w:val="32"/>
          <w:szCs w:val="32"/>
        </w:rPr>
      </w:pPr>
      <w:r>
        <w:rPr>
          <w:rFonts w:hint="eastAsia" w:ascii="仿宋" w:hAnsi="仿宋"/>
          <w:sz w:val="32"/>
          <w:szCs w:val="32"/>
        </w:rPr>
        <w:t>（1）项目组织情况</w:t>
      </w:r>
    </w:p>
    <w:p>
      <w:pPr>
        <w:pStyle w:val="32"/>
        <w:ind w:firstLine="643"/>
        <w:rPr>
          <w:rFonts w:ascii="仿宋" w:hAnsi="仿宋" w:cs="仿宋"/>
          <w:sz w:val="30"/>
          <w:szCs w:val="30"/>
        </w:rPr>
      </w:pPr>
      <w:r>
        <w:rPr>
          <w:rFonts w:hint="eastAsia" w:ascii="仿宋" w:hAnsi="仿宋" w:cs="仿宋"/>
          <w:b/>
          <w:bCs/>
          <w:sz w:val="32"/>
          <w:szCs w:val="32"/>
        </w:rPr>
        <w:t>天津市津南区财政局：</w:t>
      </w:r>
      <w:r>
        <w:rPr>
          <w:rFonts w:hint="eastAsia" w:ascii="仿宋" w:hAnsi="仿宋" w:cs="仿宋"/>
          <w:sz w:val="30"/>
          <w:szCs w:val="30"/>
        </w:rPr>
        <w:t>负责审核预（决）算草案、预算拨付及监督预算执行。</w:t>
      </w:r>
    </w:p>
    <w:p>
      <w:pPr>
        <w:pStyle w:val="32"/>
        <w:ind w:firstLine="643"/>
        <w:rPr>
          <w:rFonts w:ascii="仿宋" w:hAnsi="仿宋" w:cs="仿宋"/>
          <w:sz w:val="30"/>
          <w:szCs w:val="30"/>
        </w:rPr>
      </w:pPr>
      <w:r>
        <w:rPr>
          <w:rFonts w:hint="eastAsia" w:ascii="仿宋" w:hAnsi="仿宋" w:cs="仿宋"/>
          <w:b/>
          <w:bCs/>
          <w:sz w:val="32"/>
          <w:szCs w:val="32"/>
        </w:rPr>
        <w:t>天津市津南区发展和改革委员会：</w:t>
      </w:r>
      <w:r>
        <w:rPr>
          <w:rFonts w:hint="eastAsia" w:ascii="仿宋" w:hAnsi="仿宋" w:cs="仿宋"/>
          <w:sz w:val="30"/>
          <w:szCs w:val="30"/>
        </w:rPr>
        <w:t>批复津南区2019年度造林绿化资金项目建议书、可行性研究报告。</w:t>
      </w:r>
    </w:p>
    <w:p>
      <w:pPr>
        <w:pStyle w:val="32"/>
        <w:ind w:firstLine="643"/>
        <w:rPr>
          <w:rFonts w:ascii="仿宋" w:hAnsi="仿宋"/>
          <w:b/>
          <w:sz w:val="32"/>
          <w:szCs w:val="32"/>
          <w:lang w:bidi="zh-CN"/>
        </w:rPr>
      </w:pPr>
      <w:r>
        <w:rPr>
          <w:rFonts w:hint="eastAsia" w:ascii="仿宋" w:hAnsi="仿宋"/>
          <w:b/>
          <w:sz w:val="32"/>
          <w:szCs w:val="32"/>
          <w:lang w:bidi="zh-CN"/>
        </w:rPr>
        <w:t>天津市津南区农业农村委员会</w:t>
      </w:r>
      <w:r>
        <w:rPr>
          <w:rFonts w:ascii="仿宋" w:hAnsi="仿宋"/>
          <w:b/>
          <w:sz w:val="32"/>
          <w:szCs w:val="32"/>
          <w:lang w:bidi="zh-CN"/>
        </w:rPr>
        <w:t>：</w:t>
      </w:r>
      <w:r>
        <w:rPr>
          <w:rFonts w:ascii="仿宋" w:hAnsi="仿宋"/>
          <w:bCs/>
          <w:sz w:val="30"/>
          <w:szCs w:val="30"/>
          <w:lang w:bidi="zh-CN"/>
        </w:rPr>
        <w:t>对</w:t>
      </w:r>
      <w:r>
        <w:rPr>
          <w:rFonts w:ascii="仿宋" w:hAnsi="仿宋"/>
          <w:sz w:val="30"/>
          <w:szCs w:val="30"/>
          <w:lang w:bidi="zh-CN"/>
        </w:rPr>
        <w:t>项目进行立项</w:t>
      </w:r>
      <w:r>
        <w:rPr>
          <w:rFonts w:hint="eastAsia" w:ascii="仿宋" w:hAnsi="仿宋"/>
          <w:sz w:val="30"/>
          <w:szCs w:val="30"/>
          <w:lang w:bidi="zh-CN"/>
        </w:rPr>
        <w:t>，</w:t>
      </w:r>
      <w:r>
        <w:rPr>
          <w:rFonts w:ascii="仿宋" w:hAnsi="仿宋"/>
          <w:sz w:val="30"/>
          <w:szCs w:val="30"/>
          <w:lang w:bidi="zh-CN"/>
        </w:rPr>
        <w:t>纳入部门预算上报至</w:t>
      </w:r>
      <w:r>
        <w:rPr>
          <w:rFonts w:hint="eastAsia" w:ascii="仿宋" w:hAnsi="仿宋"/>
          <w:sz w:val="30"/>
          <w:szCs w:val="30"/>
          <w:lang w:bidi="zh-CN"/>
        </w:rPr>
        <w:t>区</w:t>
      </w:r>
      <w:r>
        <w:rPr>
          <w:rFonts w:ascii="仿宋" w:hAnsi="仿宋"/>
          <w:sz w:val="30"/>
          <w:szCs w:val="30"/>
          <w:lang w:bidi="zh-CN"/>
        </w:rPr>
        <w:t>财政局</w:t>
      </w:r>
      <w:r>
        <w:rPr>
          <w:rFonts w:hint="eastAsia" w:ascii="仿宋" w:hAnsi="仿宋"/>
          <w:sz w:val="30"/>
          <w:szCs w:val="30"/>
          <w:lang w:bidi="zh-CN"/>
        </w:rPr>
        <w:t>并对项目执行实施。</w:t>
      </w:r>
    </w:p>
    <w:p>
      <w:pPr>
        <w:pStyle w:val="53"/>
        <w:ind w:firstLine="643"/>
        <w:rPr>
          <w:rFonts w:ascii="仿宋" w:hAnsi="仿宋"/>
          <w:sz w:val="32"/>
          <w:szCs w:val="32"/>
        </w:rPr>
      </w:pPr>
      <w:r>
        <w:rPr>
          <w:rFonts w:hint="eastAsia" w:ascii="仿宋" w:hAnsi="仿宋"/>
          <w:sz w:val="32"/>
          <w:szCs w:val="32"/>
        </w:rPr>
        <w:t>（2）项目管理情况</w:t>
      </w:r>
    </w:p>
    <w:p>
      <w:pPr>
        <w:pStyle w:val="53"/>
        <w:ind w:firstLine="643"/>
        <w:rPr>
          <w:rFonts w:ascii="仿宋" w:hAnsi="仿宋"/>
          <w:sz w:val="32"/>
          <w:szCs w:val="32"/>
          <w:lang w:bidi="zh-CN"/>
        </w:rPr>
      </w:pPr>
      <w:r>
        <w:rPr>
          <w:rFonts w:ascii="仿宋" w:hAnsi="仿宋"/>
          <w:sz w:val="32"/>
          <w:szCs w:val="32"/>
          <w:lang w:bidi="zh-CN"/>
        </w:rPr>
        <w:t>1</w:t>
      </w:r>
      <w:r>
        <w:rPr>
          <w:rFonts w:hint="eastAsia" w:ascii="仿宋" w:hAnsi="仿宋"/>
          <w:sz w:val="32"/>
          <w:szCs w:val="32"/>
          <w:lang w:bidi="zh-CN"/>
        </w:rPr>
        <w:t>）业务管理</w:t>
      </w:r>
    </w:p>
    <w:p>
      <w:pPr>
        <w:pStyle w:val="32"/>
        <w:ind w:firstLine="600"/>
        <w:rPr>
          <w:rFonts w:ascii="仿宋" w:hAnsi="仿宋"/>
          <w:sz w:val="30"/>
          <w:szCs w:val="30"/>
        </w:rPr>
      </w:pPr>
      <w:r>
        <w:rPr>
          <w:rFonts w:hint="eastAsia" w:ascii="仿宋" w:hAnsi="仿宋"/>
          <w:sz w:val="30"/>
          <w:szCs w:val="30"/>
        </w:rPr>
        <w:t>天津市津南区农业农村委员会负责2019年造林绿化资金项目立项、申报、组织实施、建设及对 EPC 总承包商的监督审核工作。天津市津南区发展和改革委员会负责对农业农村委员会申请的项目进行审批，同意后由津南区财政局进行财政拨付用于项目建设。</w:t>
      </w:r>
    </w:p>
    <w:p>
      <w:pPr>
        <w:pStyle w:val="53"/>
        <w:ind w:firstLine="643"/>
        <w:rPr>
          <w:rFonts w:ascii="仿宋" w:hAnsi="仿宋"/>
          <w:sz w:val="32"/>
          <w:szCs w:val="32"/>
          <w:lang w:bidi="zh-CN"/>
        </w:rPr>
      </w:pPr>
      <w:r>
        <w:rPr>
          <w:rFonts w:hint="eastAsia" w:ascii="仿宋" w:hAnsi="仿宋"/>
          <w:sz w:val="32"/>
          <w:szCs w:val="32"/>
          <w:lang w:bidi="zh-CN"/>
        </w:rPr>
        <w:t>2）财务管理</w:t>
      </w:r>
    </w:p>
    <w:p>
      <w:pPr>
        <w:pStyle w:val="32"/>
        <w:ind w:firstLine="600"/>
        <w:rPr>
          <w:rFonts w:ascii="仿宋" w:hAnsi="仿宋"/>
          <w:sz w:val="30"/>
          <w:szCs w:val="30"/>
          <w:lang w:bidi="zh-CN"/>
        </w:rPr>
      </w:pPr>
      <w:r>
        <w:rPr>
          <w:rFonts w:hint="eastAsia" w:ascii="仿宋" w:hAnsi="仿宋"/>
          <w:sz w:val="30"/>
          <w:szCs w:val="30"/>
          <w:lang w:bidi="zh-CN"/>
        </w:rPr>
        <w:t>本项目资金来源为天津市津南区财政局，财务管理严格遵循《天津市部门预算管理办法》、市财政局印发《行政单位财务规则》（财政部令第</w:t>
      </w:r>
      <w:r>
        <w:rPr>
          <w:rFonts w:ascii="仿宋" w:hAnsi="仿宋"/>
          <w:sz w:val="30"/>
          <w:szCs w:val="30"/>
          <w:lang w:bidi="zh-CN"/>
        </w:rPr>
        <w:t>71号</w:t>
      </w:r>
      <w:r>
        <w:rPr>
          <w:rFonts w:hint="eastAsia" w:ascii="仿宋" w:hAnsi="仿宋"/>
          <w:sz w:val="30"/>
          <w:szCs w:val="30"/>
          <w:lang w:bidi="zh-CN"/>
        </w:rPr>
        <w:t>）等政策文件要求执行。资金发放由单位组织开展党组会研究决定资金拨付事宜，向区财政局申请资金，领导审批流程，资金发放后，财务人员根据业务科室提供单据信息在区财政局统一的财务系统中进行电子账务录入，并将原始凭证归档保留。</w:t>
      </w:r>
    </w:p>
    <w:p>
      <w:pPr>
        <w:pStyle w:val="28"/>
        <w:rPr>
          <w:szCs w:val="32"/>
          <w:lang w:bidi="zh-CN"/>
        </w:rPr>
      </w:pPr>
      <w:bookmarkStart w:id="47" w:name="_Toc65078812"/>
      <w:bookmarkStart w:id="48" w:name="_Toc91632820"/>
      <w:r>
        <w:rPr>
          <w:rFonts w:hint="eastAsia"/>
          <w:szCs w:val="32"/>
          <w:lang w:bidi="zh-CN"/>
        </w:rPr>
        <w:t>（二）项目绩效目标</w:t>
      </w:r>
      <w:bookmarkEnd w:id="47"/>
      <w:bookmarkEnd w:id="48"/>
    </w:p>
    <w:p>
      <w:pPr>
        <w:pStyle w:val="34"/>
        <w:rPr>
          <w:rFonts w:ascii="仿宋" w:hAnsi="仿宋" w:cs="仿宋"/>
          <w:sz w:val="32"/>
        </w:rPr>
      </w:pPr>
      <w:bookmarkStart w:id="49" w:name="_Toc65078813"/>
      <w:r>
        <w:rPr>
          <w:rFonts w:hint="eastAsia" w:ascii="仿宋" w:hAnsi="仿宋"/>
          <w:sz w:val="32"/>
          <w:lang w:bidi="zh-CN"/>
        </w:rPr>
        <w:t>1.</w:t>
      </w:r>
      <w:bookmarkEnd w:id="49"/>
      <w:r>
        <w:rPr>
          <w:rFonts w:hint="eastAsia" w:ascii="仿宋" w:hAnsi="仿宋" w:cs="仿宋"/>
          <w:sz w:val="32"/>
        </w:rPr>
        <w:t>绩效目标申报表</w:t>
      </w:r>
    </w:p>
    <w:p>
      <w:pPr>
        <w:pStyle w:val="32"/>
        <w:ind w:firstLine="600"/>
        <w:rPr>
          <w:rFonts w:ascii="仿宋" w:hAnsi="仿宋"/>
          <w:sz w:val="30"/>
          <w:szCs w:val="30"/>
          <w:lang w:bidi="zh-CN"/>
        </w:rPr>
      </w:pPr>
      <w:r>
        <w:rPr>
          <w:rFonts w:hint="eastAsia" w:ascii="仿宋" w:hAnsi="仿宋"/>
          <w:sz w:val="30"/>
          <w:szCs w:val="30"/>
          <w:lang w:bidi="zh-CN"/>
        </w:rPr>
        <w:t>该项目申报期间，未填报项目支出绩效目标表。</w:t>
      </w:r>
    </w:p>
    <w:p>
      <w:pPr>
        <w:pStyle w:val="34"/>
        <w:rPr>
          <w:rFonts w:ascii="仿宋" w:hAnsi="仿宋"/>
          <w:sz w:val="32"/>
          <w:lang w:bidi="zh-CN"/>
        </w:rPr>
      </w:pPr>
      <w:bookmarkStart w:id="50" w:name="_Toc65078814"/>
      <w:r>
        <w:rPr>
          <w:rFonts w:hint="eastAsia" w:ascii="仿宋" w:hAnsi="仿宋"/>
          <w:sz w:val="32"/>
          <w:lang w:bidi="zh-CN"/>
        </w:rPr>
        <w:t>2.</w:t>
      </w:r>
      <w:bookmarkEnd w:id="50"/>
      <w:r>
        <w:rPr>
          <w:rFonts w:ascii="仿宋" w:hAnsi="仿宋"/>
          <w:sz w:val="32"/>
          <w:lang w:bidi="zh-CN"/>
        </w:rPr>
        <w:t>年度绩效目标</w:t>
      </w:r>
    </w:p>
    <w:p>
      <w:pPr>
        <w:pStyle w:val="53"/>
        <w:ind w:firstLine="643"/>
        <w:rPr>
          <w:rFonts w:ascii="仿宋" w:hAnsi="仿宋"/>
          <w:sz w:val="32"/>
          <w:szCs w:val="32"/>
        </w:rPr>
      </w:pPr>
      <w:r>
        <w:rPr>
          <w:rFonts w:hint="eastAsia" w:ascii="仿宋" w:hAnsi="仿宋"/>
          <w:sz w:val="32"/>
          <w:szCs w:val="32"/>
        </w:rPr>
        <w:t>（1）产出目标</w:t>
      </w:r>
    </w:p>
    <w:p>
      <w:pPr>
        <w:pStyle w:val="32"/>
        <w:ind w:firstLine="600"/>
        <w:rPr>
          <w:rFonts w:ascii="仿宋" w:hAnsi="仿宋"/>
          <w:sz w:val="30"/>
          <w:szCs w:val="30"/>
          <w:lang w:bidi="zh-CN"/>
        </w:rPr>
      </w:pPr>
      <w:r>
        <w:rPr>
          <w:rFonts w:hint="eastAsia" w:ascii="仿宋" w:hAnsi="仿宋"/>
          <w:sz w:val="30"/>
          <w:szCs w:val="30"/>
          <w:lang w:bidi="zh-CN"/>
        </w:rPr>
        <w:t>天津市津南区农业农村委员会对2019年造林绿化项目按照津南区发展和改革委员会的批复文件进行建设。</w:t>
      </w:r>
    </w:p>
    <w:p>
      <w:pPr>
        <w:pStyle w:val="53"/>
        <w:ind w:firstLine="643"/>
        <w:rPr>
          <w:rFonts w:ascii="仿宋" w:hAnsi="仿宋"/>
          <w:sz w:val="32"/>
          <w:szCs w:val="32"/>
        </w:rPr>
      </w:pPr>
      <w:r>
        <w:rPr>
          <w:rFonts w:hint="eastAsia" w:ascii="仿宋" w:hAnsi="仿宋"/>
          <w:sz w:val="32"/>
          <w:szCs w:val="32"/>
        </w:rPr>
        <w:t>（</w:t>
      </w:r>
      <w:r>
        <w:rPr>
          <w:rFonts w:ascii="仿宋" w:hAnsi="仿宋"/>
          <w:sz w:val="32"/>
          <w:szCs w:val="32"/>
        </w:rPr>
        <w:t>2</w:t>
      </w:r>
      <w:r>
        <w:rPr>
          <w:rFonts w:hint="eastAsia" w:ascii="仿宋" w:hAnsi="仿宋"/>
          <w:sz w:val="32"/>
          <w:szCs w:val="32"/>
        </w:rPr>
        <w:t>）效益目标</w:t>
      </w:r>
    </w:p>
    <w:p>
      <w:pPr>
        <w:pStyle w:val="32"/>
        <w:ind w:firstLine="600"/>
        <w:rPr>
          <w:rFonts w:ascii="仿宋" w:hAnsi="仿宋"/>
          <w:b/>
          <w:bCs/>
          <w:kern w:val="44"/>
          <w:sz w:val="30"/>
          <w:szCs w:val="30"/>
        </w:rPr>
      </w:pPr>
      <w:bookmarkStart w:id="51" w:name="_Toc65078815"/>
      <w:r>
        <w:rPr>
          <w:rFonts w:hint="eastAsia" w:ascii="仿宋" w:hAnsi="仿宋" w:cs="仿宋"/>
          <w:sz w:val="30"/>
          <w:szCs w:val="30"/>
          <w:lang w:bidi="zh-CN"/>
        </w:rPr>
        <w:t>本项目实施后能够有效的改善京津冀地区的生态环境，使实施区域遭到破坏的生态系统得到修补，提升区域绿化率和绿化质量，人口居住环境，加强城镇基础设施建设，促进城镇整体建设水平提升，加快津南区绿色生态屏障建设，并推进双城中间地带规划管控建设绿色生态屏障的总体进度。</w:t>
      </w:r>
      <w:r>
        <w:rPr>
          <w:rFonts w:ascii="仿宋" w:hAnsi="仿宋"/>
          <w:sz w:val="30"/>
          <w:szCs w:val="30"/>
        </w:rPr>
        <w:br w:type="page"/>
      </w:r>
    </w:p>
    <w:p>
      <w:pPr>
        <w:pStyle w:val="30"/>
      </w:pPr>
      <w:bookmarkStart w:id="52" w:name="_Toc91632821"/>
      <w:r>
        <w:rPr>
          <w:rFonts w:hint="eastAsia"/>
        </w:rPr>
        <w:t>二、绩效评价工作开展情况</w:t>
      </w:r>
      <w:bookmarkEnd w:id="51"/>
      <w:bookmarkEnd w:id="52"/>
    </w:p>
    <w:p>
      <w:pPr>
        <w:pStyle w:val="28"/>
        <w:rPr>
          <w:szCs w:val="32"/>
        </w:rPr>
      </w:pPr>
      <w:bookmarkStart w:id="53" w:name="_Toc65078816"/>
      <w:bookmarkStart w:id="54" w:name="_Toc91632822"/>
      <w:r>
        <w:rPr>
          <w:rFonts w:hint="eastAsia"/>
          <w:szCs w:val="32"/>
        </w:rPr>
        <w:t>（一）绩效评价目的</w:t>
      </w:r>
      <w:bookmarkEnd w:id="53"/>
      <w:bookmarkEnd w:id="54"/>
    </w:p>
    <w:p>
      <w:pPr>
        <w:pStyle w:val="32"/>
        <w:ind w:firstLine="600"/>
        <w:rPr>
          <w:rFonts w:ascii="仿宋" w:hAnsi="仿宋"/>
          <w:sz w:val="30"/>
          <w:szCs w:val="30"/>
          <w:lang w:bidi="zh-CN"/>
        </w:rPr>
      </w:pPr>
      <w:r>
        <w:rPr>
          <w:rFonts w:ascii="仿宋" w:hAnsi="仿宋"/>
          <w:sz w:val="30"/>
          <w:szCs w:val="30"/>
          <w:lang w:bidi="zh-CN"/>
        </w:rPr>
        <w:t>财政支出绩效评价旨在通过评价改善财政支出管理，优化资源配置及提高公共服务水平。本次绩效评价工作是</w:t>
      </w:r>
      <w:r>
        <w:rPr>
          <w:rFonts w:hint="eastAsia" w:ascii="仿宋" w:hAnsi="仿宋"/>
          <w:sz w:val="30"/>
          <w:szCs w:val="30"/>
          <w:lang w:bidi="zh-CN"/>
        </w:rPr>
        <w:t>对</w:t>
      </w:r>
      <w:r>
        <w:rPr>
          <w:rFonts w:hint="eastAsia" w:ascii="仿宋" w:hAnsi="仿宋"/>
          <w:sz w:val="30"/>
          <w:szCs w:val="30"/>
        </w:rPr>
        <w:t>2019年度造林绿化资金项目</w:t>
      </w:r>
      <w:r>
        <w:rPr>
          <w:rFonts w:ascii="仿宋" w:hAnsi="仿宋"/>
          <w:sz w:val="30"/>
          <w:szCs w:val="30"/>
          <w:lang w:bidi="zh-CN"/>
        </w:rPr>
        <w:t>资金的使用及效果进行绩效评价，收集项目资金相关数据和绩效信息并进行汇总分析，</w:t>
      </w:r>
      <w:r>
        <w:rPr>
          <w:rFonts w:ascii="仿宋" w:hAnsi="仿宋"/>
          <w:sz w:val="30"/>
          <w:szCs w:val="30"/>
        </w:rPr>
        <w:t>围绕项目决策、资金管理、组织实施和项目产出和效益等多个角度考察项目目标实现情况、预算执行情况和项目整体效果，发现项目推进及资金使用各管理环节中的问题</w:t>
      </w:r>
      <w:r>
        <w:rPr>
          <w:rFonts w:ascii="仿宋" w:hAnsi="仿宋"/>
          <w:sz w:val="30"/>
          <w:szCs w:val="30"/>
          <w:lang w:bidi="zh-CN"/>
        </w:rPr>
        <w:t>，</w:t>
      </w:r>
      <w:r>
        <w:rPr>
          <w:rFonts w:ascii="仿宋" w:hAnsi="仿宋"/>
          <w:sz w:val="30"/>
          <w:szCs w:val="30"/>
        </w:rPr>
        <w:t>为提高</w:t>
      </w:r>
      <w:r>
        <w:rPr>
          <w:rFonts w:hint="eastAsia" w:ascii="仿宋" w:hAnsi="仿宋"/>
          <w:sz w:val="30"/>
          <w:szCs w:val="30"/>
        </w:rPr>
        <w:t>天津市津南区农业农村委员会</w:t>
      </w:r>
      <w:r>
        <w:rPr>
          <w:rFonts w:ascii="仿宋" w:hAnsi="仿宋"/>
          <w:sz w:val="30"/>
          <w:szCs w:val="30"/>
        </w:rPr>
        <w:t>财政资金使用效益和后续年度项目的有效实施以及相关政策制定及调整提供合理建议</w:t>
      </w:r>
      <w:r>
        <w:rPr>
          <w:rFonts w:hint="eastAsia" w:ascii="仿宋" w:hAnsi="仿宋"/>
          <w:sz w:val="30"/>
          <w:szCs w:val="30"/>
        </w:rPr>
        <w:t>，</w:t>
      </w:r>
      <w:r>
        <w:rPr>
          <w:rFonts w:ascii="仿宋" w:hAnsi="仿宋"/>
          <w:sz w:val="30"/>
          <w:szCs w:val="30"/>
          <w:lang w:bidi="zh-CN"/>
        </w:rPr>
        <w:t>促进</w:t>
      </w:r>
      <w:r>
        <w:rPr>
          <w:rFonts w:hint="eastAsia" w:ascii="仿宋" w:hAnsi="仿宋"/>
          <w:sz w:val="30"/>
          <w:szCs w:val="30"/>
          <w:lang w:bidi="zh-CN"/>
        </w:rPr>
        <w:t>单位</w:t>
      </w:r>
      <w:r>
        <w:rPr>
          <w:rFonts w:ascii="仿宋" w:hAnsi="仿宋"/>
          <w:sz w:val="30"/>
          <w:szCs w:val="30"/>
          <w:lang w:bidi="zh-CN"/>
        </w:rPr>
        <w:t>预算管理不断完善，加快绩效目标的实现，保证财政资金有效、合理使用。</w:t>
      </w:r>
    </w:p>
    <w:p>
      <w:pPr>
        <w:pStyle w:val="28"/>
        <w:rPr>
          <w:szCs w:val="32"/>
          <w:lang w:bidi="zh-CN"/>
        </w:rPr>
      </w:pPr>
      <w:bookmarkStart w:id="55" w:name="_Toc65078817"/>
      <w:bookmarkStart w:id="56" w:name="_Toc91632823"/>
      <w:r>
        <w:rPr>
          <w:rFonts w:hint="eastAsia"/>
          <w:szCs w:val="32"/>
          <w:lang w:bidi="zh-CN"/>
        </w:rPr>
        <w:t>（二）绩效评价原则及方法</w:t>
      </w:r>
      <w:bookmarkEnd w:id="55"/>
      <w:bookmarkEnd w:id="56"/>
    </w:p>
    <w:p>
      <w:pPr>
        <w:pStyle w:val="34"/>
        <w:spacing w:line="480" w:lineRule="exact"/>
        <w:rPr>
          <w:rFonts w:ascii="仿宋" w:hAnsi="仿宋"/>
          <w:sz w:val="32"/>
          <w:lang w:bidi="zh-CN"/>
        </w:rPr>
      </w:pPr>
      <w:bookmarkStart w:id="57" w:name="_Toc65078818"/>
      <w:bookmarkStart w:id="58" w:name="_Toc55652899"/>
      <w:bookmarkStart w:id="59" w:name="_Toc59411815"/>
      <w:r>
        <w:rPr>
          <w:rFonts w:hint="eastAsia" w:ascii="仿宋" w:hAnsi="仿宋"/>
          <w:sz w:val="32"/>
          <w:lang w:bidi="zh-CN"/>
        </w:rPr>
        <w:t>1</w:t>
      </w:r>
      <w:r>
        <w:rPr>
          <w:rFonts w:ascii="仿宋" w:hAnsi="仿宋"/>
          <w:sz w:val="32"/>
          <w:lang w:bidi="zh-CN"/>
        </w:rPr>
        <w:t>.</w:t>
      </w:r>
      <w:r>
        <w:rPr>
          <w:rFonts w:hint="eastAsia" w:ascii="仿宋" w:hAnsi="仿宋"/>
          <w:sz w:val="32"/>
          <w:lang w:bidi="zh-CN"/>
        </w:rPr>
        <w:t>评价原则</w:t>
      </w:r>
      <w:bookmarkEnd w:id="57"/>
      <w:bookmarkEnd w:id="58"/>
      <w:bookmarkEnd w:id="59"/>
    </w:p>
    <w:p>
      <w:pPr>
        <w:pStyle w:val="32"/>
        <w:ind w:firstLine="600"/>
        <w:rPr>
          <w:rFonts w:ascii="仿宋" w:hAnsi="仿宋"/>
          <w:sz w:val="30"/>
          <w:szCs w:val="30"/>
          <w:lang w:bidi="zh-CN"/>
        </w:rPr>
      </w:pPr>
      <w:r>
        <w:rPr>
          <w:rFonts w:ascii="仿宋" w:hAnsi="仿宋"/>
          <w:sz w:val="30"/>
          <w:szCs w:val="30"/>
        </w:rPr>
        <w:t>本次绩效评价依据《中共中央国务院关于全面实施预算绩效管理的意见》（中发〔2018〕34 号）、《项目支出绩效评价管理办法》（财预〔2020〕10 号）</w:t>
      </w:r>
      <w:r>
        <w:rPr>
          <w:rFonts w:hint="eastAsia" w:ascii="仿宋" w:hAnsi="仿宋"/>
          <w:sz w:val="30"/>
          <w:szCs w:val="30"/>
        </w:rPr>
        <w:t>和天津市财政局关于印发《天津市市级财政项目支出绩效评价管理办法》的通知（〔</w:t>
      </w:r>
      <w:r>
        <w:rPr>
          <w:rFonts w:ascii="仿宋" w:hAnsi="仿宋"/>
          <w:sz w:val="30"/>
          <w:szCs w:val="30"/>
        </w:rPr>
        <w:t>2020〕12号</w:t>
      </w:r>
      <w:r>
        <w:rPr>
          <w:rFonts w:hint="eastAsia" w:ascii="仿宋" w:hAnsi="仿宋"/>
          <w:sz w:val="30"/>
          <w:szCs w:val="30"/>
        </w:rPr>
        <w:t>）</w:t>
      </w:r>
      <w:r>
        <w:rPr>
          <w:rFonts w:ascii="仿宋" w:hAnsi="仿宋"/>
          <w:sz w:val="30"/>
          <w:szCs w:val="30"/>
        </w:rPr>
        <w:t xml:space="preserve">的相关要求，按照从投入管理到产出、效果和影响力的绩效逻辑路径，结合 </w:t>
      </w:r>
      <w:r>
        <w:rPr>
          <w:rFonts w:hint="eastAsia" w:ascii="仿宋" w:hAnsi="仿宋"/>
          <w:sz w:val="30"/>
          <w:szCs w:val="30"/>
        </w:rPr>
        <w:t>2019年度造林绿化资金项目</w:t>
      </w:r>
      <w:r>
        <w:rPr>
          <w:rFonts w:ascii="仿宋" w:hAnsi="仿宋"/>
          <w:sz w:val="30"/>
          <w:szCs w:val="30"/>
        </w:rPr>
        <w:t>的实际情况，通过指标设计和量化分析检验公共支出的效果。从项目决策、项目管理和项目绩效等方面，综合考察项目的完成情况、取得的成绩及效益，运用定量和定性分析相结合的方法，总结经验做法和项目实施、管理中的问题，并给出合理建议，以切实提升财政资金管理的科学化、规范化和精细化水平。</w:t>
      </w:r>
    </w:p>
    <w:p>
      <w:pPr>
        <w:pStyle w:val="32"/>
        <w:ind w:firstLine="600"/>
        <w:rPr>
          <w:rFonts w:ascii="仿宋" w:hAnsi="仿宋"/>
          <w:sz w:val="30"/>
          <w:szCs w:val="30"/>
          <w:lang w:bidi="zh-CN"/>
        </w:rPr>
      </w:pPr>
      <w:r>
        <w:rPr>
          <w:rFonts w:hint="eastAsia" w:ascii="仿宋" w:hAnsi="仿宋"/>
          <w:sz w:val="30"/>
          <w:szCs w:val="30"/>
          <w:lang w:bidi="zh-CN"/>
        </w:rPr>
        <w:t>本次</w:t>
      </w:r>
      <w:r>
        <w:rPr>
          <w:rFonts w:ascii="仿宋" w:hAnsi="仿宋"/>
          <w:sz w:val="30"/>
          <w:szCs w:val="30"/>
          <w:lang w:bidi="zh-CN"/>
        </w:rPr>
        <w:t>绩效评价遵循以下基本原则：</w:t>
      </w:r>
    </w:p>
    <w:p>
      <w:pPr>
        <w:pStyle w:val="53"/>
        <w:ind w:firstLine="602"/>
        <w:rPr>
          <w:rFonts w:ascii="仿宋" w:hAnsi="仿宋"/>
          <w:sz w:val="30"/>
          <w:szCs w:val="30"/>
          <w:lang w:bidi="zh-CN"/>
        </w:rPr>
      </w:pPr>
      <w:r>
        <w:rPr>
          <w:rFonts w:ascii="仿宋" w:hAnsi="仿宋"/>
          <w:sz w:val="30"/>
          <w:szCs w:val="30"/>
          <w:lang w:bidi="zh-CN"/>
        </w:rPr>
        <w:t>科学规范原则</w:t>
      </w:r>
    </w:p>
    <w:p>
      <w:pPr>
        <w:pStyle w:val="32"/>
        <w:ind w:firstLine="600"/>
        <w:rPr>
          <w:rFonts w:ascii="仿宋" w:hAnsi="仿宋"/>
          <w:sz w:val="30"/>
          <w:szCs w:val="30"/>
          <w:lang w:bidi="zh-CN"/>
        </w:rPr>
      </w:pPr>
      <w:r>
        <w:rPr>
          <w:rFonts w:ascii="仿宋" w:hAnsi="仿宋"/>
          <w:sz w:val="30"/>
          <w:szCs w:val="30"/>
          <w:lang w:bidi="zh-CN"/>
        </w:rPr>
        <w:t>绩效评价应注重财政支出的经济性、效率性和有效性，严格执行规定的程序，采用定量与定性分析相结合的方法。</w:t>
      </w:r>
    </w:p>
    <w:p>
      <w:pPr>
        <w:pStyle w:val="53"/>
        <w:ind w:firstLine="602"/>
        <w:rPr>
          <w:rFonts w:ascii="仿宋" w:hAnsi="仿宋"/>
          <w:sz w:val="30"/>
          <w:szCs w:val="30"/>
          <w:lang w:bidi="zh-CN"/>
        </w:rPr>
      </w:pPr>
      <w:r>
        <w:rPr>
          <w:rFonts w:ascii="仿宋" w:hAnsi="仿宋"/>
          <w:sz w:val="30"/>
          <w:szCs w:val="30"/>
          <w:lang w:bidi="zh-CN"/>
        </w:rPr>
        <w:t>公正公开原则</w:t>
      </w:r>
    </w:p>
    <w:p>
      <w:pPr>
        <w:pStyle w:val="32"/>
        <w:ind w:firstLine="600"/>
        <w:rPr>
          <w:rFonts w:ascii="仿宋" w:hAnsi="仿宋"/>
          <w:sz w:val="30"/>
          <w:szCs w:val="30"/>
          <w:lang w:bidi="zh-CN"/>
        </w:rPr>
      </w:pPr>
      <w:r>
        <w:rPr>
          <w:rFonts w:ascii="仿宋" w:hAnsi="仿宋"/>
          <w:sz w:val="30"/>
          <w:szCs w:val="30"/>
          <w:lang w:bidi="zh-CN"/>
        </w:rPr>
        <w:t>绩效评价应当客观、公正，标准统一、资料可靠，依法公开并接受监督。</w:t>
      </w:r>
    </w:p>
    <w:p>
      <w:pPr>
        <w:pStyle w:val="53"/>
        <w:ind w:firstLine="602"/>
        <w:rPr>
          <w:rFonts w:ascii="仿宋" w:hAnsi="仿宋"/>
          <w:sz w:val="30"/>
          <w:szCs w:val="30"/>
          <w:lang w:bidi="zh-CN"/>
        </w:rPr>
      </w:pPr>
      <w:r>
        <w:rPr>
          <w:rFonts w:ascii="仿宋" w:hAnsi="仿宋"/>
          <w:sz w:val="30"/>
          <w:szCs w:val="30"/>
          <w:lang w:bidi="zh-CN"/>
        </w:rPr>
        <w:t>分类原则</w:t>
      </w:r>
    </w:p>
    <w:p>
      <w:pPr>
        <w:pStyle w:val="32"/>
        <w:ind w:firstLine="600"/>
        <w:rPr>
          <w:rFonts w:ascii="仿宋" w:hAnsi="仿宋"/>
          <w:sz w:val="30"/>
          <w:szCs w:val="30"/>
          <w:lang w:bidi="zh-CN"/>
        </w:rPr>
      </w:pPr>
      <w:r>
        <w:rPr>
          <w:rFonts w:ascii="仿宋" w:hAnsi="仿宋"/>
          <w:sz w:val="30"/>
          <w:szCs w:val="30"/>
          <w:lang w:bidi="zh-CN"/>
        </w:rPr>
        <w:t>绩效评价由项目评价小组根据评价对象的特点分类组织实施。</w:t>
      </w:r>
    </w:p>
    <w:p>
      <w:pPr>
        <w:pStyle w:val="53"/>
        <w:ind w:firstLine="602"/>
        <w:rPr>
          <w:rFonts w:ascii="仿宋" w:hAnsi="仿宋"/>
          <w:sz w:val="30"/>
          <w:szCs w:val="30"/>
          <w:lang w:bidi="zh-CN"/>
        </w:rPr>
      </w:pPr>
      <w:r>
        <w:rPr>
          <w:rFonts w:ascii="仿宋" w:hAnsi="仿宋"/>
          <w:sz w:val="30"/>
          <w:szCs w:val="30"/>
          <w:lang w:bidi="zh-CN"/>
        </w:rPr>
        <w:t>绩效相关原则</w:t>
      </w:r>
    </w:p>
    <w:p>
      <w:pPr>
        <w:pStyle w:val="32"/>
        <w:ind w:firstLine="600"/>
        <w:rPr>
          <w:rFonts w:ascii="仿宋" w:hAnsi="仿宋"/>
          <w:sz w:val="32"/>
          <w:szCs w:val="32"/>
          <w:lang w:bidi="zh-CN"/>
        </w:rPr>
      </w:pPr>
      <w:r>
        <w:rPr>
          <w:rFonts w:ascii="仿宋" w:hAnsi="仿宋"/>
          <w:sz w:val="30"/>
          <w:szCs w:val="30"/>
          <w:lang w:bidi="zh-CN"/>
        </w:rPr>
        <w:t>绩效评价须针对具体支出及其产出绩效进行，评价结果应清晰反映支出和产出绩效之间的紧密对应关系。</w:t>
      </w:r>
    </w:p>
    <w:p>
      <w:pPr>
        <w:pStyle w:val="34"/>
        <w:spacing w:line="480" w:lineRule="exact"/>
        <w:rPr>
          <w:rFonts w:ascii="仿宋" w:hAnsi="仿宋"/>
          <w:sz w:val="32"/>
          <w:lang w:bidi="zh-CN"/>
        </w:rPr>
      </w:pPr>
      <w:bookmarkStart w:id="60" w:name="_Toc65078819"/>
      <w:bookmarkStart w:id="61" w:name="_Toc55652900"/>
      <w:bookmarkStart w:id="62" w:name="_Toc59411816"/>
      <w:r>
        <w:rPr>
          <w:rFonts w:hint="eastAsia" w:ascii="仿宋" w:hAnsi="仿宋"/>
          <w:sz w:val="32"/>
          <w:lang w:bidi="zh-CN"/>
        </w:rPr>
        <w:t>2</w:t>
      </w:r>
      <w:r>
        <w:rPr>
          <w:rFonts w:ascii="仿宋" w:hAnsi="仿宋"/>
          <w:sz w:val="32"/>
          <w:lang w:bidi="zh-CN"/>
        </w:rPr>
        <w:t>.</w:t>
      </w:r>
      <w:r>
        <w:rPr>
          <w:rFonts w:hint="eastAsia" w:ascii="仿宋" w:hAnsi="仿宋"/>
          <w:sz w:val="32"/>
          <w:lang w:bidi="zh-CN"/>
        </w:rPr>
        <w:t>评价方法</w:t>
      </w:r>
      <w:bookmarkEnd w:id="60"/>
      <w:bookmarkEnd w:id="61"/>
      <w:bookmarkEnd w:id="62"/>
    </w:p>
    <w:p>
      <w:pPr>
        <w:pStyle w:val="32"/>
        <w:ind w:firstLine="600"/>
        <w:rPr>
          <w:rFonts w:ascii="仿宋" w:hAnsi="仿宋"/>
          <w:sz w:val="30"/>
          <w:szCs w:val="30"/>
          <w:lang w:bidi="zh-CN"/>
        </w:rPr>
      </w:pPr>
      <w:r>
        <w:rPr>
          <w:rFonts w:hint="eastAsia" w:ascii="仿宋" w:hAnsi="仿宋"/>
          <w:sz w:val="30"/>
          <w:szCs w:val="30"/>
          <w:lang w:bidi="zh-CN"/>
        </w:rPr>
        <w:t>本次评价主要运用指标分析方法结合比较法、专家咨询法、文献法和社会调查法进行评价。坚持定量指标优先、定量指标与定性指标相结合的方式，同时通过文献法进行资料搜索以及多因素分析来支撑评价内容的逻辑紧密性与客观性。</w:t>
      </w:r>
    </w:p>
    <w:p>
      <w:pPr>
        <w:pStyle w:val="53"/>
        <w:ind w:firstLine="602"/>
        <w:rPr>
          <w:rFonts w:ascii="仿宋" w:hAnsi="仿宋"/>
          <w:sz w:val="30"/>
          <w:szCs w:val="30"/>
          <w:lang w:bidi="zh-CN"/>
        </w:rPr>
      </w:pPr>
      <w:r>
        <w:rPr>
          <w:rFonts w:hint="eastAsia" w:ascii="仿宋" w:hAnsi="仿宋"/>
          <w:sz w:val="30"/>
          <w:szCs w:val="30"/>
          <w:lang w:bidi="zh-CN"/>
        </w:rPr>
        <w:t>指标分析法</w:t>
      </w:r>
    </w:p>
    <w:p>
      <w:pPr>
        <w:pStyle w:val="32"/>
        <w:ind w:firstLine="600"/>
        <w:rPr>
          <w:rFonts w:ascii="仿宋" w:hAnsi="仿宋"/>
          <w:sz w:val="30"/>
          <w:szCs w:val="30"/>
          <w:lang w:bidi="zh-CN"/>
        </w:rPr>
      </w:pPr>
      <w:r>
        <w:rPr>
          <w:rFonts w:hint="eastAsia" w:ascii="仿宋" w:hAnsi="仿宋"/>
          <w:sz w:val="30"/>
          <w:szCs w:val="30"/>
          <w:lang w:bidi="zh-CN"/>
        </w:rPr>
        <w:t>通过指标分析法，反映对预算单位项目的制定、执行和实现效果的判断结果，分析项目实施的产出和效果的充分性。</w:t>
      </w:r>
    </w:p>
    <w:p>
      <w:pPr>
        <w:pStyle w:val="53"/>
        <w:ind w:firstLine="602"/>
        <w:rPr>
          <w:rFonts w:ascii="仿宋" w:hAnsi="仿宋"/>
          <w:sz w:val="30"/>
          <w:szCs w:val="30"/>
          <w:lang w:bidi="zh-CN"/>
        </w:rPr>
      </w:pPr>
      <w:r>
        <w:rPr>
          <w:rFonts w:hint="eastAsia" w:ascii="仿宋" w:hAnsi="仿宋"/>
          <w:sz w:val="30"/>
          <w:szCs w:val="30"/>
          <w:lang w:bidi="zh-CN"/>
        </w:rPr>
        <w:t>比较</w:t>
      </w:r>
      <w:r>
        <w:rPr>
          <w:rFonts w:ascii="仿宋" w:hAnsi="仿宋"/>
          <w:sz w:val="30"/>
          <w:szCs w:val="30"/>
          <w:lang w:bidi="zh-CN"/>
        </w:rPr>
        <w:t>法</w:t>
      </w:r>
    </w:p>
    <w:p>
      <w:pPr>
        <w:pStyle w:val="32"/>
        <w:ind w:firstLine="600"/>
        <w:rPr>
          <w:rFonts w:ascii="仿宋" w:hAnsi="仿宋"/>
          <w:sz w:val="30"/>
          <w:szCs w:val="30"/>
          <w:lang w:bidi="zh-CN"/>
        </w:rPr>
      </w:pPr>
      <w:r>
        <w:rPr>
          <w:rFonts w:hint="eastAsia" w:ascii="仿宋" w:hAnsi="仿宋"/>
          <w:sz w:val="30"/>
          <w:szCs w:val="30"/>
          <w:lang w:bidi="zh-CN"/>
        </w:rPr>
        <w:t>通过对项目绩效目标与项目执行效果、历史数据与当期数据情况、不同部门同类支出的比较，综合分析绩效目标实现程度。</w:t>
      </w:r>
    </w:p>
    <w:p>
      <w:pPr>
        <w:pStyle w:val="53"/>
        <w:ind w:firstLine="602"/>
        <w:rPr>
          <w:rFonts w:ascii="仿宋" w:hAnsi="仿宋"/>
          <w:sz w:val="30"/>
          <w:szCs w:val="30"/>
          <w:lang w:bidi="zh-CN"/>
        </w:rPr>
      </w:pPr>
      <w:r>
        <w:rPr>
          <w:rFonts w:hint="eastAsia" w:ascii="仿宋" w:hAnsi="仿宋"/>
          <w:sz w:val="30"/>
          <w:szCs w:val="30"/>
          <w:lang w:bidi="zh-CN"/>
        </w:rPr>
        <w:t>专家咨询法</w:t>
      </w:r>
    </w:p>
    <w:p>
      <w:pPr>
        <w:pStyle w:val="32"/>
        <w:ind w:firstLine="600"/>
        <w:rPr>
          <w:rFonts w:ascii="仿宋" w:hAnsi="仿宋"/>
          <w:sz w:val="30"/>
          <w:szCs w:val="30"/>
          <w:lang w:bidi="zh-CN"/>
        </w:rPr>
      </w:pPr>
      <w:r>
        <w:rPr>
          <w:rFonts w:hint="eastAsia" w:ascii="仿宋" w:hAnsi="仿宋"/>
          <w:sz w:val="30"/>
          <w:szCs w:val="30"/>
          <w:lang w:bidi="zh-CN"/>
        </w:rPr>
        <w:t>预算单位项目支出绩效评价工作中将引入财政专家和绩效专家。财政专家重点从单位项目管理角度提出专业建议，绩效专家则依据绩效评价原理，重点把握绩效评价方案中的思路合理性、评价指标体系设计的科学性等。引入专家的参与以确保绩效评价实施方案和绩效评价结论报告的全面性和科学性。</w:t>
      </w:r>
    </w:p>
    <w:p>
      <w:pPr>
        <w:pStyle w:val="53"/>
        <w:ind w:firstLine="602"/>
        <w:rPr>
          <w:rFonts w:ascii="仿宋" w:hAnsi="仿宋"/>
          <w:sz w:val="30"/>
          <w:szCs w:val="30"/>
          <w:lang w:bidi="zh-CN"/>
        </w:rPr>
      </w:pPr>
      <w:r>
        <w:rPr>
          <w:rFonts w:hint="eastAsia" w:ascii="仿宋" w:hAnsi="仿宋"/>
          <w:sz w:val="30"/>
          <w:szCs w:val="30"/>
          <w:lang w:bidi="zh-CN"/>
        </w:rPr>
        <w:t>文献法</w:t>
      </w:r>
    </w:p>
    <w:p>
      <w:pPr>
        <w:pStyle w:val="32"/>
        <w:ind w:firstLine="600"/>
        <w:rPr>
          <w:rFonts w:ascii="仿宋" w:hAnsi="仿宋"/>
          <w:sz w:val="30"/>
          <w:szCs w:val="30"/>
          <w:lang w:bidi="zh-CN"/>
        </w:rPr>
      </w:pPr>
      <w:r>
        <w:rPr>
          <w:rFonts w:hint="eastAsia" w:ascii="仿宋" w:hAnsi="仿宋"/>
          <w:sz w:val="30"/>
          <w:szCs w:val="30"/>
          <w:lang w:bidi="zh-CN"/>
        </w:rPr>
        <w:t>通过收集相关文献，对文献的研究形成对预算单位项目支出的产出和效果的科学认识，以达到客观评价的目的。</w:t>
      </w:r>
    </w:p>
    <w:p>
      <w:pPr>
        <w:pStyle w:val="53"/>
        <w:ind w:firstLine="602"/>
        <w:rPr>
          <w:rFonts w:ascii="仿宋" w:hAnsi="仿宋"/>
          <w:sz w:val="30"/>
          <w:szCs w:val="30"/>
          <w:lang w:bidi="zh-CN"/>
        </w:rPr>
      </w:pPr>
      <w:r>
        <w:rPr>
          <w:rFonts w:ascii="仿宋" w:hAnsi="仿宋"/>
          <w:sz w:val="30"/>
          <w:szCs w:val="30"/>
          <w:lang w:bidi="zh-CN"/>
        </w:rPr>
        <w:t>社会调查法</w:t>
      </w:r>
    </w:p>
    <w:p>
      <w:pPr>
        <w:pStyle w:val="32"/>
        <w:ind w:firstLine="600"/>
        <w:rPr>
          <w:rFonts w:ascii="仿宋" w:hAnsi="仿宋"/>
          <w:sz w:val="30"/>
          <w:szCs w:val="30"/>
          <w:lang w:bidi="zh-CN"/>
        </w:rPr>
      </w:pPr>
      <w:r>
        <w:rPr>
          <w:rFonts w:hint="eastAsia" w:ascii="仿宋" w:hAnsi="仿宋"/>
          <w:sz w:val="30"/>
          <w:szCs w:val="30"/>
          <w:lang w:bidi="zh-CN"/>
        </w:rPr>
        <w:t>通过向公众开展问卷调查、实地访谈取得公众对预算单位项目支出效果的评判，评价绩效目标的实现程度。对于无法直接用评价指标进行考核其支出的效益，可以选择通过社会调查方式进行评价。</w:t>
      </w:r>
    </w:p>
    <w:p>
      <w:pPr>
        <w:pStyle w:val="34"/>
        <w:spacing w:line="480" w:lineRule="exact"/>
        <w:rPr>
          <w:rFonts w:ascii="仿宋" w:hAnsi="仿宋"/>
          <w:sz w:val="32"/>
          <w:lang w:bidi="zh-CN"/>
        </w:rPr>
      </w:pPr>
      <w:bookmarkStart w:id="63" w:name="_Toc65078820"/>
      <w:r>
        <w:rPr>
          <w:rFonts w:ascii="仿宋" w:hAnsi="仿宋"/>
          <w:sz w:val="32"/>
          <w:lang w:bidi="zh-CN"/>
        </w:rPr>
        <w:t>3</w:t>
      </w:r>
      <w:r>
        <w:rPr>
          <w:rFonts w:hint="eastAsia" w:ascii="仿宋" w:hAnsi="仿宋"/>
          <w:sz w:val="32"/>
          <w:lang w:bidi="zh-CN"/>
        </w:rPr>
        <w:t>.评价实施</w:t>
      </w:r>
      <w:bookmarkEnd w:id="63"/>
    </w:p>
    <w:p>
      <w:pPr>
        <w:pStyle w:val="32"/>
        <w:ind w:firstLine="600"/>
        <w:rPr>
          <w:rFonts w:ascii="仿宋" w:hAnsi="仿宋"/>
          <w:sz w:val="30"/>
          <w:szCs w:val="30"/>
        </w:rPr>
      </w:pPr>
      <w:r>
        <w:rPr>
          <w:rFonts w:ascii="仿宋" w:hAnsi="仿宋"/>
          <w:sz w:val="30"/>
          <w:szCs w:val="30"/>
        </w:rPr>
        <w:t>绩效评价工作方案评审通过后，评价</w:t>
      </w:r>
      <w:r>
        <w:rPr>
          <w:rFonts w:hint="eastAsia" w:ascii="仿宋" w:hAnsi="仿宋"/>
          <w:sz w:val="30"/>
          <w:szCs w:val="30"/>
        </w:rPr>
        <w:t>小</w:t>
      </w:r>
      <w:r>
        <w:rPr>
          <w:rFonts w:ascii="仿宋" w:hAnsi="仿宋"/>
          <w:sz w:val="30"/>
          <w:szCs w:val="30"/>
        </w:rPr>
        <w:t>组严格按照工作方案</w:t>
      </w:r>
      <w:r>
        <w:rPr>
          <w:rFonts w:hint="eastAsia" w:ascii="仿宋" w:hAnsi="仿宋"/>
          <w:sz w:val="30"/>
          <w:szCs w:val="30"/>
        </w:rPr>
        <w:t>要求</w:t>
      </w:r>
      <w:r>
        <w:rPr>
          <w:rFonts w:ascii="仿宋" w:hAnsi="仿宋"/>
          <w:sz w:val="30"/>
          <w:szCs w:val="30"/>
        </w:rPr>
        <w:t>，于2021年</w:t>
      </w:r>
      <w:r>
        <w:rPr>
          <w:rFonts w:hint="eastAsia" w:ascii="仿宋" w:hAnsi="仿宋"/>
          <w:sz w:val="30"/>
          <w:szCs w:val="30"/>
        </w:rPr>
        <w:t>1</w:t>
      </w:r>
      <w:r>
        <w:rPr>
          <w:rFonts w:ascii="仿宋" w:hAnsi="仿宋"/>
          <w:sz w:val="30"/>
          <w:szCs w:val="30"/>
        </w:rPr>
        <w:t>2月开始全面实施社会调查工作，包括基础数据采集、实地访谈、合规性检查、问卷调查等。具体</w:t>
      </w:r>
      <w:r>
        <w:rPr>
          <w:rFonts w:hint="eastAsia" w:ascii="仿宋" w:hAnsi="仿宋"/>
          <w:sz w:val="30"/>
          <w:szCs w:val="30"/>
        </w:rPr>
        <w:t>实施</w:t>
      </w:r>
      <w:r>
        <w:rPr>
          <w:rFonts w:ascii="仿宋" w:hAnsi="仿宋"/>
          <w:sz w:val="30"/>
          <w:szCs w:val="30"/>
        </w:rPr>
        <w:t>过程</w:t>
      </w:r>
      <w:r>
        <w:rPr>
          <w:rFonts w:hint="eastAsia" w:ascii="仿宋" w:hAnsi="仿宋"/>
          <w:sz w:val="30"/>
          <w:szCs w:val="30"/>
        </w:rPr>
        <w:t>内容</w:t>
      </w:r>
      <w:r>
        <w:rPr>
          <w:rFonts w:ascii="仿宋" w:hAnsi="仿宋"/>
          <w:sz w:val="30"/>
          <w:szCs w:val="30"/>
        </w:rPr>
        <w:t>如下：</w:t>
      </w:r>
    </w:p>
    <w:p>
      <w:pPr>
        <w:pStyle w:val="53"/>
        <w:ind w:firstLine="602"/>
        <w:rPr>
          <w:rFonts w:ascii="仿宋" w:hAnsi="仿宋"/>
          <w:sz w:val="30"/>
          <w:szCs w:val="30"/>
        </w:rPr>
      </w:pPr>
      <w:r>
        <w:rPr>
          <w:rFonts w:ascii="仿宋" w:hAnsi="仿宋"/>
          <w:sz w:val="30"/>
          <w:szCs w:val="30"/>
        </w:rPr>
        <w:t>基础数据采集</w:t>
      </w:r>
    </w:p>
    <w:p>
      <w:pPr>
        <w:pStyle w:val="32"/>
        <w:ind w:firstLine="600"/>
        <w:rPr>
          <w:rFonts w:ascii="仿宋" w:hAnsi="仿宋"/>
          <w:sz w:val="30"/>
          <w:szCs w:val="30"/>
        </w:rPr>
      </w:pPr>
      <w:r>
        <w:rPr>
          <w:rFonts w:ascii="仿宋" w:hAnsi="仿宋"/>
          <w:sz w:val="30"/>
          <w:szCs w:val="30"/>
        </w:rPr>
        <w:t>在</w:t>
      </w:r>
      <w:r>
        <w:rPr>
          <w:rFonts w:hint="eastAsia" w:ascii="仿宋" w:hAnsi="仿宋"/>
          <w:sz w:val="30"/>
          <w:szCs w:val="30"/>
        </w:rPr>
        <w:t>天津市津南区农业农村委员会</w:t>
      </w:r>
      <w:r>
        <w:rPr>
          <w:rFonts w:ascii="仿宋" w:hAnsi="仿宋"/>
          <w:sz w:val="30"/>
          <w:szCs w:val="30"/>
        </w:rPr>
        <w:t>的支持和配合下，评价</w:t>
      </w:r>
      <w:r>
        <w:rPr>
          <w:rFonts w:hint="eastAsia" w:ascii="仿宋" w:hAnsi="仿宋"/>
          <w:sz w:val="30"/>
          <w:szCs w:val="30"/>
        </w:rPr>
        <w:t>小</w:t>
      </w:r>
      <w:r>
        <w:rPr>
          <w:rFonts w:ascii="仿宋" w:hAnsi="仿宋"/>
          <w:sz w:val="30"/>
          <w:szCs w:val="30"/>
        </w:rPr>
        <w:t>组完成了基础表回收、汇总和整理工作。评价</w:t>
      </w:r>
      <w:r>
        <w:rPr>
          <w:rFonts w:hint="eastAsia" w:ascii="仿宋" w:hAnsi="仿宋"/>
          <w:sz w:val="30"/>
          <w:szCs w:val="30"/>
        </w:rPr>
        <w:t>小</w:t>
      </w:r>
      <w:r>
        <w:rPr>
          <w:rFonts w:ascii="仿宋" w:hAnsi="仿宋"/>
          <w:sz w:val="30"/>
          <w:szCs w:val="30"/>
        </w:rPr>
        <w:t>组根据</w:t>
      </w:r>
      <w:r>
        <w:rPr>
          <w:rFonts w:hint="eastAsia" w:ascii="仿宋" w:hAnsi="仿宋"/>
          <w:sz w:val="30"/>
          <w:szCs w:val="30"/>
        </w:rPr>
        <w:t>天津市津南区农业农村委员会</w:t>
      </w:r>
      <w:r>
        <w:rPr>
          <w:rFonts w:ascii="仿宋" w:hAnsi="仿宋"/>
          <w:sz w:val="30"/>
          <w:szCs w:val="30"/>
        </w:rPr>
        <w:t>提供的基础数据，对</w:t>
      </w:r>
      <w:r>
        <w:rPr>
          <w:rFonts w:hint="eastAsia" w:ascii="仿宋" w:hAnsi="仿宋"/>
          <w:sz w:val="30"/>
          <w:szCs w:val="30"/>
        </w:rPr>
        <w:t>2019年度造林绿化资金</w:t>
      </w:r>
      <w:r>
        <w:rPr>
          <w:rFonts w:ascii="仿宋" w:hAnsi="仿宋"/>
          <w:sz w:val="30"/>
          <w:szCs w:val="30"/>
        </w:rPr>
        <w:t>安排执行情况、项目实施情况、绩效目标完成情况、项目经费使用情况等数据进行汇总、分析。</w:t>
      </w:r>
    </w:p>
    <w:p>
      <w:pPr>
        <w:pStyle w:val="53"/>
        <w:ind w:firstLine="602"/>
        <w:rPr>
          <w:rFonts w:ascii="仿宋" w:hAnsi="仿宋"/>
          <w:sz w:val="30"/>
          <w:szCs w:val="30"/>
        </w:rPr>
      </w:pPr>
      <w:r>
        <w:rPr>
          <w:rFonts w:ascii="仿宋" w:hAnsi="仿宋"/>
          <w:sz w:val="30"/>
          <w:szCs w:val="30"/>
        </w:rPr>
        <w:t>访谈调研</w:t>
      </w:r>
    </w:p>
    <w:p>
      <w:pPr>
        <w:pStyle w:val="32"/>
        <w:ind w:firstLine="600"/>
        <w:rPr>
          <w:rFonts w:ascii="仿宋" w:hAnsi="仿宋"/>
          <w:sz w:val="30"/>
          <w:szCs w:val="30"/>
        </w:rPr>
      </w:pPr>
      <w:r>
        <w:rPr>
          <w:rFonts w:ascii="仿宋" w:hAnsi="仿宋"/>
          <w:sz w:val="30"/>
          <w:szCs w:val="30"/>
        </w:rPr>
        <w:t>为了</w:t>
      </w:r>
      <w:r>
        <w:rPr>
          <w:rFonts w:hint="eastAsia" w:ascii="仿宋" w:hAnsi="仿宋"/>
          <w:sz w:val="30"/>
          <w:szCs w:val="30"/>
        </w:rPr>
        <w:t>了解2019年度造林绿化资金项目的</w:t>
      </w:r>
      <w:r>
        <w:rPr>
          <w:rFonts w:ascii="仿宋" w:hAnsi="仿宋"/>
          <w:sz w:val="30"/>
          <w:szCs w:val="30"/>
        </w:rPr>
        <w:t>政策目标</w:t>
      </w:r>
      <w:r>
        <w:rPr>
          <w:rFonts w:hint="eastAsia" w:ascii="仿宋" w:hAnsi="仿宋"/>
          <w:sz w:val="30"/>
          <w:szCs w:val="30"/>
        </w:rPr>
        <w:t>及其他项目相关内容</w:t>
      </w:r>
      <w:r>
        <w:rPr>
          <w:rFonts w:ascii="仿宋" w:hAnsi="仿宋"/>
          <w:sz w:val="30"/>
          <w:szCs w:val="30"/>
        </w:rPr>
        <w:t>，评价</w:t>
      </w:r>
      <w:r>
        <w:rPr>
          <w:rFonts w:hint="eastAsia" w:ascii="仿宋" w:hAnsi="仿宋"/>
          <w:sz w:val="30"/>
          <w:szCs w:val="30"/>
        </w:rPr>
        <w:t>小</w:t>
      </w:r>
      <w:r>
        <w:rPr>
          <w:rFonts w:ascii="仿宋" w:hAnsi="仿宋"/>
          <w:sz w:val="30"/>
          <w:szCs w:val="30"/>
        </w:rPr>
        <w:t>组对</w:t>
      </w:r>
      <w:r>
        <w:rPr>
          <w:rFonts w:hint="eastAsia" w:ascii="仿宋" w:hAnsi="仿宋"/>
          <w:sz w:val="30"/>
          <w:szCs w:val="30"/>
        </w:rPr>
        <w:t>天津市津南区农业农村委员会</w:t>
      </w:r>
      <w:r>
        <w:rPr>
          <w:rFonts w:ascii="仿宋" w:hAnsi="仿宋"/>
          <w:sz w:val="30"/>
          <w:szCs w:val="30"/>
        </w:rPr>
        <w:t>相关负责人员进行访谈。</w:t>
      </w:r>
      <w:r>
        <w:rPr>
          <w:rFonts w:hint="eastAsia" w:ascii="仿宋" w:hAnsi="仿宋"/>
          <w:sz w:val="30"/>
          <w:szCs w:val="30"/>
        </w:rPr>
        <w:t>访谈内容包括</w:t>
      </w:r>
      <w:r>
        <w:rPr>
          <w:rFonts w:ascii="仿宋" w:hAnsi="仿宋"/>
          <w:sz w:val="30"/>
          <w:szCs w:val="30"/>
        </w:rPr>
        <w:t>各部门的职能职责、组织管理、预算及执行情况</w:t>
      </w:r>
      <w:r>
        <w:rPr>
          <w:rFonts w:hint="eastAsia" w:ascii="仿宋" w:hAnsi="仿宋"/>
          <w:sz w:val="30"/>
          <w:szCs w:val="30"/>
        </w:rPr>
        <w:t>等内容。评价小组于</w:t>
      </w:r>
      <w:r>
        <w:rPr>
          <w:rFonts w:ascii="仿宋" w:hAnsi="仿宋"/>
          <w:sz w:val="30"/>
          <w:szCs w:val="30"/>
        </w:rPr>
        <w:t>2021</w:t>
      </w:r>
      <w:r>
        <w:rPr>
          <w:rFonts w:hint="eastAsia" w:ascii="仿宋" w:hAnsi="仿宋"/>
          <w:sz w:val="30"/>
          <w:szCs w:val="30"/>
        </w:rPr>
        <w:t>年</w:t>
      </w:r>
      <w:r>
        <w:rPr>
          <w:rFonts w:ascii="仿宋" w:hAnsi="仿宋"/>
          <w:sz w:val="30"/>
          <w:szCs w:val="30"/>
        </w:rPr>
        <w:t>12</w:t>
      </w:r>
      <w:r>
        <w:rPr>
          <w:rFonts w:hint="eastAsia" w:ascii="仿宋" w:hAnsi="仿宋"/>
          <w:sz w:val="30"/>
          <w:szCs w:val="30"/>
        </w:rPr>
        <w:t>月，对天津市津南区农业农村委员会2019年度造林绿化资金项目负责人进行了访谈，主要了解本项目的具体开展过程，包括：项目开展背景、项目立项依据文件、项目实施开展的过程、项目开展过程中的资金使用情况、收集项目相关资料及文件。</w:t>
      </w:r>
    </w:p>
    <w:p>
      <w:pPr>
        <w:pStyle w:val="53"/>
        <w:ind w:firstLine="602"/>
        <w:rPr>
          <w:rFonts w:ascii="仿宋" w:hAnsi="仿宋"/>
          <w:sz w:val="30"/>
          <w:szCs w:val="30"/>
        </w:rPr>
      </w:pPr>
      <w:r>
        <w:rPr>
          <w:rFonts w:ascii="仿宋" w:hAnsi="仿宋"/>
          <w:sz w:val="30"/>
          <w:szCs w:val="30"/>
        </w:rPr>
        <w:t>问卷调研</w:t>
      </w:r>
    </w:p>
    <w:p>
      <w:pPr>
        <w:pStyle w:val="32"/>
        <w:ind w:firstLine="600"/>
        <w:rPr>
          <w:rFonts w:ascii="仿宋" w:hAnsi="仿宋"/>
          <w:sz w:val="30"/>
          <w:szCs w:val="30"/>
        </w:rPr>
      </w:pPr>
      <w:r>
        <w:rPr>
          <w:rFonts w:ascii="仿宋" w:hAnsi="仿宋"/>
          <w:sz w:val="30"/>
          <w:szCs w:val="30"/>
        </w:rPr>
        <w:t>为客观测定项目实施效果，评价</w:t>
      </w:r>
      <w:r>
        <w:rPr>
          <w:rFonts w:hint="eastAsia" w:ascii="仿宋" w:hAnsi="仿宋"/>
          <w:sz w:val="30"/>
          <w:szCs w:val="30"/>
        </w:rPr>
        <w:t>小</w:t>
      </w:r>
      <w:r>
        <w:rPr>
          <w:rFonts w:ascii="仿宋" w:hAnsi="仿宋"/>
          <w:sz w:val="30"/>
          <w:szCs w:val="30"/>
        </w:rPr>
        <w:t>组对本项目受益对象开展满意度调查。本次问卷调查</w:t>
      </w:r>
      <w:r>
        <w:rPr>
          <w:rFonts w:hint="eastAsia" w:ascii="仿宋" w:hAnsi="仿宋"/>
          <w:sz w:val="30"/>
          <w:szCs w:val="30"/>
        </w:rPr>
        <w:t>采取现场发放及收回的调查方式</w:t>
      </w:r>
      <w:r>
        <w:rPr>
          <w:rFonts w:ascii="仿宋" w:hAnsi="仿宋"/>
          <w:sz w:val="30"/>
          <w:szCs w:val="30"/>
        </w:rPr>
        <w:t>，</w:t>
      </w:r>
      <w:r>
        <w:rPr>
          <w:rFonts w:hint="eastAsia" w:ascii="仿宋" w:hAnsi="仿宋"/>
          <w:sz w:val="30"/>
          <w:szCs w:val="30"/>
        </w:rPr>
        <w:t>共计访问问卷50份，访问对象为项目实施地周边农村居民</w:t>
      </w:r>
      <w:r>
        <w:rPr>
          <w:rFonts w:ascii="仿宋" w:hAnsi="仿宋"/>
          <w:sz w:val="30"/>
          <w:szCs w:val="30"/>
        </w:rPr>
        <w:t>。截至2021年12月</w:t>
      </w:r>
      <w:r>
        <w:rPr>
          <w:rFonts w:hint="eastAsia" w:ascii="仿宋" w:hAnsi="仿宋"/>
          <w:sz w:val="30"/>
          <w:szCs w:val="30"/>
        </w:rPr>
        <w:t>2</w:t>
      </w:r>
      <w:r>
        <w:rPr>
          <w:rFonts w:ascii="仿宋" w:hAnsi="仿宋"/>
          <w:sz w:val="30"/>
          <w:szCs w:val="30"/>
        </w:rPr>
        <w:t>5日，</w:t>
      </w:r>
      <w:r>
        <w:rPr>
          <w:rFonts w:hint="eastAsia" w:ascii="仿宋" w:hAnsi="仿宋"/>
          <w:sz w:val="30"/>
          <w:szCs w:val="30"/>
        </w:rPr>
        <w:t>共收集访问</w:t>
      </w:r>
      <w:r>
        <w:rPr>
          <w:rFonts w:ascii="仿宋" w:hAnsi="仿宋"/>
          <w:sz w:val="30"/>
          <w:szCs w:val="30"/>
        </w:rPr>
        <w:t>问卷</w:t>
      </w:r>
      <w:r>
        <w:rPr>
          <w:rFonts w:hint="eastAsia" w:ascii="仿宋" w:hAnsi="仿宋"/>
          <w:sz w:val="30"/>
          <w:szCs w:val="30"/>
        </w:rPr>
        <w:t>50</w:t>
      </w:r>
      <w:r>
        <w:rPr>
          <w:rFonts w:ascii="仿宋" w:hAnsi="仿宋"/>
          <w:sz w:val="30"/>
          <w:szCs w:val="30"/>
        </w:rPr>
        <w:t>份，其中有效问卷</w:t>
      </w:r>
      <w:r>
        <w:rPr>
          <w:rFonts w:hint="eastAsia" w:ascii="仿宋" w:hAnsi="仿宋"/>
          <w:sz w:val="30"/>
          <w:szCs w:val="30"/>
        </w:rPr>
        <w:t>50</w:t>
      </w:r>
      <w:r>
        <w:rPr>
          <w:rFonts w:ascii="仿宋" w:hAnsi="仿宋"/>
          <w:sz w:val="30"/>
          <w:szCs w:val="30"/>
        </w:rPr>
        <w:t>份，问卷有效率为100%。</w:t>
      </w:r>
    </w:p>
    <w:p>
      <w:pPr>
        <w:pStyle w:val="53"/>
        <w:ind w:firstLine="602"/>
        <w:rPr>
          <w:rFonts w:ascii="仿宋" w:hAnsi="仿宋"/>
          <w:sz w:val="30"/>
          <w:szCs w:val="30"/>
        </w:rPr>
      </w:pPr>
      <w:r>
        <w:rPr>
          <w:rFonts w:ascii="仿宋" w:hAnsi="仿宋"/>
          <w:sz w:val="30"/>
          <w:szCs w:val="30"/>
        </w:rPr>
        <w:t>合规性检查</w:t>
      </w:r>
    </w:p>
    <w:p>
      <w:pPr>
        <w:pStyle w:val="32"/>
        <w:ind w:firstLine="600"/>
        <w:rPr>
          <w:rFonts w:ascii="仿宋" w:hAnsi="仿宋"/>
          <w:sz w:val="32"/>
          <w:szCs w:val="32"/>
        </w:rPr>
      </w:pPr>
      <w:r>
        <w:rPr>
          <w:rFonts w:ascii="仿宋" w:hAnsi="仿宋"/>
          <w:sz w:val="30"/>
          <w:szCs w:val="30"/>
        </w:rPr>
        <w:t>为了解</w:t>
      </w:r>
      <w:r>
        <w:rPr>
          <w:rFonts w:hint="eastAsia" w:ascii="仿宋" w:hAnsi="仿宋"/>
          <w:sz w:val="30"/>
          <w:szCs w:val="30"/>
        </w:rPr>
        <w:t>天津市津南区农业农村委员会2019年度造林绿化资金</w:t>
      </w:r>
      <w:r>
        <w:rPr>
          <w:rFonts w:ascii="仿宋" w:hAnsi="仿宋"/>
          <w:sz w:val="30"/>
          <w:szCs w:val="30"/>
        </w:rPr>
        <w:t>项目实施管理情况和资金使用情况，以加强财政资金支出预算管理，加快实现项目管理和财政资金使用情况检查的专业化和规范化，评价</w:t>
      </w:r>
      <w:r>
        <w:rPr>
          <w:rFonts w:hint="eastAsia" w:ascii="仿宋" w:hAnsi="仿宋"/>
          <w:sz w:val="30"/>
          <w:szCs w:val="30"/>
        </w:rPr>
        <w:t>小</w:t>
      </w:r>
      <w:r>
        <w:rPr>
          <w:rFonts w:ascii="仿宋" w:hAnsi="仿宋"/>
          <w:sz w:val="30"/>
          <w:szCs w:val="30"/>
        </w:rPr>
        <w:t>组对</w:t>
      </w:r>
      <w:r>
        <w:rPr>
          <w:rFonts w:hint="eastAsia" w:ascii="仿宋" w:hAnsi="仿宋"/>
          <w:sz w:val="30"/>
          <w:szCs w:val="30"/>
        </w:rPr>
        <w:t>天津市津南区农业农村委员会</w:t>
      </w:r>
      <w:r>
        <w:rPr>
          <w:rFonts w:ascii="仿宋" w:hAnsi="仿宋"/>
          <w:sz w:val="30"/>
          <w:szCs w:val="30"/>
        </w:rPr>
        <w:t>开展数据核查。此次合规性</w:t>
      </w:r>
      <w:r>
        <w:rPr>
          <w:rFonts w:hint="eastAsia" w:ascii="仿宋" w:hAnsi="仿宋"/>
          <w:sz w:val="30"/>
          <w:szCs w:val="30"/>
        </w:rPr>
        <w:t>检查范围</w:t>
      </w:r>
      <w:r>
        <w:rPr>
          <w:rFonts w:ascii="仿宋" w:hAnsi="仿宋"/>
          <w:sz w:val="30"/>
          <w:szCs w:val="30"/>
        </w:rPr>
        <w:t>主要包括项目立项、年度预算</w:t>
      </w:r>
      <w:r>
        <w:rPr>
          <w:rFonts w:hint="eastAsia" w:ascii="仿宋" w:hAnsi="仿宋"/>
          <w:sz w:val="30"/>
          <w:szCs w:val="30"/>
        </w:rPr>
        <w:t>、年度决算</w:t>
      </w:r>
      <w:r>
        <w:rPr>
          <w:rFonts w:ascii="仿宋" w:hAnsi="仿宋"/>
          <w:sz w:val="30"/>
          <w:szCs w:val="30"/>
        </w:rPr>
        <w:t>、资金使用、项目管理、财务管理的规范性</w:t>
      </w:r>
      <w:r>
        <w:rPr>
          <w:rFonts w:hint="eastAsia" w:ascii="仿宋" w:hAnsi="仿宋"/>
          <w:sz w:val="30"/>
          <w:szCs w:val="30"/>
        </w:rPr>
        <w:t>、真实性</w:t>
      </w:r>
      <w:r>
        <w:rPr>
          <w:rFonts w:ascii="仿宋" w:hAnsi="仿宋"/>
          <w:sz w:val="30"/>
          <w:szCs w:val="30"/>
        </w:rPr>
        <w:t>以及年度项目产出效益等情况</w:t>
      </w:r>
      <w:r>
        <w:rPr>
          <w:rFonts w:hint="eastAsia" w:ascii="仿宋" w:hAnsi="仿宋"/>
          <w:sz w:val="30"/>
          <w:szCs w:val="30"/>
        </w:rPr>
        <w:t>，检查内容包括</w:t>
      </w:r>
      <w:r>
        <w:rPr>
          <w:rFonts w:ascii="仿宋" w:hAnsi="仿宋"/>
          <w:sz w:val="30"/>
          <w:szCs w:val="30"/>
        </w:rPr>
        <w:t>查阅立项依据，</w:t>
      </w:r>
      <w:r>
        <w:rPr>
          <w:rFonts w:hint="eastAsia" w:ascii="仿宋" w:hAnsi="仿宋"/>
          <w:sz w:val="30"/>
          <w:szCs w:val="30"/>
        </w:rPr>
        <w:t>项目</w:t>
      </w:r>
      <w:r>
        <w:rPr>
          <w:rFonts w:ascii="仿宋" w:hAnsi="仿宋"/>
          <w:sz w:val="30"/>
          <w:szCs w:val="30"/>
        </w:rPr>
        <w:t>实施意见、业务操作流程和业务管理流程等项目有关文件，项目预算明细、</w:t>
      </w:r>
      <w:r>
        <w:rPr>
          <w:rFonts w:hint="eastAsia" w:ascii="仿宋" w:hAnsi="仿宋"/>
          <w:sz w:val="30"/>
          <w:szCs w:val="30"/>
        </w:rPr>
        <w:t>项目决算明细、</w:t>
      </w:r>
      <w:r>
        <w:rPr>
          <w:rFonts w:ascii="仿宋" w:hAnsi="仿宋"/>
          <w:sz w:val="30"/>
          <w:szCs w:val="30"/>
        </w:rPr>
        <w:t>资金拨付凭证、资金使用情况等</w:t>
      </w:r>
      <w:r>
        <w:rPr>
          <w:rFonts w:hint="eastAsia" w:ascii="仿宋" w:hAnsi="仿宋"/>
          <w:sz w:val="30"/>
          <w:szCs w:val="30"/>
        </w:rPr>
        <w:t>项目</w:t>
      </w:r>
      <w:r>
        <w:rPr>
          <w:rFonts w:ascii="仿宋" w:hAnsi="仿宋"/>
          <w:sz w:val="30"/>
          <w:szCs w:val="30"/>
        </w:rPr>
        <w:t>财务有关文件，项目工作规划、项目管理监督制度、项目申请审批材料、项目制度</w:t>
      </w:r>
      <w:r>
        <w:rPr>
          <w:rFonts w:hint="eastAsia" w:ascii="仿宋" w:hAnsi="仿宋"/>
          <w:sz w:val="30"/>
          <w:szCs w:val="30"/>
        </w:rPr>
        <w:t>等项目实施有关文件</w:t>
      </w:r>
      <w:r>
        <w:rPr>
          <w:rFonts w:ascii="仿宋" w:hAnsi="仿宋"/>
          <w:sz w:val="30"/>
          <w:szCs w:val="30"/>
        </w:rPr>
        <w:t>，</w:t>
      </w:r>
      <w:r>
        <w:rPr>
          <w:rFonts w:hint="eastAsia" w:ascii="仿宋" w:hAnsi="仿宋"/>
          <w:sz w:val="30"/>
          <w:szCs w:val="30"/>
        </w:rPr>
        <w:t>通过上述文件规范及真实性核查，达到绩效报告严谨、科学的要求</w:t>
      </w:r>
      <w:r>
        <w:rPr>
          <w:rFonts w:ascii="仿宋" w:hAnsi="仿宋"/>
          <w:sz w:val="30"/>
          <w:szCs w:val="30"/>
        </w:rPr>
        <w:t>。</w:t>
      </w:r>
    </w:p>
    <w:p>
      <w:pPr>
        <w:pStyle w:val="28"/>
        <w:rPr>
          <w:szCs w:val="32"/>
          <w:lang w:bidi="zh-CN"/>
        </w:rPr>
      </w:pPr>
      <w:bookmarkStart w:id="64" w:name="_Toc91632824"/>
      <w:bookmarkStart w:id="65" w:name="_Toc65078821"/>
      <w:r>
        <w:rPr>
          <w:rFonts w:hint="eastAsia"/>
          <w:szCs w:val="32"/>
          <w:lang w:bidi="zh-CN"/>
        </w:rPr>
        <w:t>（三）绩效评价工作过程</w:t>
      </w:r>
      <w:bookmarkEnd w:id="64"/>
      <w:bookmarkEnd w:id="65"/>
    </w:p>
    <w:p>
      <w:pPr>
        <w:pStyle w:val="32"/>
        <w:ind w:firstLine="600"/>
        <w:rPr>
          <w:rFonts w:ascii="仿宋" w:hAnsi="仿宋"/>
          <w:sz w:val="30"/>
          <w:szCs w:val="30"/>
        </w:rPr>
      </w:pPr>
      <w:r>
        <w:rPr>
          <w:rFonts w:ascii="仿宋" w:hAnsi="仿宋"/>
          <w:sz w:val="30"/>
          <w:szCs w:val="30"/>
        </w:rPr>
        <w:t>本次绩效评价实施分为前期准备、过程实施、形成报告三个阶段。评价</w:t>
      </w:r>
      <w:r>
        <w:rPr>
          <w:rFonts w:hint="eastAsia" w:ascii="仿宋" w:hAnsi="仿宋"/>
          <w:sz w:val="30"/>
          <w:szCs w:val="30"/>
        </w:rPr>
        <w:t>小</w:t>
      </w:r>
      <w:r>
        <w:rPr>
          <w:rFonts w:ascii="仿宋" w:hAnsi="仿宋"/>
          <w:sz w:val="30"/>
          <w:szCs w:val="30"/>
        </w:rPr>
        <w:t>组根据绩效评价的原则和规范，在前期基础资料研究的基础上，对项目实地调研过程中获取的数据和信息进行归纳、总结和分析，结合工作方案中制定的绩效评价指标体系对项目进行评分，并在此基础上提炼结论撰写绩效评价报告，上报委托单位。具体实施过程如下：</w:t>
      </w:r>
    </w:p>
    <w:p>
      <w:pPr>
        <w:pStyle w:val="53"/>
        <w:ind w:firstLine="643"/>
        <w:rPr>
          <w:rFonts w:ascii="仿宋" w:hAnsi="仿宋"/>
          <w:sz w:val="32"/>
          <w:szCs w:val="32"/>
          <w:lang w:bidi="zh-CN"/>
        </w:rPr>
      </w:pPr>
      <w:r>
        <w:rPr>
          <w:rFonts w:hint="eastAsia" w:ascii="仿宋" w:hAnsi="仿宋"/>
          <w:sz w:val="32"/>
          <w:szCs w:val="32"/>
          <w:lang w:bidi="zh-CN"/>
        </w:rPr>
        <w:t>1</w:t>
      </w:r>
      <w:r>
        <w:rPr>
          <w:rFonts w:ascii="仿宋" w:hAnsi="仿宋"/>
          <w:sz w:val="32"/>
          <w:szCs w:val="32"/>
          <w:lang w:bidi="zh-CN"/>
        </w:rPr>
        <w:t>.</w:t>
      </w:r>
      <w:r>
        <w:rPr>
          <w:rFonts w:hint="eastAsia" w:ascii="仿宋" w:hAnsi="仿宋"/>
          <w:sz w:val="32"/>
          <w:szCs w:val="32"/>
          <w:lang w:bidi="zh-CN"/>
        </w:rPr>
        <w:t>前期准备阶段</w:t>
      </w:r>
    </w:p>
    <w:p>
      <w:pPr>
        <w:pStyle w:val="32"/>
        <w:ind w:firstLine="600"/>
        <w:rPr>
          <w:rFonts w:ascii="仿宋" w:hAnsi="仿宋"/>
          <w:sz w:val="30"/>
          <w:szCs w:val="30"/>
        </w:rPr>
      </w:pPr>
      <w:r>
        <w:rPr>
          <w:rFonts w:hint="eastAsia" w:ascii="仿宋" w:hAnsi="仿宋"/>
          <w:sz w:val="30"/>
          <w:szCs w:val="30"/>
        </w:rPr>
        <w:t>（1）</w:t>
      </w:r>
      <w:r>
        <w:rPr>
          <w:rFonts w:ascii="仿宋" w:hAnsi="仿宋"/>
          <w:sz w:val="30"/>
          <w:szCs w:val="30"/>
        </w:rPr>
        <w:t>组建评价组。</w:t>
      </w:r>
      <w:r>
        <w:rPr>
          <w:rFonts w:hint="eastAsia" w:ascii="仿宋" w:hAnsi="仿宋"/>
          <w:sz w:val="30"/>
          <w:szCs w:val="30"/>
        </w:rPr>
        <w:t>2021</w:t>
      </w:r>
      <w:r>
        <w:rPr>
          <w:rFonts w:ascii="仿宋" w:hAnsi="仿宋"/>
          <w:sz w:val="30"/>
          <w:szCs w:val="30"/>
        </w:rPr>
        <w:t>年11月，</w:t>
      </w:r>
      <w:r>
        <w:rPr>
          <w:rFonts w:hint="eastAsia" w:ascii="仿宋" w:hAnsi="仿宋"/>
          <w:sz w:val="30"/>
          <w:szCs w:val="30"/>
        </w:rPr>
        <w:t>受天津市津南区财政局委托，组建天津市津南区农业农村委员会2019年度造林绿化资金项目绩效评价小组</w:t>
      </w:r>
      <w:r>
        <w:rPr>
          <w:rFonts w:ascii="仿宋" w:hAnsi="仿宋"/>
          <w:sz w:val="30"/>
          <w:szCs w:val="30"/>
        </w:rPr>
        <w:t>，包括</w:t>
      </w:r>
      <w:r>
        <w:rPr>
          <w:rFonts w:hint="eastAsia" w:ascii="仿宋" w:hAnsi="仿宋"/>
          <w:sz w:val="30"/>
          <w:szCs w:val="30"/>
        </w:rPr>
        <w:t>1</w:t>
      </w:r>
      <w:r>
        <w:rPr>
          <w:rFonts w:ascii="仿宋" w:hAnsi="仿宋"/>
          <w:sz w:val="30"/>
          <w:szCs w:val="30"/>
        </w:rPr>
        <w:t>名</w:t>
      </w:r>
      <w:r>
        <w:rPr>
          <w:rFonts w:hint="eastAsia" w:ascii="仿宋" w:hAnsi="仿宋"/>
          <w:sz w:val="30"/>
          <w:szCs w:val="30"/>
        </w:rPr>
        <w:t>项目经理</w:t>
      </w:r>
      <w:r>
        <w:rPr>
          <w:rFonts w:ascii="仿宋" w:hAnsi="仿宋"/>
          <w:sz w:val="30"/>
          <w:szCs w:val="30"/>
        </w:rPr>
        <w:t>、</w:t>
      </w:r>
      <w:r>
        <w:rPr>
          <w:rFonts w:hint="eastAsia" w:ascii="仿宋" w:hAnsi="仿宋"/>
          <w:sz w:val="30"/>
          <w:szCs w:val="30"/>
        </w:rPr>
        <w:t>1项目助理，项目经理主要负责参与评价指标设计，起草工作方案和评价报告，与委托方沟通，参与社会调查工作，参与项目实施单位的沟通；项目助理主要负责参与具体项目的实施工作，包括社会调查、数据收集、整理、计算、核对、分析工作等；校对项目工作方案和评价报告等工作。</w:t>
      </w:r>
    </w:p>
    <w:p>
      <w:pPr>
        <w:pStyle w:val="32"/>
        <w:ind w:firstLine="600"/>
        <w:rPr>
          <w:rFonts w:ascii="仿宋" w:hAnsi="仿宋"/>
          <w:sz w:val="30"/>
          <w:szCs w:val="30"/>
        </w:rPr>
      </w:pPr>
      <w:r>
        <w:rPr>
          <w:rFonts w:hint="eastAsia" w:ascii="仿宋" w:hAnsi="仿宋"/>
          <w:sz w:val="30"/>
          <w:szCs w:val="30"/>
        </w:rPr>
        <w:t>（</w:t>
      </w:r>
      <w:r>
        <w:rPr>
          <w:rFonts w:ascii="仿宋" w:hAnsi="仿宋"/>
          <w:sz w:val="30"/>
          <w:szCs w:val="30"/>
        </w:rPr>
        <w:t>2）前期资料收集及调研。</w:t>
      </w:r>
      <w:r>
        <w:rPr>
          <w:rFonts w:hint="eastAsia" w:ascii="仿宋" w:hAnsi="仿宋"/>
          <w:sz w:val="30"/>
          <w:szCs w:val="30"/>
        </w:rPr>
        <w:t>2021</w:t>
      </w:r>
      <w:r>
        <w:rPr>
          <w:rFonts w:ascii="仿宋" w:hAnsi="仿宋"/>
          <w:sz w:val="30"/>
          <w:szCs w:val="30"/>
        </w:rPr>
        <w:t>年</w:t>
      </w:r>
      <w:r>
        <w:rPr>
          <w:rFonts w:hint="eastAsia" w:ascii="仿宋" w:hAnsi="仿宋"/>
          <w:sz w:val="30"/>
          <w:szCs w:val="30"/>
        </w:rPr>
        <w:t>1</w:t>
      </w:r>
      <w:r>
        <w:rPr>
          <w:rFonts w:ascii="仿宋" w:hAnsi="仿宋"/>
          <w:sz w:val="30"/>
          <w:szCs w:val="30"/>
        </w:rPr>
        <w:t>2</w:t>
      </w:r>
      <w:r>
        <w:rPr>
          <w:rFonts w:hint="eastAsia" w:ascii="仿宋" w:hAnsi="仿宋"/>
          <w:sz w:val="30"/>
          <w:szCs w:val="30"/>
        </w:rPr>
        <w:t>月</w:t>
      </w:r>
      <w:r>
        <w:rPr>
          <w:rFonts w:ascii="仿宋" w:hAnsi="仿宋"/>
          <w:sz w:val="30"/>
          <w:szCs w:val="30"/>
        </w:rPr>
        <w:t>，一方面，评价组通过网上收集、文献查阅等方式，获取了项目背景、项目相关政策文件等相关资料；另一方面，评价</w:t>
      </w:r>
      <w:r>
        <w:rPr>
          <w:rFonts w:hint="eastAsia" w:ascii="仿宋" w:hAnsi="仿宋"/>
          <w:sz w:val="30"/>
          <w:szCs w:val="30"/>
        </w:rPr>
        <w:t>小</w:t>
      </w:r>
      <w:r>
        <w:rPr>
          <w:rFonts w:ascii="仿宋" w:hAnsi="仿宋"/>
          <w:sz w:val="30"/>
          <w:szCs w:val="30"/>
        </w:rPr>
        <w:t>组通过与</w:t>
      </w:r>
      <w:r>
        <w:rPr>
          <w:rFonts w:hint="eastAsia" w:ascii="仿宋" w:hAnsi="仿宋"/>
          <w:sz w:val="30"/>
          <w:szCs w:val="30"/>
        </w:rPr>
        <w:t>天津市津南区农业农村委员会</w:t>
      </w:r>
      <w:r>
        <w:rPr>
          <w:rFonts w:ascii="仿宋" w:hAnsi="仿宋"/>
          <w:sz w:val="30"/>
          <w:szCs w:val="30"/>
        </w:rPr>
        <w:t>初步沟通，获取了项目立项依据、项目实施、过程监督、完成情况等相关数据和资料。</w:t>
      </w:r>
    </w:p>
    <w:p>
      <w:pPr>
        <w:pStyle w:val="32"/>
        <w:ind w:firstLine="600"/>
        <w:rPr>
          <w:rFonts w:ascii="仿宋" w:hAnsi="仿宋"/>
          <w:sz w:val="30"/>
          <w:szCs w:val="30"/>
        </w:rPr>
      </w:pPr>
      <w:r>
        <w:rPr>
          <w:rFonts w:hint="eastAsia" w:ascii="仿宋" w:hAnsi="仿宋"/>
          <w:sz w:val="30"/>
          <w:szCs w:val="30"/>
        </w:rPr>
        <w:t>（</w:t>
      </w:r>
      <w:r>
        <w:rPr>
          <w:rFonts w:ascii="仿宋" w:hAnsi="仿宋"/>
          <w:sz w:val="30"/>
          <w:szCs w:val="30"/>
        </w:rPr>
        <w:t>3）制定绩效评价工作方案。</w:t>
      </w:r>
      <w:r>
        <w:rPr>
          <w:rFonts w:hint="eastAsia" w:ascii="仿宋" w:hAnsi="仿宋"/>
          <w:sz w:val="30"/>
          <w:szCs w:val="30"/>
        </w:rPr>
        <w:t>2021</w:t>
      </w:r>
      <w:r>
        <w:rPr>
          <w:rFonts w:ascii="仿宋" w:hAnsi="仿宋"/>
          <w:sz w:val="30"/>
          <w:szCs w:val="30"/>
        </w:rPr>
        <w:t>年12</w:t>
      </w:r>
      <w:r>
        <w:rPr>
          <w:rFonts w:hint="eastAsia" w:ascii="仿宋" w:hAnsi="仿宋"/>
          <w:sz w:val="30"/>
          <w:szCs w:val="30"/>
        </w:rPr>
        <w:t>月</w:t>
      </w:r>
      <w:r>
        <w:rPr>
          <w:rFonts w:ascii="仿宋" w:hAnsi="仿宋"/>
          <w:sz w:val="30"/>
          <w:szCs w:val="30"/>
        </w:rPr>
        <w:t>，评价</w:t>
      </w:r>
      <w:r>
        <w:rPr>
          <w:rFonts w:hint="eastAsia" w:ascii="仿宋" w:hAnsi="仿宋"/>
          <w:sz w:val="30"/>
          <w:szCs w:val="30"/>
        </w:rPr>
        <w:t>小</w:t>
      </w:r>
      <w:r>
        <w:rPr>
          <w:rFonts w:ascii="仿宋" w:hAnsi="仿宋"/>
          <w:sz w:val="30"/>
          <w:szCs w:val="30"/>
        </w:rPr>
        <w:t>组根据项目前期资料情况、初步沟通情况，结合项目</w:t>
      </w:r>
      <w:r>
        <w:rPr>
          <w:rFonts w:hint="eastAsia" w:ascii="仿宋" w:hAnsi="仿宋"/>
          <w:sz w:val="30"/>
          <w:szCs w:val="30"/>
        </w:rPr>
        <w:t>实际情况</w:t>
      </w:r>
      <w:r>
        <w:rPr>
          <w:rFonts w:ascii="仿宋" w:hAnsi="仿宋"/>
          <w:sz w:val="30"/>
          <w:szCs w:val="30"/>
        </w:rPr>
        <w:t>，编制形成项目绩效评价工作方案初稿。工作方案中明确了评价思路、评价指标体系、社会调查方案、具体实施流程以及时间安排等内容。</w:t>
      </w:r>
    </w:p>
    <w:p>
      <w:pPr>
        <w:pStyle w:val="53"/>
        <w:ind w:firstLine="643"/>
        <w:rPr>
          <w:rFonts w:ascii="仿宋" w:hAnsi="仿宋"/>
          <w:sz w:val="32"/>
          <w:szCs w:val="32"/>
        </w:rPr>
      </w:pPr>
      <w:r>
        <w:rPr>
          <w:rFonts w:hint="eastAsia" w:ascii="仿宋" w:hAnsi="仿宋"/>
          <w:sz w:val="32"/>
          <w:szCs w:val="32"/>
        </w:rPr>
        <w:t>2</w:t>
      </w:r>
      <w:r>
        <w:rPr>
          <w:rFonts w:ascii="仿宋" w:hAnsi="仿宋"/>
          <w:sz w:val="32"/>
          <w:szCs w:val="32"/>
        </w:rPr>
        <w:t>.</w:t>
      </w:r>
      <w:r>
        <w:rPr>
          <w:rFonts w:hint="eastAsia" w:ascii="仿宋" w:hAnsi="仿宋"/>
          <w:sz w:val="32"/>
          <w:szCs w:val="32"/>
        </w:rPr>
        <w:t>过程实施阶段</w:t>
      </w:r>
    </w:p>
    <w:p>
      <w:pPr>
        <w:pStyle w:val="32"/>
        <w:ind w:firstLine="600"/>
        <w:rPr>
          <w:rFonts w:ascii="仿宋" w:hAnsi="仿宋"/>
          <w:sz w:val="30"/>
          <w:szCs w:val="30"/>
        </w:rPr>
      </w:pPr>
      <w:r>
        <w:rPr>
          <w:rFonts w:hint="eastAsia" w:ascii="仿宋" w:hAnsi="仿宋"/>
          <w:sz w:val="30"/>
          <w:szCs w:val="30"/>
        </w:rPr>
        <w:t>2021</w:t>
      </w:r>
      <w:r>
        <w:rPr>
          <w:rFonts w:ascii="仿宋" w:hAnsi="仿宋"/>
          <w:sz w:val="30"/>
          <w:szCs w:val="30"/>
        </w:rPr>
        <w:t>年12</w:t>
      </w:r>
      <w:r>
        <w:rPr>
          <w:rFonts w:hint="eastAsia" w:ascii="仿宋" w:hAnsi="仿宋"/>
          <w:sz w:val="30"/>
          <w:szCs w:val="30"/>
        </w:rPr>
        <w:t>月</w:t>
      </w:r>
      <w:r>
        <w:rPr>
          <w:rFonts w:ascii="仿宋" w:hAnsi="仿宋"/>
          <w:sz w:val="30"/>
          <w:szCs w:val="30"/>
        </w:rPr>
        <w:t>，评价</w:t>
      </w:r>
      <w:r>
        <w:rPr>
          <w:rFonts w:hint="eastAsia" w:ascii="仿宋" w:hAnsi="仿宋"/>
          <w:sz w:val="30"/>
          <w:szCs w:val="30"/>
        </w:rPr>
        <w:t>小</w:t>
      </w:r>
      <w:r>
        <w:rPr>
          <w:rFonts w:ascii="仿宋" w:hAnsi="仿宋"/>
          <w:sz w:val="30"/>
          <w:szCs w:val="30"/>
        </w:rPr>
        <w:t>组全面开展社会调查工作。</w:t>
      </w:r>
      <w:r>
        <w:rPr>
          <w:rFonts w:hint="eastAsia" w:ascii="仿宋" w:hAnsi="仿宋"/>
          <w:sz w:val="30"/>
          <w:szCs w:val="30"/>
        </w:rPr>
        <w:t>评价小组通过发放问卷调查的形式对50位居民，围绕人居环境治理、施工影响程度、生态环境改善情况开展问卷调查</w:t>
      </w:r>
      <w:r>
        <w:rPr>
          <w:rFonts w:ascii="仿宋" w:hAnsi="仿宋"/>
          <w:sz w:val="30"/>
          <w:szCs w:val="30"/>
        </w:rPr>
        <w:t>。评价</w:t>
      </w:r>
      <w:r>
        <w:rPr>
          <w:rFonts w:hint="eastAsia" w:ascii="仿宋" w:hAnsi="仿宋"/>
          <w:sz w:val="30"/>
          <w:szCs w:val="30"/>
        </w:rPr>
        <w:t>小</w:t>
      </w:r>
      <w:r>
        <w:rPr>
          <w:rFonts w:ascii="仿宋" w:hAnsi="仿宋"/>
          <w:sz w:val="30"/>
          <w:szCs w:val="30"/>
        </w:rPr>
        <w:t>组</w:t>
      </w:r>
      <w:r>
        <w:rPr>
          <w:rFonts w:hint="eastAsia" w:ascii="仿宋" w:hAnsi="仿宋"/>
          <w:sz w:val="30"/>
          <w:szCs w:val="30"/>
        </w:rPr>
        <w:t>通过</w:t>
      </w:r>
      <w:r>
        <w:rPr>
          <w:rFonts w:ascii="仿宋" w:hAnsi="仿宋"/>
          <w:sz w:val="30"/>
          <w:szCs w:val="30"/>
        </w:rPr>
        <w:t>对访谈记录进行整理，根据访谈提纲对各个问题进行归纳和分析，总结各方意见和建议，撰写访谈报告</w:t>
      </w:r>
      <w:r>
        <w:rPr>
          <w:rFonts w:hint="eastAsia" w:ascii="仿宋" w:hAnsi="仿宋"/>
          <w:sz w:val="30"/>
          <w:szCs w:val="30"/>
        </w:rPr>
        <w:t>；通</w:t>
      </w:r>
      <w:r>
        <w:rPr>
          <w:rFonts w:ascii="仿宋" w:hAnsi="仿宋"/>
          <w:sz w:val="30"/>
          <w:szCs w:val="30"/>
        </w:rPr>
        <w:t>过</w:t>
      </w:r>
      <w:r>
        <w:rPr>
          <w:rFonts w:hint="eastAsia" w:ascii="仿宋" w:hAnsi="仿宋"/>
          <w:sz w:val="30"/>
          <w:szCs w:val="30"/>
        </w:rPr>
        <w:t>对</w:t>
      </w:r>
      <w:r>
        <w:rPr>
          <w:rFonts w:ascii="仿宋" w:hAnsi="仿宋"/>
          <w:sz w:val="30"/>
          <w:szCs w:val="30"/>
        </w:rPr>
        <w:t>问卷</w:t>
      </w:r>
      <w:r>
        <w:rPr>
          <w:rFonts w:hint="eastAsia" w:ascii="仿宋" w:hAnsi="仿宋"/>
          <w:sz w:val="30"/>
          <w:szCs w:val="30"/>
        </w:rPr>
        <w:t>进行</w:t>
      </w:r>
      <w:r>
        <w:rPr>
          <w:rFonts w:ascii="仿宋" w:hAnsi="仿宋"/>
          <w:sz w:val="30"/>
          <w:szCs w:val="30"/>
        </w:rPr>
        <w:t>统计分析</w:t>
      </w:r>
      <w:r>
        <w:rPr>
          <w:rFonts w:hint="eastAsia" w:ascii="仿宋" w:hAnsi="仿宋"/>
          <w:sz w:val="30"/>
          <w:szCs w:val="30"/>
        </w:rPr>
        <w:t>，</w:t>
      </w:r>
      <w:r>
        <w:rPr>
          <w:rFonts w:ascii="仿宋" w:hAnsi="仿宋"/>
          <w:sz w:val="30"/>
          <w:szCs w:val="30"/>
        </w:rPr>
        <w:t>得出各项分析结果，撰写满意度问卷报告</w:t>
      </w:r>
      <w:r>
        <w:rPr>
          <w:rFonts w:hint="eastAsia" w:ascii="仿宋" w:hAnsi="仿宋"/>
          <w:sz w:val="30"/>
          <w:szCs w:val="30"/>
        </w:rPr>
        <w:t>；</w:t>
      </w:r>
      <w:r>
        <w:rPr>
          <w:rFonts w:ascii="仿宋" w:hAnsi="仿宋"/>
          <w:sz w:val="30"/>
          <w:szCs w:val="30"/>
        </w:rPr>
        <w:t>对单位</w:t>
      </w:r>
      <w:r>
        <w:rPr>
          <w:rFonts w:hint="eastAsia" w:ascii="仿宋" w:hAnsi="仿宋"/>
          <w:sz w:val="30"/>
          <w:szCs w:val="30"/>
        </w:rPr>
        <w:t>提供数据</w:t>
      </w:r>
      <w:r>
        <w:rPr>
          <w:rFonts w:ascii="仿宋" w:hAnsi="仿宋"/>
          <w:sz w:val="30"/>
          <w:szCs w:val="30"/>
        </w:rPr>
        <w:t>进行合规性检查，并对合规性检查记录进行整理，总结检查过程中发现的问题，并撰写合规性检查报告。</w:t>
      </w:r>
    </w:p>
    <w:p>
      <w:pPr>
        <w:pStyle w:val="53"/>
        <w:ind w:firstLine="643"/>
        <w:rPr>
          <w:rFonts w:ascii="仿宋" w:hAnsi="仿宋"/>
          <w:sz w:val="32"/>
          <w:szCs w:val="32"/>
        </w:rPr>
      </w:pPr>
      <w:r>
        <w:rPr>
          <w:rFonts w:hint="eastAsia" w:ascii="仿宋" w:hAnsi="仿宋"/>
          <w:sz w:val="32"/>
          <w:szCs w:val="32"/>
        </w:rPr>
        <w:t>3</w:t>
      </w:r>
      <w:r>
        <w:rPr>
          <w:rFonts w:ascii="仿宋" w:hAnsi="仿宋"/>
          <w:sz w:val="32"/>
          <w:szCs w:val="32"/>
        </w:rPr>
        <w:t>.</w:t>
      </w:r>
      <w:r>
        <w:rPr>
          <w:rFonts w:hint="eastAsia" w:ascii="仿宋" w:hAnsi="仿宋"/>
          <w:sz w:val="32"/>
          <w:szCs w:val="32"/>
        </w:rPr>
        <w:t>形成报告阶段</w:t>
      </w:r>
    </w:p>
    <w:p>
      <w:pPr>
        <w:pStyle w:val="32"/>
        <w:ind w:firstLine="600"/>
        <w:rPr>
          <w:rFonts w:ascii="仿宋" w:hAnsi="仿宋"/>
          <w:sz w:val="30"/>
          <w:szCs w:val="30"/>
        </w:rPr>
      </w:pPr>
      <w:r>
        <w:rPr>
          <w:rFonts w:hint="eastAsia" w:ascii="仿宋" w:hAnsi="仿宋"/>
          <w:sz w:val="30"/>
          <w:szCs w:val="30"/>
        </w:rPr>
        <w:t>（</w:t>
      </w:r>
      <w:r>
        <w:rPr>
          <w:rFonts w:ascii="仿宋" w:hAnsi="仿宋"/>
          <w:sz w:val="30"/>
          <w:szCs w:val="30"/>
        </w:rPr>
        <w:t>1）报告撰写。</w:t>
      </w:r>
      <w:r>
        <w:rPr>
          <w:rFonts w:hint="eastAsia" w:ascii="仿宋" w:hAnsi="仿宋"/>
          <w:sz w:val="30"/>
          <w:szCs w:val="30"/>
        </w:rPr>
        <w:t>2021</w:t>
      </w:r>
      <w:r>
        <w:rPr>
          <w:rFonts w:ascii="仿宋" w:hAnsi="仿宋"/>
          <w:sz w:val="30"/>
          <w:szCs w:val="30"/>
        </w:rPr>
        <w:t>年12</w:t>
      </w:r>
      <w:r>
        <w:rPr>
          <w:rFonts w:hint="eastAsia" w:ascii="仿宋" w:hAnsi="仿宋"/>
          <w:sz w:val="30"/>
          <w:szCs w:val="30"/>
        </w:rPr>
        <w:t>月</w:t>
      </w:r>
      <w:r>
        <w:rPr>
          <w:rFonts w:ascii="仿宋" w:hAnsi="仿宋"/>
          <w:sz w:val="30"/>
          <w:szCs w:val="30"/>
        </w:rPr>
        <w:t>，评价</w:t>
      </w:r>
      <w:r>
        <w:rPr>
          <w:rFonts w:hint="eastAsia" w:ascii="仿宋" w:hAnsi="仿宋"/>
          <w:sz w:val="30"/>
          <w:szCs w:val="30"/>
        </w:rPr>
        <w:t>小</w:t>
      </w:r>
      <w:r>
        <w:rPr>
          <w:rFonts w:ascii="仿宋" w:hAnsi="仿宋"/>
          <w:sz w:val="30"/>
          <w:szCs w:val="30"/>
        </w:rPr>
        <w:t>组根据收集和整理的基础数据，对比工作方案中制定的绩效评价指标体系，根据评分标准对各项指标进行打分，制定评分表，并对指标体系中的得分和扣分情况进行说明。然后，评价</w:t>
      </w:r>
      <w:r>
        <w:rPr>
          <w:rFonts w:hint="eastAsia" w:ascii="仿宋" w:hAnsi="仿宋"/>
          <w:sz w:val="30"/>
          <w:szCs w:val="30"/>
        </w:rPr>
        <w:t>小</w:t>
      </w:r>
      <w:r>
        <w:rPr>
          <w:rFonts w:ascii="仿宋" w:hAnsi="仿宋"/>
          <w:sz w:val="30"/>
          <w:szCs w:val="30"/>
        </w:rPr>
        <w:t xml:space="preserve">组结合基础数据表、评分表、访谈分析报告、问卷分析报告、合规性检查报告等结果，按照规定的文本格式和内容撰写绩效评价报告，形成评价报告初稿。 </w:t>
      </w:r>
    </w:p>
    <w:p>
      <w:pPr>
        <w:pStyle w:val="32"/>
        <w:ind w:firstLine="600"/>
        <w:rPr>
          <w:rFonts w:ascii="仿宋" w:hAnsi="仿宋"/>
          <w:sz w:val="30"/>
          <w:szCs w:val="30"/>
        </w:rPr>
      </w:pPr>
      <w:r>
        <w:rPr>
          <w:rFonts w:hint="eastAsia" w:ascii="仿宋" w:hAnsi="仿宋"/>
          <w:sz w:val="30"/>
          <w:szCs w:val="30"/>
        </w:rPr>
        <w:t>（</w:t>
      </w:r>
      <w:r>
        <w:rPr>
          <w:rFonts w:ascii="仿宋" w:hAnsi="仿宋"/>
          <w:sz w:val="30"/>
          <w:szCs w:val="30"/>
        </w:rPr>
        <w:t>2）征求意见及修改。</w:t>
      </w:r>
      <w:r>
        <w:rPr>
          <w:rFonts w:hint="eastAsia" w:ascii="仿宋" w:hAnsi="仿宋"/>
          <w:sz w:val="30"/>
          <w:szCs w:val="30"/>
        </w:rPr>
        <w:t>2021</w:t>
      </w:r>
      <w:r>
        <w:rPr>
          <w:rFonts w:ascii="仿宋" w:hAnsi="仿宋"/>
          <w:sz w:val="30"/>
          <w:szCs w:val="30"/>
        </w:rPr>
        <w:t>年12</w:t>
      </w:r>
      <w:r>
        <w:rPr>
          <w:rFonts w:hint="eastAsia" w:ascii="仿宋" w:hAnsi="仿宋"/>
          <w:sz w:val="30"/>
          <w:szCs w:val="30"/>
        </w:rPr>
        <w:t>月</w:t>
      </w:r>
      <w:r>
        <w:rPr>
          <w:rFonts w:ascii="仿宋" w:hAnsi="仿宋"/>
          <w:sz w:val="30"/>
          <w:szCs w:val="30"/>
        </w:rPr>
        <w:t>，评价</w:t>
      </w:r>
      <w:r>
        <w:rPr>
          <w:rFonts w:hint="eastAsia" w:ascii="仿宋" w:hAnsi="仿宋"/>
          <w:sz w:val="30"/>
          <w:szCs w:val="30"/>
        </w:rPr>
        <w:t>小</w:t>
      </w:r>
      <w:r>
        <w:rPr>
          <w:rFonts w:ascii="仿宋" w:hAnsi="仿宋"/>
          <w:sz w:val="30"/>
          <w:szCs w:val="30"/>
        </w:rPr>
        <w:t>组将绩效评价报告初稿</w:t>
      </w:r>
      <w:r>
        <w:rPr>
          <w:rFonts w:hint="eastAsia" w:ascii="仿宋" w:hAnsi="仿宋"/>
          <w:sz w:val="30"/>
          <w:szCs w:val="30"/>
        </w:rPr>
        <w:t>提交天津市津南区财政局征求</w:t>
      </w:r>
      <w:r>
        <w:rPr>
          <w:rFonts w:ascii="仿宋" w:hAnsi="仿宋"/>
          <w:sz w:val="30"/>
          <w:szCs w:val="30"/>
        </w:rPr>
        <w:t>意见，根据反馈意见进行修改，形成绩效评价报告评审稿。</w:t>
      </w:r>
    </w:p>
    <w:p>
      <w:pPr>
        <w:widowControl/>
        <w:spacing w:line="480" w:lineRule="exact"/>
        <w:ind w:firstLine="0" w:firstLineChars="0"/>
        <w:rPr>
          <w:rFonts w:ascii="仿宋" w:hAnsi="仿宋" w:cs="Times New Roman"/>
          <w:szCs w:val="24"/>
        </w:rPr>
      </w:pPr>
      <w:r>
        <w:rPr>
          <w:rFonts w:ascii="仿宋" w:hAnsi="仿宋"/>
        </w:rPr>
        <w:br w:type="page"/>
      </w:r>
    </w:p>
    <w:p>
      <w:pPr>
        <w:pStyle w:val="30"/>
      </w:pPr>
      <w:bookmarkStart w:id="99" w:name="_GoBack"/>
      <w:bookmarkEnd w:id="99"/>
      <w:bookmarkStart w:id="66" w:name="_Toc65078822"/>
      <w:bookmarkStart w:id="67" w:name="_Toc91632825"/>
      <w:r>
        <w:rPr>
          <w:rFonts w:hint="eastAsia"/>
        </w:rPr>
        <w:t>三、综合评价情况及评价结论</w:t>
      </w:r>
      <w:bookmarkEnd w:id="66"/>
      <w:bookmarkEnd w:id="67"/>
    </w:p>
    <w:p>
      <w:pPr>
        <w:pStyle w:val="28"/>
        <w:rPr>
          <w:szCs w:val="32"/>
        </w:rPr>
      </w:pPr>
      <w:bookmarkStart w:id="68" w:name="_Toc65078823"/>
      <w:bookmarkStart w:id="69" w:name="_Toc91632826"/>
      <w:r>
        <w:rPr>
          <w:rFonts w:hint="eastAsia"/>
          <w:szCs w:val="32"/>
        </w:rPr>
        <w:t>（一）综合评价情况</w:t>
      </w:r>
      <w:bookmarkEnd w:id="68"/>
      <w:bookmarkEnd w:id="69"/>
    </w:p>
    <w:p>
      <w:pPr>
        <w:pStyle w:val="34"/>
        <w:rPr>
          <w:rFonts w:ascii="仿宋" w:hAnsi="仿宋"/>
          <w:sz w:val="32"/>
        </w:rPr>
      </w:pPr>
      <w:bookmarkStart w:id="70" w:name="_Toc65078824"/>
      <w:r>
        <w:rPr>
          <w:rFonts w:hint="eastAsia" w:ascii="仿宋" w:hAnsi="仿宋"/>
          <w:sz w:val="32"/>
        </w:rPr>
        <w:t>1.绩效目标完成情况</w:t>
      </w:r>
      <w:bookmarkEnd w:id="70"/>
    </w:p>
    <w:p>
      <w:pPr>
        <w:pStyle w:val="32"/>
        <w:ind w:firstLine="600"/>
        <w:rPr>
          <w:rFonts w:ascii="仿宋" w:hAnsi="仿宋" w:cs="仿宋"/>
          <w:sz w:val="30"/>
          <w:szCs w:val="30"/>
        </w:rPr>
      </w:pPr>
      <w:bookmarkStart w:id="71" w:name="_Toc65078825"/>
      <w:r>
        <w:rPr>
          <w:rFonts w:hint="eastAsia" w:ascii="仿宋" w:hAnsi="仿宋" w:cs="仿宋"/>
          <w:sz w:val="30"/>
          <w:szCs w:val="30"/>
        </w:rPr>
        <w:t>本项目未填报项目绩效目标申报表，无法评价其绩效目标完成情况。</w:t>
      </w:r>
    </w:p>
    <w:p>
      <w:pPr>
        <w:pStyle w:val="34"/>
        <w:rPr>
          <w:rFonts w:ascii="仿宋" w:hAnsi="仿宋"/>
          <w:sz w:val="32"/>
        </w:rPr>
      </w:pPr>
      <w:r>
        <w:rPr>
          <w:rFonts w:hint="eastAsia" w:ascii="仿宋" w:hAnsi="仿宋"/>
          <w:sz w:val="32"/>
        </w:rPr>
        <w:t>2.项目绩效评价情况</w:t>
      </w:r>
      <w:bookmarkEnd w:id="71"/>
    </w:p>
    <w:p>
      <w:pPr>
        <w:pStyle w:val="53"/>
        <w:ind w:firstLine="602"/>
        <w:rPr>
          <w:rFonts w:ascii="仿宋" w:hAnsi="仿宋"/>
          <w:sz w:val="30"/>
          <w:szCs w:val="30"/>
        </w:rPr>
      </w:pPr>
      <w:r>
        <w:rPr>
          <w:rFonts w:hint="eastAsia" w:ascii="仿宋" w:hAnsi="仿宋"/>
          <w:sz w:val="30"/>
          <w:szCs w:val="30"/>
        </w:rPr>
        <w:t>（1）项目决策</w:t>
      </w:r>
    </w:p>
    <w:p>
      <w:pPr>
        <w:pStyle w:val="32"/>
        <w:ind w:firstLine="600"/>
        <w:rPr>
          <w:rFonts w:ascii="仿宋" w:hAnsi="仿宋" w:cs="仿宋"/>
          <w:sz w:val="30"/>
          <w:szCs w:val="30"/>
        </w:rPr>
      </w:pPr>
      <w:r>
        <w:rPr>
          <w:rFonts w:hint="eastAsia" w:ascii="仿宋" w:hAnsi="仿宋" w:cs="仿宋"/>
          <w:bCs/>
          <w:sz w:val="30"/>
          <w:szCs w:val="30"/>
        </w:rPr>
        <w:t>项目决策部分从项目立项、绩效目标和资金投入三个方面进行评价。项目立项方面，立项依据相对充分，立项程序规范，通过评价小组调研，该项目由天津市津南区改革与发展委员会对天津市津南区农业农村委员会上报的津南区2019年造林绿化项目建议书和可行性研究报告进行批复，由天津市津南区农业农村委员会负责项目具体实施工作</w:t>
      </w:r>
      <w:r>
        <w:rPr>
          <w:rFonts w:hint="eastAsia" w:ascii="仿宋" w:hAnsi="仿宋" w:cs="仿宋"/>
          <w:sz w:val="30"/>
          <w:szCs w:val="30"/>
        </w:rPr>
        <w:t>。绩效目标方面，该项目未填报项目绩效目标申报表，无法评价其绩效目标完成情况。资金投入方面，该项目资金全部由津南区财政拨付。</w:t>
      </w:r>
      <w:r>
        <w:rPr>
          <w:rFonts w:hint="eastAsia" w:ascii="仿宋" w:hAnsi="仿宋" w:cs="仿宋"/>
          <w:bCs/>
          <w:color w:val="000000"/>
          <w:kern w:val="0"/>
          <w:sz w:val="30"/>
          <w:szCs w:val="30"/>
        </w:rPr>
        <w:t>围绕部门职责范围，有完整的实施流程和项目相应的审批文件、材料、会议纪要等。</w:t>
      </w:r>
      <w:r>
        <w:rPr>
          <w:rFonts w:hint="eastAsia" w:ascii="仿宋" w:hAnsi="仿宋" w:cs="仿宋"/>
          <w:bCs/>
          <w:sz w:val="30"/>
          <w:szCs w:val="30"/>
        </w:rPr>
        <w:t>绩效目标方面，</w:t>
      </w:r>
      <w:r>
        <w:rPr>
          <w:rFonts w:hint="eastAsia" w:ascii="仿宋" w:hAnsi="仿宋" w:cs="仿宋"/>
          <w:sz w:val="30"/>
          <w:szCs w:val="30"/>
        </w:rPr>
        <w:t>本项目未填报项目绩效目标申报表，无法评价其绩效目标完成情况。</w:t>
      </w:r>
      <w:r>
        <w:rPr>
          <w:rFonts w:hint="eastAsia" w:ascii="仿宋" w:hAnsi="仿宋" w:cs="仿宋"/>
          <w:bCs/>
          <w:sz w:val="30"/>
          <w:szCs w:val="30"/>
        </w:rPr>
        <w:t>资金投入方面，本项目预算编制时有完整的测算依据，编制审批流程规范合理，实际支出与项目预算无偏差</w:t>
      </w:r>
      <w:r>
        <w:rPr>
          <w:rFonts w:hint="eastAsia" w:ascii="仿宋" w:hAnsi="仿宋" w:cs="仿宋"/>
          <w:sz w:val="30"/>
          <w:szCs w:val="30"/>
        </w:rPr>
        <w:t>，严格参照规定执行。</w:t>
      </w:r>
    </w:p>
    <w:p>
      <w:pPr>
        <w:pStyle w:val="53"/>
        <w:ind w:firstLine="602"/>
        <w:rPr>
          <w:rFonts w:ascii="仿宋" w:hAnsi="仿宋"/>
          <w:sz w:val="30"/>
          <w:szCs w:val="30"/>
        </w:rPr>
      </w:pPr>
      <w:r>
        <w:rPr>
          <w:rFonts w:hint="eastAsia" w:ascii="仿宋" w:hAnsi="仿宋"/>
          <w:sz w:val="30"/>
          <w:szCs w:val="30"/>
        </w:rPr>
        <w:t>（2）项目过程</w:t>
      </w:r>
    </w:p>
    <w:p>
      <w:pPr>
        <w:pStyle w:val="32"/>
        <w:ind w:firstLine="600"/>
        <w:rPr>
          <w:rFonts w:ascii="仿宋" w:hAnsi="仿宋"/>
          <w:sz w:val="30"/>
          <w:szCs w:val="30"/>
        </w:rPr>
      </w:pPr>
      <w:r>
        <w:rPr>
          <w:rFonts w:hint="eastAsia" w:ascii="仿宋" w:hAnsi="仿宋"/>
          <w:sz w:val="30"/>
          <w:szCs w:val="30"/>
        </w:rPr>
        <w:t>项目过程部分从资金管理和组织实施两个方面进行评价。资金管理方面，项目2020年度预算资金为27351.623705万元，截至</w:t>
      </w:r>
      <w:r>
        <w:rPr>
          <w:rFonts w:ascii="仿宋" w:hAnsi="仿宋"/>
          <w:sz w:val="30"/>
          <w:szCs w:val="30"/>
        </w:rPr>
        <w:t>2020</w:t>
      </w:r>
      <w:r>
        <w:rPr>
          <w:rFonts w:hint="eastAsia" w:ascii="仿宋" w:hAnsi="仿宋"/>
          <w:sz w:val="30"/>
          <w:szCs w:val="30"/>
        </w:rPr>
        <w:t>年底，共计支出27351.623705万元，年末无结余，预算执行率为</w:t>
      </w:r>
      <w:r>
        <w:rPr>
          <w:rFonts w:ascii="仿宋" w:hAnsi="仿宋"/>
          <w:sz w:val="30"/>
          <w:szCs w:val="30"/>
        </w:rPr>
        <w:t>100</w:t>
      </w:r>
      <w:r>
        <w:rPr>
          <w:rFonts w:hint="eastAsia" w:ascii="仿宋" w:hAnsi="仿宋"/>
          <w:sz w:val="30"/>
          <w:szCs w:val="30"/>
        </w:rPr>
        <w:t>%。项目开展过程中资金使用符合规定，资金管理情况良好。</w:t>
      </w:r>
      <w:r>
        <w:rPr>
          <w:rFonts w:ascii="仿宋" w:hAnsi="仿宋"/>
          <w:sz w:val="30"/>
          <w:szCs w:val="30"/>
        </w:rPr>
        <w:t>组织实施方面，从业务管理制度和制度执行有效性进行评价，</w:t>
      </w:r>
      <w:r>
        <w:rPr>
          <w:rFonts w:hint="eastAsia" w:ascii="仿宋" w:hAnsi="仿宋"/>
          <w:sz w:val="30"/>
          <w:szCs w:val="30"/>
        </w:rPr>
        <w:t>业务管理制度上单位主要依据</w:t>
      </w:r>
      <w:r>
        <w:rPr>
          <w:rFonts w:hint="eastAsia" w:ascii="仿宋" w:hAnsi="仿宋" w:cs="仿宋"/>
          <w:sz w:val="30"/>
          <w:szCs w:val="30"/>
        </w:rPr>
        <w:t>《</w:t>
      </w:r>
      <w:r>
        <w:rPr>
          <w:rFonts w:hint="eastAsia" w:ascii="仿宋" w:hAnsi="仿宋" w:cs="仿宋"/>
          <w:kern w:val="0"/>
          <w:sz w:val="30"/>
          <w:szCs w:val="30"/>
          <w:lang w:bidi="ar"/>
        </w:rPr>
        <w:t>天津市加强滨海新区和中心城区中间地带规划管控建设绿色生态屏障实施细则</w:t>
      </w:r>
      <w:r>
        <w:rPr>
          <w:rFonts w:hint="eastAsia" w:ascii="仿宋" w:hAnsi="仿宋" w:cs="仿宋"/>
          <w:sz w:val="30"/>
          <w:szCs w:val="30"/>
        </w:rPr>
        <w:t>》、《津南区 2019 年造林绿化工作实施方案》</w:t>
      </w:r>
      <w:r>
        <w:rPr>
          <w:rFonts w:hint="eastAsia" w:ascii="仿宋" w:hAnsi="仿宋"/>
          <w:sz w:val="30"/>
          <w:szCs w:val="30"/>
        </w:rPr>
        <w:t>与单位内部控制制度共同展开业务管理工作</w:t>
      </w:r>
      <w:r>
        <w:rPr>
          <w:rFonts w:ascii="仿宋" w:hAnsi="仿宋"/>
          <w:sz w:val="30"/>
          <w:szCs w:val="30"/>
        </w:rPr>
        <w:t>，资金支付申请参考单位财务管理制度及内部控制管理制度，</w:t>
      </w:r>
      <w:r>
        <w:rPr>
          <w:rFonts w:hint="eastAsia" w:ascii="仿宋" w:hAnsi="仿宋"/>
          <w:sz w:val="30"/>
          <w:szCs w:val="30"/>
        </w:rPr>
        <w:t>审批签字齐全，流程严谨，</w:t>
      </w:r>
      <w:r>
        <w:rPr>
          <w:rFonts w:ascii="仿宋" w:hAnsi="仿宋"/>
          <w:sz w:val="30"/>
          <w:szCs w:val="30"/>
        </w:rPr>
        <w:t>项目业务开展流程符合规范</w:t>
      </w:r>
      <w:r>
        <w:rPr>
          <w:rFonts w:hint="eastAsia" w:ascii="仿宋" w:hAnsi="仿宋"/>
          <w:sz w:val="30"/>
          <w:szCs w:val="30"/>
        </w:rPr>
        <w:t>。</w:t>
      </w:r>
    </w:p>
    <w:p>
      <w:pPr>
        <w:pStyle w:val="53"/>
        <w:ind w:firstLine="602"/>
        <w:rPr>
          <w:rFonts w:ascii="仿宋" w:hAnsi="仿宋"/>
          <w:sz w:val="30"/>
          <w:szCs w:val="30"/>
        </w:rPr>
      </w:pPr>
      <w:r>
        <w:rPr>
          <w:rFonts w:hint="eastAsia" w:ascii="仿宋" w:hAnsi="仿宋"/>
          <w:sz w:val="30"/>
          <w:szCs w:val="30"/>
        </w:rPr>
        <w:t>（3）项目产出</w:t>
      </w:r>
    </w:p>
    <w:p>
      <w:pPr>
        <w:pStyle w:val="32"/>
        <w:ind w:firstLine="600"/>
        <w:rPr>
          <w:rFonts w:ascii="仿宋" w:hAnsi="仿宋"/>
          <w:sz w:val="30"/>
          <w:szCs w:val="30"/>
        </w:rPr>
      </w:pPr>
      <w:r>
        <w:rPr>
          <w:rFonts w:hint="eastAsia" w:ascii="仿宋" w:hAnsi="仿宋"/>
          <w:sz w:val="30"/>
          <w:szCs w:val="30"/>
        </w:rPr>
        <w:t>项目产出围绕造林绿化项目覆盖区域、造林绿化项目竣工验收情况、完工及时性以及费用标准，从产出数量、质量、时效和成本上对项目产出进行评价。产出数量上涉及辛庄镇、双桥河镇、葛沽镇、八里台镇、北闸口镇、小站镇、津南开发区等7个镇及区域，总面积约为 13593亩。产出质量上造林绿化项目竣工验收通过率为100%；产出时效上造林绿化项目完工及时；产出成本上</w:t>
      </w:r>
      <w:r>
        <w:rPr>
          <w:rFonts w:hint="eastAsia" w:ascii="仿宋" w:hAnsi="仿宋" w:cs="仿宋"/>
          <w:sz w:val="30"/>
          <w:szCs w:val="30"/>
          <w:lang w:bidi="zh-CN"/>
        </w:rPr>
        <w:t>严格执行造林绿化工作实施方案标准</w:t>
      </w:r>
      <w:r>
        <w:rPr>
          <w:rFonts w:hint="eastAsia" w:ascii="仿宋" w:hAnsi="仿宋"/>
          <w:sz w:val="30"/>
          <w:szCs w:val="30"/>
        </w:rPr>
        <w:t>要求，根据预决算数据，问卷调查反映情况分析，均符合标准。</w:t>
      </w:r>
    </w:p>
    <w:p>
      <w:pPr>
        <w:pStyle w:val="53"/>
        <w:ind w:firstLine="602"/>
        <w:rPr>
          <w:rFonts w:ascii="仿宋" w:hAnsi="仿宋"/>
          <w:sz w:val="30"/>
          <w:szCs w:val="30"/>
        </w:rPr>
      </w:pPr>
      <w:r>
        <w:rPr>
          <w:rFonts w:hint="eastAsia" w:ascii="仿宋" w:hAnsi="仿宋"/>
          <w:sz w:val="30"/>
          <w:szCs w:val="30"/>
        </w:rPr>
        <w:t>（4）项目效益</w:t>
      </w:r>
    </w:p>
    <w:p>
      <w:pPr>
        <w:pStyle w:val="32"/>
        <w:ind w:firstLine="600"/>
        <w:jc w:val="both"/>
        <w:rPr>
          <w:rFonts w:ascii="仿宋" w:hAnsi="仿宋"/>
          <w:kern w:val="0"/>
          <w:sz w:val="30"/>
          <w:szCs w:val="30"/>
        </w:rPr>
      </w:pPr>
      <w:r>
        <w:rPr>
          <w:rFonts w:hint="eastAsia" w:ascii="仿宋" w:hAnsi="仿宋"/>
          <w:kern w:val="0"/>
          <w:sz w:val="30"/>
          <w:szCs w:val="30"/>
        </w:rPr>
        <w:t>项目效益从社会效益、可持续影响和满意度方面进行评价考察。项目的实施可落实天津市规划局制定的《天津市加强滨海新区和中心城区中间地带规划管控建设绿色生态屏障实施细则》和《津南区 2019 年造林绿化工作实施方案》，展示现代生态文明理念，呈现“大水、大绿、成林、成片”景观，形成“双城生态屏障、津沽绿色之洲”。津南区划入双城中间地带管控范围的区域面积 330 平方公里，约占双城中间地带规划管控范围总面积的 45%。本项目实施后能够使实施区域遭到破坏的生态系统得到修补，提升区域绿化率和绿化质量，人口居住环境，加强城镇基础设施建设，促进城镇整体建设水平提升，加快津南区绿色生态屏障建设，并推进双城中间地带规划管控建设绿色生态屏障的总体进度。</w:t>
      </w:r>
    </w:p>
    <w:p>
      <w:pPr>
        <w:pStyle w:val="28"/>
        <w:rPr>
          <w:szCs w:val="32"/>
        </w:rPr>
      </w:pPr>
      <w:bookmarkStart w:id="72" w:name="_Toc65078826"/>
      <w:bookmarkStart w:id="73" w:name="_Toc91632827"/>
      <w:bookmarkStart w:id="74" w:name="_Toc65078827"/>
      <w:r>
        <w:rPr>
          <w:rFonts w:hint="eastAsia"/>
          <w:szCs w:val="32"/>
        </w:rPr>
        <w:t>（二）评价结论</w:t>
      </w:r>
      <w:bookmarkEnd w:id="72"/>
      <w:bookmarkEnd w:id="73"/>
    </w:p>
    <w:p>
      <w:pPr>
        <w:pStyle w:val="32"/>
        <w:ind w:firstLine="600"/>
        <w:rPr>
          <w:rFonts w:ascii="仿宋" w:hAnsi="仿宋"/>
          <w:sz w:val="30"/>
          <w:szCs w:val="30"/>
        </w:rPr>
      </w:pPr>
      <w:r>
        <w:rPr>
          <w:rFonts w:ascii="仿宋" w:hAnsi="仿宋"/>
          <w:sz w:val="30"/>
          <w:szCs w:val="30"/>
        </w:rPr>
        <w:t>根据</w:t>
      </w:r>
      <w:r>
        <w:rPr>
          <w:rFonts w:hint="eastAsia" w:ascii="仿宋" w:hAnsi="仿宋"/>
          <w:sz w:val="30"/>
          <w:szCs w:val="30"/>
        </w:rPr>
        <w:t>天津市财政局关于印发《天津市市级财政项目支出绩效评价管理办法》的通知（〔</w:t>
      </w:r>
      <w:r>
        <w:rPr>
          <w:rFonts w:ascii="仿宋" w:hAnsi="仿宋"/>
          <w:sz w:val="30"/>
          <w:szCs w:val="30"/>
        </w:rPr>
        <w:t>2020〕12号</w:t>
      </w:r>
      <w:r>
        <w:rPr>
          <w:rFonts w:hint="eastAsia" w:ascii="仿宋" w:hAnsi="仿宋"/>
          <w:sz w:val="30"/>
          <w:szCs w:val="30"/>
        </w:rPr>
        <w:t>）文件要求</w:t>
      </w:r>
      <w:r>
        <w:rPr>
          <w:rFonts w:ascii="仿宋" w:hAnsi="仿宋"/>
          <w:sz w:val="30"/>
          <w:szCs w:val="30"/>
        </w:rPr>
        <w:t>，评价</w:t>
      </w:r>
      <w:r>
        <w:rPr>
          <w:rFonts w:hint="eastAsia" w:ascii="仿宋" w:hAnsi="仿宋"/>
          <w:sz w:val="30"/>
          <w:szCs w:val="30"/>
        </w:rPr>
        <w:t>小</w:t>
      </w:r>
      <w:r>
        <w:rPr>
          <w:rFonts w:ascii="仿宋" w:hAnsi="仿宋"/>
          <w:sz w:val="30"/>
          <w:szCs w:val="30"/>
        </w:rPr>
        <w:t>组对照项目绩效评价指标体系，从决策、过程、产出和效果四个维度，通过数据采集、实地调研和问卷访谈等方式，对</w:t>
      </w:r>
      <w:r>
        <w:rPr>
          <w:rFonts w:hint="eastAsia" w:ascii="仿宋" w:hAnsi="仿宋"/>
          <w:sz w:val="30"/>
          <w:szCs w:val="30"/>
        </w:rPr>
        <w:t>天津市津南区农业农村委员会2019年度造林绿化资金</w:t>
      </w:r>
      <w:r>
        <w:rPr>
          <w:rFonts w:ascii="仿宋" w:hAnsi="仿宋"/>
          <w:sz w:val="30"/>
          <w:szCs w:val="30"/>
        </w:rPr>
        <w:t>项目绩效进行客观公正的评价，本项目总得分为</w:t>
      </w:r>
      <w:r>
        <w:rPr>
          <w:rFonts w:hint="eastAsia" w:ascii="仿宋" w:hAnsi="仿宋"/>
          <w:sz w:val="30"/>
          <w:szCs w:val="30"/>
        </w:rPr>
        <w:t>89.88</w:t>
      </w:r>
      <w:r>
        <w:rPr>
          <w:rFonts w:ascii="仿宋" w:hAnsi="仿宋"/>
          <w:sz w:val="30"/>
          <w:szCs w:val="30"/>
        </w:rPr>
        <w:t>分，绩效评级属于 “</w:t>
      </w:r>
      <w:r>
        <w:rPr>
          <w:rFonts w:hint="eastAsia" w:ascii="仿宋" w:hAnsi="仿宋"/>
          <w:sz w:val="30"/>
          <w:szCs w:val="30"/>
        </w:rPr>
        <w:t>良</w:t>
      </w:r>
      <w:r>
        <w:rPr>
          <w:rFonts w:ascii="仿宋" w:hAnsi="仿宋"/>
          <w:sz w:val="30"/>
          <w:szCs w:val="30"/>
        </w:rPr>
        <w:t>”。最终评分结果如表 3-1 所示</w:t>
      </w:r>
      <w:r>
        <w:rPr>
          <w:rFonts w:hint="eastAsia" w:ascii="仿宋" w:hAnsi="仿宋"/>
          <w:sz w:val="30"/>
          <w:szCs w:val="30"/>
        </w:rPr>
        <w:t>，最终评分对比如图3-</w:t>
      </w:r>
      <w:r>
        <w:rPr>
          <w:rFonts w:ascii="仿宋" w:hAnsi="仿宋"/>
          <w:sz w:val="30"/>
          <w:szCs w:val="30"/>
        </w:rPr>
        <w:t>1</w:t>
      </w:r>
      <w:r>
        <w:rPr>
          <w:rFonts w:hint="eastAsia" w:ascii="仿宋" w:hAnsi="仿宋"/>
          <w:sz w:val="30"/>
          <w:szCs w:val="30"/>
        </w:rPr>
        <w:t>所示</w:t>
      </w:r>
      <w:r>
        <w:rPr>
          <w:rFonts w:ascii="仿宋" w:hAnsi="仿宋"/>
          <w:sz w:val="30"/>
          <w:szCs w:val="30"/>
        </w:rPr>
        <w:t>。各类指标具体评分情况见附件1。</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835"/>
        <w:gridCol w:w="1275"/>
        <w:gridCol w:w="1276"/>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shd w:val="clear" w:color="auto" w:fill="D8D8D8" w:themeFill="background1" w:themeFillShade="D9"/>
          </w:tcPr>
          <w:p>
            <w:pPr>
              <w:pStyle w:val="54"/>
              <w:jc w:val="center"/>
              <w:rPr>
                <w:rFonts w:ascii="仿宋" w:hAnsi="仿宋"/>
                <w:b/>
                <w:bCs/>
              </w:rPr>
            </w:pPr>
            <w:r>
              <w:rPr>
                <w:rFonts w:hint="eastAsia" w:ascii="仿宋" w:hAnsi="仿宋"/>
                <w:b/>
                <w:bCs/>
              </w:rPr>
              <w:t>一级指标</w:t>
            </w:r>
          </w:p>
        </w:tc>
        <w:tc>
          <w:tcPr>
            <w:tcW w:w="2835" w:type="dxa"/>
            <w:shd w:val="clear" w:color="auto" w:fill="D8D8D8" w:themeFill="background1" w:themeFillShade="D9"/>
          </w:tcPr>
          <w:p>
            <w:pPr>
              <w:pStyle w:val="54"/>
              <w:jc w:val="center"/>
              <w:rPr>
                <w:rFonts w:ascii="仿宋" w:hAnsi="仿宋"/>
                <w:b/>
                <w:bCs/>
              </w:rPr>
            </w:pPr>
            <w:r>
              <w:rPr>
                <w:rFonts w:hint="eastAsia" w:ascii="仿宋" w:hAnsi="仿宋"/>
                <w:b/>
                <w:bCs/>
              </w:rPr>
              <w:t>二级指标</w:t>
            </w:r>
          </w:p>
        </w:tc>
        <w:tc>
          <w:tcPr>
            <w:tcW w:w="1275" w:type="dxa"/>
            <w:shd w:val="clear" w:color="auto" w:fill="D8D8D8" w:themeFill="background1" w:themeFillShade="D9"/>
          </w:tcPr>
          <w:p>
            <w:pPr>
              <w:pStyle w:val="54"/>
              <w:jc w:val="center"/>
              <w:rPr>
                <w:rFonts w:ascii="仿宋" w:hAnsi="仿宋"/>
                <w:b/>
                <w:bCs/>
              </w:rPr>
            </w:pPr>
            <w:r>
              <w:rPr>
                <w:rFonts w:hint="eastAsia" w:ascii="仿宋" w:hAnsi="仿宋"/>
                <w:b/>
                <w:bCs/>
              </w:rPr>
              <w:t>权重</w:t>
            </w:r>
          </w:p>
        </w:tc>
        <w:tc>
          <w:tcPr>
            <w:tcW w:w="1276" w:type="dxa"/>
            <w:shd w:val="clear" w:color="auto" w:fill="D8D8D8" w:themeFill="background1" w:themeFillShade="D9"/>
          </w:tcPr>
          <w:p>
            <w:pPr>
              <w:pStyle w:val="54"/>
              <w:jc w:val="center"/>
              <w:rPr>
                <w:rFonts w:ascii="仿宋" w:hAnsi="仿宋"/>
                <w:b/>
                <w:bCs/>
              </w:rPr>
            </w:pPr>
            <w:r>
              <w:rPr>
                <w:rFonts w:hint="eastAsia" w:ascii="仿宋" w:hAnsi="仿宋"/>
                <w:b/>
                <w:bCs/>
              </w:rPr>
              <w:t>得分</w:t>
            </w:r>
          </w:p>
        </w:tc>
        <w:tc>
          <w:tcPr>
            <w:tcW w:w="1355" w:type="dxa"/>
            <w:shd w:val="clear" w:color="auto" w:fill="D8D8D8" w:themeFill="background1" w:themeFillShade="D9"/>
          </w:tcPr>
          <w:p>
            <w:pPr>
              <w:pStyle w:val="54"/>
              <w:jc w:val="center"/>
              <w:rPr>
                <w:rFonts w:ascii="仿宋" w:hAnsi="仿宋"/>
                <w:b/>
                <w:bCs/>
              </w:rPr>
            </w:pPr>
            <w:r>
              <w:rPr>
                <w:rFonts w:hint="eastAsia" w:ascii="仿宋" w:hAnsi="仿宋"/>
                <w:b/>
                <w:bCs/>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55" w:type="dxa"/>
          </w:tcPr>
          <w:p>
            <w:pPr>
              <w:pStyle w:val="54"/>
              <w:jc w:val="center"/>
              <w:rPr>
                <w:rFonts w:ascii="仿宋" w:hAnsi="仿宋"/>
                <w:b/>
                <w:bCs/>
              </w:rPr>
            </w:pPr>
            <w:r>
              <w:rPr>
                <w:rFonts w:hint="eastAsia" w:ascii="仿宋" w:hAnsi="仿宋"/>
                <w:b/>
                <w:bCs/>
              </w:rPr>
              <w:t>A决策</w:t>
            </w:r>
          </w:p>
        </w:tc>
        <w:tc>
          <w:tcPr>
            <w:tcW w:w="2835" w:type="dxa"/>
          </w:tcPr>
          <w:p>
            <w:pPr>
              <w:pStyle w:val="54"/>
              <w:jc w:val="center"/>
              <w:rPr>
                <w:rFonts w:ascii="仿宋" w:hAnsi="仿宋"/>
                <w:b/>
                <w:bCs/>
              </w:rPr>
            </w:pPr>
            <w:r>
              <w:rPr>
                <w:rFonts w:hint="eastAsia" w:ascii="仿宋" w:hAnsi="仿宋"/>
                <w:b/>
                <w:bCs/>
              </w:rPr>
              <w:t>小计</w:t>
            </w:r>
          </w:p>
        </w:tc>
        <w:tc>
          <w:tcPr>
            <w:tcW w:w="1275" w:type="dxa"/>
          </w:tcPr>
          <w:p>
            <w:pPr>
              <w:pStyle w:val="54"/>
              <w:jc w:val="center"/>
              <w:rPr>
                <w:rFonts w:ascii="仿宋" w:hAnsi="仿宋"/>
                <w:b/>
                <w:bCs/>
              </w:rPr>
            </w:pPr>
            <w:r>
              <w:rPr>
                <w:rFonts w:hint="eastAsia" w:ascii="仿宋" w:hAnsi="仿宋"/>
                <w:b/>
                <w:bCs/>
              </w:rPr>
              <w:t>2</w:t>
            </w:r>
            <w:r>
              <w:rPr>
                <w:rFonts w:ascii="仿宋" w:hAnsi="仿宋"/>
                <w:b/>
                <w:bCs/>
              </w:rPr>
              <w:t>0</w:t>
            </w:r>
          </w:p>
        </w:tc>
        <w:tc>
          <w:tcPr>
            <w:tcW w:w="1276" w:type="dxa"/>
          </w:tcPr>
          <w:p>
            <w:pPr>
              <w:pStyle w:val="54"/>
              <w:jc w:val="center"/>
              <w:rPr>
                <w:rFonts w:ascii="仿宋" w:hAnsi="仿宋"/>
                <w:b/>
                <w:bCs/>
              </w:rPr>
            </w:pPr>
            <w:r>
              <w:rPr>
                <w:rFonts w:ascii="仿宋" w:hAnsi="仿宋"/>
                <w:b/>
                <w:bCs/>
              </w:rPr>
              <w:t>1</w:t>
            </w:r>
            <w:r>
              <w:rPr>
                <w:rFonts w:hint="eastAsia" w:ascii="仿宋" w:hAnsi="仿宋"/>
                <w:b/>
                <w:bCs/>
              </w:rPr>
              <w:t>2</w:t>
            </w:r>
          </w:p>
        </w:tc>
        <w:tc>
          <w:tcPr>
            <w:tcW w:w="1355" w:type="dxa"/>
          </w:tcPr>
          <w:p>
            <w:pPr>
              <w:pStyle w:val="54"/>
              <w:jc w:val="center"/>
              <w:rPr>
                <w:rFonts w:ascii="仿宋" w:hAnsi="仿宋"/>
                <w:b/>
                <w:bCs/>
              </w:rPr>
            </w:pPr>
            <w:r>
              <w:rPr>
                <w:rFonts w:hint="eastAsia" w:ascii="仿宋" w:hAnsi="仿宋"/>
                <w:b/>
                <w:bCs/>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54"/>
              <w:rPr>
                <w:rFonts w:ascii="仿宋" w:hAnsi="仿宋"/>
              </w:rPr>
            </w:pPr>
          </w:p>
        </w:tc>
        <w:tc>
          <w:tcPr>
            <w:tcW w:w="2835" w:type="dxa"/>
          </w:tcPr>
          <w:p>
            <w:pPr>
              <w:pStyle w:val="54"/>
              <w:rPr>
                <w:rFonts w:ascii="仿宋" w:hAnsi="仿宋"/>
              </w:rPr>
            </w:pPr>
            <w:r>
              <w:rPr>
                <w:rFonts w:hint="eastAsia" w:ascii="仿宋" w:hAnsi="仿宋"/>
              </w:rPr>
              <w:t>A</w:t>
            </w:r>
            <w:r>
              <w:rPr>
                <w:rFonts w:ascii="仿宋" w:hAnsi="仿宋"/>
              </w:rPr>
              <w:t>1</w:t>
            </w:r>
            <w:r>
              <w:rPr>
                <w:rFonts w:hint="eastAsia" w:ascii="仿宋" w:hAnsi="仿宋"/>
              </w:rPr>
              <w:t>项目立项</w:t>
            </w:r>
          </w:p>
        </w:tc>
        <w:tc>
          <w:tcPr>
            <w:tcW w:w="1275" w:type="dxa"/>
          </w:tcPr>
          <w:p>
            <w:pPr>
              <w:pStyle w:val="54"/>
              <w:jc w:val="center"/>
              <w:rPr>
                <w:rFonts w:ascii="仿宋" w:hAnsi="仿宋"/>
              </w:rPr>
            </w:pPr>
            <w:r>
              <w:rPr>
                <w:rFonts w:hint="eastAsia" w:ascii="仿宋" w:hAnsi="仿宋"/>
              </w:rPr>
              <w:t>8</w:t>
            </w:r>
          </w:p>
        </w:tc>
        <w:tc>
          <w:tcPr>
            <w:tcW w:w="1276" w:type="dxa"/>
          </w:tcPr>
          <w:p>
            <w:pPr>
              <w:pStyle w:val="54"/>
              <w:jc w:val="center"/>
              <w:rPr>
                <w:rFonts w:ascii="仿宋" w:hAnsi="仿宋"/>
              </w:rPr>
            </w:pPr>
            <w:r>
              <w:rPr>
                <w:rFonts w:ascii="仿宋" w:hAnsi="仿宋"/>
              </w:rPr>
              <w:t>8</w:t>
            </w:r>
          </w:p>
        </w:tc>
        <w:tc>
          <w:tcPr>
            <w:tcW w:w="1355"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54"/>
              <w:rPr>
                <w:rFonts w:ascii="仿宋" w:hAnsi="仿宋"/>
              </w:rPr>
            </w:pPr>
          </w:p>
        </w:tc>
        <w:tc>
          <w:tcPr>
            <w:tcW w:w="2835" w:type="dxa"/>
          </w:tcPr>
          <w:p>
            <w:pPr>
              <w:pStyle w:val="54"/>
              <w:rPr>
                <w:rFonts w:ascii="仿宋" w:hAnsi="仿宋"/>
              </w:rPr>
            </w:pPr>
            <w:r>
              <w:rPr>
                <w:rFonts w:hint="eastAsia" w:ascii="仿宋" w:hAnsi="仿宋"/>
              </w:rPr>
              <w:t>A</w:t>
            </w:r>
            <w:r>
              <w:rPr>
                <w:rFonts w:ascii="仿宋" w:hAnsi="仿宋"/>
              </w:rPr>
              <w:t>2</w:t>
            </w:r>
            <w:r>
              <w:rPr>
                <w:rFonts w:hint="eastAsia" w:ascii="仿宋" w:hAnsi="仿宋"/>
              </w:rPr>
              <w:t>绩效目标</w:t>
            </w:r>
          </w:p>
        </w:tc>
        <w:tc>
          <w:tcPr>
            <w:tcW w:w="1275" w:type="dxa"/>
          </w:tcPr>
          <w:p>
            <w:pPr>
              <w:pStyle w:val="54"/>
              <w:jc w:val="center"/>
              <w:rPr>
                <w:rFonts w:ascii="仿宋" w:hAnsi="仿宋"/>
              </w:rPr>
            </w:pPr>
            <w:r>
              <w:rPr>
                <w:rFonts w:ascii="仿宋" w:hAnsi="仿宋"/>
              </w:rPr>
              <w:t>8</w:t>
            </w:r>
          </w:p>
        </w:tc>
        <w:tc>
          <w:tcPr>
            <w:tcW w:w="1276" w:type="dxa"/>
          </w:tcPr>
          <w:p>
            <w:pPr>
              <w:pStyle w:val="54"/>
              <w:jc w:val="center"/>
              <w:rPr>
                <w:rFonts w:ascii="仿宋" w:hAnsi="仿宋"/>
              </w:rPr>
            </w:pPr>
            <w:r>
              <w:rPr>
                <w:rFonts w:hint="eastAsia" w:ascii="仿宋" w:hAnsi="仿宋"/>
              </w:rPr>
              <w:t>0</w:t>
            </w:r>
          </w:p>
        </w:tc>
        <w:tc>
          <w:tcPr>
            <w:tcW w:w="1355" w:type="dxa"/>
          </w:tcPr>
          <w:p>
            <w:pPr>
              <w:pStyle w:val="54"/>
              <w:jc w:val="center"/>
              <w:rPr>
                <w:rFonts w:ascii="仿宋" w:hAnsi="仿宋"/>
              </w:rPr>
            </w:pPr>
            <w:r>
              <w:rPr>
                <w:rFonts w:hint="eastAsia" w:ascii="仿宋" w:hAnsi="仿宋"/>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54"/>
              <w:rPr>
                <w:rFonts w:ascii="仿宋" w:hAnsi="仿宋"/>
              </w:rPr>
            </w:pPr>
          </w:p>
        </w:tc>
        <w:tc>
          <w:tcPr>
            <w:tcW w:w="2835" w:type="dxa"/>
          </w:tcPr>
          <w:p>
            <w:pPr>
              <w:pStyle w:val="54"/>
              <w:rPr>
                <w:rFonts w:ascii="仿宋" w:hAnsi="仿宋"/>
              </w:rPr>
            </w:pPr>
            <w:r>
              <w:rPr>
                <w:rFonts w:hint="eastAsia" w:ascii="仿宋" w:hAnsi="仿宋"/>
              </w:rPr>
              <w:t>A</w:t>
            </w:r>
            <w:r>
              <w:rPr>
                <w:rFonts w:ascii="仿宋" w:hAnsi="仿宋"/>
              </w:rPr>
              <w:t>3</w:t>
            </w:r>
            <w:r>
              <w:rPr>
                <w:rFonts w:hint="eastAsia" w:ascii="仿宋" w:hAnsi="仿宋"/>
              </w:rPr>
              <w:t>资金投入</w:t>
            </w:r>
          </w:p>
        </w:tc>
        <w:tc>
          <w:tcPr>
            <w:tcW w:w="1275" w:type="dxa"/>
          </w:tcPr>
          <w:p>
            <w:pPr>
              <w:pStyle w:val="54"/>
              <w:jc w:val="center"/>
              <w:rPr>
                <w:rFonts w:ascii="仿宋" w:hAnsi="仿宋"/>
              </w:rPr>
            </w:pPr>
            <w:r>
              <w:rPr>
                <w:rFonts w:ascii="仿宋" w:hAnsi="仿宋"/>
              </w:rPr>
              <w:t>4</w:t>
            </w:r>
          </w:p>
        </w:tc>
        <w:tc>
          <w:tcPr>
            <w:tcW w:w="1276" w:type="dxa"/>
          </w:tcPr>
          <w:p>
            <w:pPr>
              <w:pStyle w:val="54"/>
              <w:jc w:val="center"/>
              <w:rPr>
                <w:rFonts w:ascii="仿宋" w:hAnsi="仿宋"/>
              </w:rPr>
            </w:pPr>
            <w:r>
              <w:rPr>
                <w:rFonts w:ascii="仿宋" w:hAnsi="仿宋"/>
              </w:rPr>
              <w:t>4</w:t>
            </w:r>
          </w:p>
        </w:tc>
        <w:tc>
          <w:tcPr>
            <w:tcW w:w="1355"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54"/>
              <w:jc w:val="center"/>
              <w:rPr>
                <w:rFonts w:ascii="仿宋" w:hAnsi="仿宋"/>
                <w:b/>
                <w:bCs/>
              </w:rPr>
            </w:pPr>
            <w:r>
              <w:rPr>
                <w:rFonts w:hint="eastAsia" w:ascii="仿宋" w:hAnsi="仿宋"/>
                <w:b/>
                <w:bCs/>
              </w:rPr>
              <w:t>B过程</w:t>
            </w:r>
          </w:p>
        </w:tc>
        <w:tc>
          <w:tcPr>
            <w:tcW w:w="2835" w:type="dxa"/>
          </w:tcPr>
          <w:p>
            <w:pPr>
              <w:pStyle w:val="54"/>
              <w:jc w:val="center"/>
              <w:rPr>
                <w:rFonts w:ascii="仿宋" w:hAnsi="仿宋"/>
                <w:b/>
                <w:bCs/>
              </w:rPr>
            </w:pPr>
            <w:r>
              <w:rPr>
                <w:rFonts w:hint="eastAsia" w:ascii="仿宋" w:hAnsi="仿宋"/>
                <w:b/>
                <w:bCs/>
              </w:rPr>
              <w:t>小计</w:t>
            </w:r>
          </w:p>
        </w:tc>
        <w:tc>
          <w:tcPr>
            <w:tcW w:w="1275" w:type="dxa"/>
          </w:tcPr>
          <w:p>
            <w:pPr>
              <w:pStyle w:val="54"/>
              <w:jc w:val="center"/>
              <w:rPr>
                <w:rFonts w:ascii="仿宋" w:hAnsi="仿宋"/>
                <w:b/>
                <w:bCs/>
              </w:rPr>
            </w:pPr>
            <w:r>
              <w:rPr>
                <w:rFonts w:hint="eastAsia" w:ascii="仿宋" w:hAnsi="仿宋"/>
                <w:b/>
                <w:bCs/>
              </w:rPr>
              <w:t>2</w:t>
            </w:r>
            <w:r>
              <w:rPr>
                <w:rFonts w:ascii="仿宋" w:hAnsi="仿宋"/>
                <w:b/>
                <w:bCs/>
              </w:rPr>
              <w:t>0</w:t>
            </w:r>
          </w:p>
        </w:tc>
        <w:tc>
          <w:tcPr>
            <w:tcW w:w="1276" w:type="dxa"/>
          </w:tcPr>
          <w:p>
            <w:pPr>
              <w:pStyle w:val="54"/>
              <w:jc w:val="center"/>
              <w:rPr>
                <w:rFonts w:ascii="仿宋" w:hAnsi="仿宋"/>
                <w:b/>
                <w:bCs/>
              </w:rPr>
            </w:pPr>
            <w:r>
              <w:rPr>
                <w:rFonts w:ascii="仿宋" w:hAnsi="仿宋"/>
                <w:b/>
                <w:bCs/>
              </w:rPr>
              <w:t>20</w:t>
            </w:r>
          </w:p>
        </w:tc>
        <w:tc>
          <w:tcPr>
            <w:tcW w:w="1355" w:type="dxa"/>
          </w:tcPr>
          <w:p>
            <w:pPr>
              <w:pStyle w:val="54"/>
              <w:jc w:val="center"/>
              <w:rPr>
                <w:rFonts w:ascii="仿宋" w:hAnsi="仿宋"/>
                <w:b/>
                <w:bCs/>
              </w:rPr>
            </w:pPr>
            <w:r>
              <w:rPr>
                <w:rFonts w:ascii="仿宋" w:hAnsi="仿宋"/>
                <w:b/>
                <w:bCs/>
              </w:rPr>
              <w:t>100</w:t>
            </w:r>
            <w:r>
              <w:rPr>
                <w:rFonts w:hint="eastAsia" w:ascii="仿宋" w:hAnsi="仿宋"/>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54"/>
              <w:rPr>
                <w:rFonts w:ascii="仿宋" w:hAnsi="仿宋"/>
              </w:rPr>
            </w:pPr>
          </w:p>
        </w:tc>
        <w:tc>
          <w:tcPr>
            <w:tcW w:w="2835" w:type="dxa"/>
          </w:tcPr>
          <w:p>
            <w:pPr>
              <w:pStyle w:val="54"/>
              <w:rPr>
                <w:rFonts w:ascii="仿宋" w:hAnsi="仿宋"/>
              </w:rPr>
            </w:pPr>
            <w:r>
              <w:rPr>
                <w:rFonts w:hint="eastAsia" w:ascii="仿宋" w:hAnsi="仿宋"/>
              </w:rPr>
              <w:t>B</w:t>
            </w:r>
            <w:r>
              <w:rPr>
                <w:rFonts w:ascii="仿宋" w:hAnsi="仿宋"/>
              </w:rPr>
              <w:t>1</w:t>
            </w:r>
            <w:r>
              <w:rPr>
                <w:rFonts w:hint="eastAsia" w:ascii="仿宋" w:hAnsi="仿宋"/>
              </w:rPr>
              <w:t>资金管理</w:t>
            </w:r>
          </w:p>
        </w:tc>
        <w:tc>
          <w:tcPr>
            <w:tcW w:w="1275" w:type="dxa"/>
          </w:tcPr>
          <w:p>
            <w:pPr>
              <w:pStyle w:val="54"/>
              <w:jc w:val="center"/>
              <w:rPr>
                <w:rFonts w:ascii="仿宋" w:hAnsi="仿宋"/>
              </w:rPr>
            </w:pPr>
            <w:r>
              <w:rPr>
                <w:rFonts w:hint="eastAsia" w:ascii="仿宋" w:hAnsi="仿宋"/>
              </w:rPr>
              <w:t>5</w:t>
            </w:r>
          </w:p>
        </w:tc>
        <w:tc>
          <w:tcPr>
            <w:tcW w:w="1276" w:type="dxa"/>
          </w:tcPr>
          <w:p>
            <w:pPr>
              <w:pStyle w:val="54"/>
              <w:jc w:val="center"/>
              <w:rPr>
                <w:rFonts w:ascii="仿宋" w:hAnsi="仿宋"/>
              </w:rPr>
            </w:pPr>
            <w:r>
              <w:rPr>
                <w:rFonts w:ascii="仿宋" w:hAnsi="仿宋"/>
              </w:rPr>
              <w:t>5</w:t>
            </w:r>
          </w:p>
        </w:tc>
        <w:tc>
          <w:tcPr>
            <w:tcW w:w="1355"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5" w:type="dxa"/>
          </w:tcPr>
          <w:p>
            <w:pPr>
              <w:pStyle w:val="54"/>
              <w:rPr>
                <w:rFonts w:ascii="仿宋" w:hAnsi="仿宋"/>
              </w:rPr>
            </w:pPr>
          </w:p>
        </w:tc>
        <w:tc>
          <w:tcPr>
            <w:tcW w:w="2835" w:type="dxa"/>
          </w:tcPr>
          <w:p>
            <w:pPr>
              <w:pStyle w:val="54"/>
              <w:rPr>
                <w:rFonts w:ascii="仿宋" w:hAnsi="仿宋"/>
              </w:rPr>
            </w:pPr>
            <w:r>
              <w:rPr>
                <w:rFonts w:hint="eastAsia" w:ascii="仿宋" w:hAnsi="仿宋"/>
              </w:rPr>
              <w:t>B</w:t>
            </w:r>
            <w:r>
              <w:rPr>
                <w:rFonts w:ascii="仿宋" w:hAnsi="仿宋"/>
              </w:rPr>
              <w:t>2</w:t>
            </w:r>
            <w:r>
              <w:rPr>
                <w:rFonts w:hint="eastAsia" w:ascii="仿宋" w:hAnsi="仿宋"/>
              </w:rPr>
              <w:t>组织实施</w:t>
            </w:r>
          </w:p>
        </w:tc>
        <w:tc>
          <w:tcPr>
            <w:tcW w:w="1275" w:type="dxa"/>
          </w:tcPr>
          <w:p>
            <w:pPr>
              <w:pStyle w:val="54"/>
              <w:jc w:val="center"/>
              <w:rPr>
                <w:rFonts w:ascii="仿宋" w:hAnsi="仿宋"/>
              </w:rPr>
            </w:pPr>
            <w:r>
              <w:rPr>
                <w:rFonts w:hint="eastAsia" w:ascii="仿宋" w:hAnsi="仿宋"/>
              </w:rPr>
              <w:t>1</w:t>
            </w:r>
            <w:r>
              <w:rPr>
                <w:rFonts w:ascii="仿宋" w:hAnsi="仿宋"/>
              </w:rPr>
              <w:t>5</w:t>
            </w:r>
          </w:p>
        </w:tc>
        <w:tc>
          <w:tcPr>
            <w:tcW w:w="1276" w:type="dxa"/>
          </w:tcPr>
          <w:p>
            <w:pPr>
              <w:pStyle w:val="54"/>
              <w:jc w:val="center"/>
              <w:rPr>
                <w:rFonts w:ascii="仿宋" w:hAnsi="仿宋"/>
              </w:rPr>
            </w:pPr>
            <w:r>
              <w:rPr>
                <w:rFonts w:ascii="仿宋" w:hAnsi="仿宋"/>
              </w:rPr>
              <w:t>15</w:t>
            </w:r>
          </w:p>
        </w:tc>
        <w:tc>
          <w:tcPr>
            <w:tcW w:w="1355"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54"/>
              <w:jc w:val="center"/>
              <w:rPr>
                <w:rFonts w:ascii="仿宋" w:hAnsi="仿宋"/>
                <w:b/>
                <w:bCs/>
              </w:rPr>
            </w:pPr>
            <w:r>
              <w:rPr>
                <w:rFonts w:hint="eastAsia" w:ascii="仿宋" w:hAnsi="仿宋"/>
                <w:b/>
                <w:bCs/>
              </w:rPr>
              <w:t>C产出</w:t>
            </w:r>
          </w:p>
        </w:tc>
        <w:tc>
          <w:tcPr>
            <w:tcW w:w="2835" w:type="dxa"/>
          </w:tcPr>
          <w:p>
            <w:pPr>
              <w:pStyle w:val="54"/>
              <w:jc w:val="center"/>
              <w:rPr>
                <w:rFonts w:ascii="仿宋" w:hAnsi="仿宋"/>
                <w:b/>
                <w:bCs/>
              </w:rPr>
            </w:pPr>
            <w:r>
              <w:rPr>
                <w:rFonts w:hint="eastAsia" w:ascii="仿宋" w:hAnsi="仿宋"/>
                <w:b/>
                <w:bCs/>
              </w:rPr>
              <w:t>小计</w:t>
            </w:r>
          </w:p>
        </w:tc>
        <w:tc>
          <w:tcPr>
            <w:tcW w:w="1275" w:type="dxa"/>
          </w:tcPr>
          <w:p>
            <w:pPr>
              <w:pStyle w:val="54"/>
              <w:jc w:val="center"/>
              <w:rPr>
                <w:rFonts w:ascii="仿宋" w:hAnsi="仿宋"/>
                <w:b/>
                <w:bCs/>
              </w:rPr>
            </w:pPr>
            <w:r>
              <w:rPr>
                <w:rFonts w:hint="eastAsia" w:ascii="仿宋" w:hAnsi="仿宋"/>
                <w:b/>
                <w:bCs/>
              </w:rPr>
              <w:t>3</w:t>
            </w:r>
            <w:r>
              <w:rPr>
                <w:rFonts w:ascii="仿宋" w:hAnsi="仿宋"/>
                <w:b/>
                <w:bCs/>
              </w:rPr>
              <w:t>0</w:t>
            </w:r>
          </w:p>
        </w:tc>
        <w:tc>
          <w:tcPr>
            <w:tcW w:w="1276" w:type="dxa"/>
          </w:tcPr>
          <w:p>
            <w:pPr>
              <w:pStyle w:val="54"/>
              <w:jc w:val="center"/>
              <w:rPr>
                <w:rFonts w:ascii="仿宋" w:hAnsi="仿宋"/>
                <w:b/>
                <w:bCs/>
              </w:rPr>
            </w:pPr>
            <w:r>
              <w:rPr>
                <w:rFonts w:hint="eastAsia" w:ascii="仿宋" w:hAnsi="仿宋"/>
                <w:b/>
                <w:bCs/>
              </w:rPr>
              <w:t>30</w:t>
            </w:r>
          </w:p>
        </w:tc>
        <w:tc>
          <w:tcPr>
            <w:tcW w:w="1355" w:type="dxa"/>
          </w:tcPr>
          <w:p>
            <w:pPr>
              <w:pStyle w:val="54"/>
              <w:jc w:val="center"/>
              <w:rPr>
                <w:rFonts w:ascii="仿宋" w:hAnsi="仿宋"/>
                <w:b/>
                <w:bCs/>
              </w:rPr>
            </w:pPr>
            <w:r>
              <w:rPr>
                <w:rFonts w:hint="eastAsia" w:ascii="仿宋" w:hAnsi="仿宋"/>
                <w:b/>
                <w:bCs/>
              </w:rPr>
              <w:t>10</w:t>
            </w:r>
            <w:r>
              <w:rPr>
                <w:rFonts w:ascii="仿宋" w:hAnsi="仿宋"/>
                <w:b/>
                <w:bCs/>
              </w:rPr>
              <w:t>0</w:t>
            </w:r>
            <w:r>
              <w:rPr>
                <w:rFonts w:hint="eastAsia" w:ascii="仿宋" w:hAnsi="仿宋"/>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54"/>
              <w:rPr>
                <w:rFonts w:ascii="仿宋" w:hAnsi="仿宋"/>
              </w:rPr>
            </w:pPr>
          </w:p>
        </w:tc>
        <w:tc>
          <w:tcPr>
            <w:tcW w:w="2835" w:type="dxa"/>
          </w:tcPr>
          <w:p>
            <w:pPr>
              <w:pStyle w:val="54"/>
              <w:rPr>
                <w:rFonts w:ascii="仿宋" w:hAnsi="仿宋"/>
              </w:rPr>
            </w:pPr>
            <w:r>
              <w:rPr>
                <w:rFonts w:hint="eastAsia" w:ascii="仿宋" w:hAnsi="仿宋"/>
              </w:rPr>
              <w:t>C</w:t>
            </w:r>
            <w:r>
              <w:rPr>
                <w:rFonts w:ascii="仿宋" w:hAnsi="仿宋"/>
              </w:rPr>
              <w:t>1</w:t>
            </w:r>
            <w:r>
              <w:rPr>
                <w:rFonts w:hint="eastAsia" w:ascii="仿宋" w:hAnsi="仿宋"/>
              </w:rPr>
              <w:t>产出数量</w:t>
            </w:r>
          </w:p>
        </w:tc>
        <w:tc>
          <w:tcPr>
            <w:tcW w:w="1275" w:type="dxa"/>
          </w:tcPr>
          <w:p>
            <w:pPr>
              <w:pStyle w:val="54"/>
              <w:jc w:val="center"/>
              <w:rPr>
                <w:rFonts w:ascii="仿宋" w:hAnsi="仿宋"/>
              </w:rPr>
            </w:pPr>
            <w:r>
              <w:rPr>
                <w:rFonts w:ascii="仿宋" w:hAnsi="仿宋"/>
              </w:rPr>
              <w:t>8</w:t>
            </w:r>
          </w:p>
        </w:tc>
        <w:tc>
          <w:tcPr>
            <w:tcW w:w="1276" w:type="dxa"/>
          </w:tcPr>
          <w:p>
            <w:pPr>
              <w:pStyle w:val="54"/>
              <w:jc w:val="center"/>
              <w:rPr>
                <w:rFonts w:ascii="仿宋" w:hAnsi="仿宋"/>
              </w:rPr>
            </w:pPr>
            <w:r>
              <w:rPr>
                <w:rFonts w:hint="eastAsia" w:ascii="仿宋" w:hAnsi="仿宋"/>
              </w:rPr>
              <w:t>8</w:t>
            </w:r>
          </w:p>
        </w:tc>
        <w:tc>
          <w:tcPr>
            <w:tcW w:w="1355" w:type="dxa"/>
          </w:tcPr>
          <w:p>
            <w:pPr>
              <w:pStyle w:val="54"/>
              <w:jc w:val="center"/>
              <w:rPr>
                <w:rFonts w:ascii="仿宋" w:hAnsi="仿宋"/>
              </w:rPr>
            </w:pPr>
            <w:r>
              <w:rPr>
                <w:rFonts w:hint="eastAsia" w:ascii="仿宋" w:hAnsi="仿宋"/>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54"/>
              <w:rPr>
                <w:rFonts w:ascii="仿宋" w:hAnsi="仿宋"/>
              </w:rPr>
            </w:pPr>
          </w:p>
        </w:tc>
        <w:tc>
          <w:tcPr>
            <w:tcW w:w="2835" w:type="dxa"/>
          </w:tcPr>
          <w:p>
            <w:pPr>
              <w:pStyle w:val="54"/>
              <w:rPr>
                <w:rFonts w:ascii="仿宋" w:hAnsi="仿宋"/>
              </w:rPr>
            </w:pPr>
            <w:r>
              <w:rPr>
                <w:rFonts w:hint="eastAsia" w:ascii="仿宋" w:hAnsi="仿宋"/>
              </w:rPr>
              <w:t>C</w:t>
            </w:r>
            <w:r>
              <w:rPr>
                <w:rFonts w:ascii="仿宋" w:hAnsi="仿宋"/>
              </w:rPr>
              <w:t>2</w:t>
            </w:r>
            <w:r>
              <w:rPr>
                <w:rFonts w:hint="eastAsia" w:ascii="仿宋" w:hAnsi="仿宋"/>
              </w:rPr>
              <w:t>产出质量</w:t>
            </w:r>
          </w:p>
        </w:tc>
        <w:tc>
          <w:tcPr>
            <w:tcW w:w="1275" w:type="dxa"/>
          </w:tcPr>
          <w:p>
            <w:pPr>
              <w:pStyle w:val="54"/>
              <w:jc w:val="center"/>
              <w:rPr>
                <w:rFonts w:ascii="仿宋" w:hAnsi="仿宋"/>
              </w:rPr>
            </w:pPr>
            <w:r>
              <w:rPr>
                <w:rFonts w:ascii="仿宋" w:hAnsi="仿宋"/>
              </w:rPr>
              <w:t>8</w:t>
            </w:r>
          </w:p>
        </w:tc>
        <w:tc>
          <w:tcPr>
            <w:tcW w:w="1276" w:type="dxa"/>
          </w:tcPr>
          <w:p>
            <w:pPr>
              <w:pStyle w:val="54"/>
              <w:jc w:val="center"/>
              <w:rPr>
                <w:rFonts w:ascii="仿宋" w:hAnsi="仿宋"/>
              </w:rPr>
            </w:pPr>
            <w:r>
              <w:rPr>
                <w:rFonts w:ascii="仿宋" w:hAnsi="仿宋"/>
              </w:rPr>
              <w:t>8</w:t>
            </w:r>
          </w:p>
        </w:tc>
        <w:tc>
          <w:tcPr>
            <w:tcW w:w="1355"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54"/>
              <w:rPr>
                <w:rFonts w:ascii="仿宋" w:hAnsi="仿宋"/>
              </w:rPr>
            </w:pPr>
          </w:p>
        </w:tc>
        <w:tc>
          <w:tcPr>
            <w:tcW w:w="2835" w:type="dxa"/>
          </w:tcPr>
          <w:p>
            <w:pPr>
              <w:pStyle w:val="54"/>
              <w:rPr>
                <w:rFonts w:ascii="仿宋" w:hAnsi="仿宋"/>
              </w:rPr>
            </w:pPr>
            <w:r>
              <w:rPr>
                <w:rFonts w:hint="eastAsia" w:ascii="仿宋" w:hAnsi="仿宋"/>
              </w:rPr>
              <w:t>C</w:t>
            </w:r>
            <w:r>
              <w:rPr>
                <w:rFonts w:ascii="仿宋" w:hAnsi="仿宋"/>
              </w:rPr>
              <w:t>3</w:t>
            </w:r>
            <w:r>
              <w:rPr>
                <w:rFonts w:hint="eastAsia" w:ascii="仿宋" w:hAnsi="仿宋"/>
              </w:rPr>
              <w:t>产出时效</w:t>
            </w:r>
          </w:p>
        </w:tc>
        <w:tc>
          <w:tcPr>
            <w:tcW w:w="1275" w:type="dxa"/>
          </w:tcPr>
          <w:p>
            <w:pPr>
              <w:pStyle w:val="54"/>
              <w:jc w:val="center"/>
              <w:rPr>
                <w:rFonts w:ascii="仿宋" w:hAnsi="仿宋"/>
              </w:rPr>
            </w:pPr>
            <w:r>
              <w:rPr>
                <w:rFonts w:ascii="仿宋" w:hAnsi="仿宋"/>
              </w:rPr>
              <w:t>7</w:t>
            </w:r>
          </w:p>
        </w:tc>
        <w:tc>
          <w:tcPr>
            <w:tcW w:w="1276" w:type="dxa"/>
          </w:tcPr>
          <w:p>
            <w:pPr>
              <w:pStyle w:val="54"/>
              <w:jc w:val="center"/>
              <w:rPr>
                <w:rFonts w:ascii="仿宋" w:hAnsi="仿宋"/>
              </w:rPr>
            </w:pPr>
            <w:r>
              <w:rPr>
                <w:rFonts w:ascii="仿宋" w:hAnsi="仿宋"/>
              </w:rPr>
              <w:t>7</w:t>
            </w:r>
          </w:p>
        </w:tc>
        <w:tc>
          <w:tcPr>
            <w:tcW w:w="1355"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54"/>
              <w:rPr>
                <w:rFonts w:ascii="仿宋" w:hAnsi="仿宋"/>
              </w:rPr>
            </w:pPr>
          </w:p>
        </w:tc>
        <w:tc>
          <w:tcPr>
            <w:tcW w:w="2835" w:type="dxa"/>
          </w:tcPr>
          <w:p>
            <w:pPr>
              <w:pStyle w:val="54"/>
              <w:rPr>
                <w:rFonts w:ascii="仿宋" w:hAnsi="仿宋"/>
              </w:rPr>
            </w:pPr>
            <w:r>
              <w:rPr>
                <w:rFonts w:hint="eastAsia" w:ascii="仿宋" w:hAnsi="仿宋"/>
              </w:rPr>
              <w:t>C</w:t>
            </w:r>
            <w:r>
              <w:rPr>
                <w:rFonts w:ascii="仿宋" w:hAnsi="仿宋"/>
              </w:rPr>
              <w:t>4</w:t>
            </w:r>
            <w:r>
              <w:rPr>
                <w:rFonts w:hint="eastAsia" w:ascii="仿宋" w:hAnsi="仿宋"/>
              </w:rPr>
              <w:t>产出成本</w:t>
            </w:r>
          </w:p>
        </w:tc>
        <w:tc>
          <w:tcPr>
            <w:tcW w:w="1275" w:type="dxa"/>
          </w:tcPr>
          <w:p>
            <w:pPr>
              <w:pStyle w:val="54"/>
              <w:jc w:val="center"/>
              <w:rPr>
                <w:rFonts w:ascii="仿宋" w:hAnsi="仿宋"/>
              </w:rPr>
            </w:pPr>
            <w:r>
              <w:rPr>
                <w:rFonts w:ascii="仿宋" w:hAnsi="仿宋"/>
              </w:rPr>
              <w:t>7</w:t>
            </w:r>
          </w:p>
        </w:tc>
        <w:tc>
          <w:tcPr>
            <w:tcW w:w="1276" w:type="dxa"/>
          </w:tcPr>
          <w:p>
            <w:pPr>
              <w:pStyle w:val="54"/>
              <w:jc w:val="center"/>
              <w:rPr>
                <w:rFonts w:ascii="仿宋" w:hAnsi="仿宋"/>
              </w:rPr>
            </w:pPr>
            <w:r>
              <w:rPr>
                <w:rFonts w:ascii="仿宋" w:hAnsi="仿宋"/>
              </w:rPr>
              <w:t>7</w:t>
            </w:r>
          </w:p>
        </w:tc>
        <w:tc>
          <w:tcPr>
            <w:tcW w:w="1355"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5" w:type="dxa"/>
          </w:tcPr>
          <w:p>
            <w:pPr>
              <w:pStyle w:val="54"/>
              <w:jc w:val="center"/>
              <w:rPr>
                <w:rFonts w:ascii="仿宋" w:hAnsi="仿宋"/>
                <w:b/>
                <w:bCs/>
              </w:rPr>
            </w:pPr>
            <w:r>
              <w:rPr>
                <w:rFonts w:hint="eastAsia" w:ascii="仿宋" w:hAnsi="仿宋"/>
                <w:b/>
                <w:bCs/>
              </w:rPr>
              <w:t>D效益</w:t>
            </w:r>
          </w:p>
        </w:tc>
        <w:tc>
          <w:tcPr>
            <w:tcW w:w="2835" w:type="dxa"/>
          </w:tcPr>
          <w:p>
            <w:pPr>
              <w:pStyle w:val="54"/>
              <w:jc w:val="center"/>
              <w:rPr>
                <w:rFonts w:ascii="仿宋" w:hAnsi="仿宋"/>
                <w:b/>
                <w:bCs/>
              </w:rPr>
            </w:pPr>
            <w:r>
              <w:rPr>
                <w:rFonts w:hint="eastAsia" w:ascii="仿宋" w:hAnsi="仿宋"/>
                <w:b/>
                <w:bCs/>
              </w:rPr>
              <w:t>小计</w:t>
            </w:r>
          </w:p>
        </w:tc>
        <w:tc>
          <w:tcPr>
            <w:tcW w:w="1275" w:type="dxa"/>
          </w:tcPr>
          <w:p>
            <w:pPr>
              <w:pStyle w:val="54"/>
              <w:jc w:val="center"/>
              <w:rPr>
                <w:rFonts w:ascii="仿宋" w:hAnsi="仿宋"/>
                <w:b/>
                <w:bCs/>
              </w:rPr>
            </w:pPr>
            <w:r>
              <w:rPr>
                <w:rFonts w:ascii="仿宋" w:hAnsi="仿宋"/>
                <w:b/>
                <w:bCs/>
              </w:rPr>
              <w:t>20</w:t>
            </w:r>
          </w:p>
        </w:tc>
        <w:tc>
          <w:tcPr>
            <w:tcW w:w="1276" w:type="dxa"/>
          </w:tcPr>
          <w:p>
            <w:pPr>
              <w:pStyle w:val="54"/>
              <w:jc w:val="center"/>
              <w:rPr>
                <w:rFonts w:ascii="仿宋" w:hAnsi="仿宋"/>
                <w:b/>
                <w:bCs/>
              </w:rPr>
            </w:pPr>
            <w:r>
              <w:rPr>
                <w:rFonts w:hint="eastAsia" w:ascii="仿宋" w:hAnsi="仿宋"/>
                <w:b/>
                <w:bCs/>
              </w:rPr>
              <w:t>20</w:t>
            </w:r>
          </w:p>
        </w:tc>
        <w:tc>
          <w:tcPr>
            <w:tcW w:w="1355" w:type="dxa"/>
          </w:tcPr>
          <w:p>
            <w:pPr>
              <w:pStyle w:val="54"/>
              <w:jc w:val="center"/>
              <w:rPr>
                <w:rFonts w:ascii="仿宋" w:hAnsi="仿宋"/>
                <w:b/>
                <w:bCs/>
              </w:rPr>
            </w:pPr>
            <w:r>
              <w:rPr>
                <w:rFonts w:hint="eastAsia" w:ascii="仿宋" w:hAnsi="仿宋"/>
                <w:b/>
                <w:bCs/>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5" w:type="dxa"/>
          </w:tcPr>
          <w:p>
            <w:pPr>
              <w:pStyle w:val="54"/>
              <w:rPr>
                <w:rFonts w:ascii="仿宋" w:hAnsi="仿宋"/>
              </w:rPr>
            </w:pPr>
          </w:p>
        </w:tc>
        <w:tc>
          <w:tcPr>
            <w:tcW w:w="2835" w:type="dxa"/>
          </w:tcPr>
          <w:p>
            <w:pPr>
              <w:pStyle w:val="54"/>
              <w:rPr>
                <w:rFonts w:ascii="仿宋" w:hAnsi="仿宋"/>
              </w:rPr>
            </w:pPr>
            <w:r>
              <w:rPr>
                <w:rFonts w:hint="eastAsia" w:ascii="仿宋" w:hAnsi="仿宋"/>
              </w:rPr>
              <w:t>D</w:t>
            </w:r>
            <w:r>
              <w:rPr>
                <w:rFonts w:ascii="仿宋" w:hAnsi="仿宋"/>
              </w:rPr>
              <w:t>1</w:t>
            </w:r>
            <w:r>
              <w:rPr>
                <w:rFonts w:hint="eastAsia" w:ascii="仿宋" w:hAnsi="仿宋"/>
              </w:rPr>
              <w:t>社会效益</w:t>
            </w:r>
          </w:p>
        </w:tc>
        <w:tc>
          <w:tcPr>
            <w:tcW w:w="1275" w:type="dxa"/>
          </w:tcPr>
          <w:p>
            <w:pPr>
              <w:pStyle w:val="54"/>
              <w:jc w:val="center"/>
              <w:rPr>
                <w:rFonts w:ascii="仿宋" w:hAnsi="仿宋"/>
              </w:rPr>
            </w:pPr>
            <w:r>
              <w:rPr>
                <w:rFonts w:ascii="仿宋" w:hAnsi="仿宋"/>
              </w:rPr>
              <w:t>10</w:t>
            </w:r>
          </w:p>
        </w:tc>
        <w:tc>
          <w:tcPr>
            <w:tcW w:w="1276" w:type="dxa"/>
          </w:tcPr>
          <w:p>
            <w:pPr>
              <w:pStyle w:val="54"/>
              <w:jc w:val="center"/>
              <w:rPr>
                <w:rFonts w:ascii="仿宋" w:hAnsi="仿宋"/>
              </w:rPr>
            </w:pPr>
            <w:r>
              <w:rPr>
                <w:rFonts w:ascii="仿宋" w:hAnsi="仿宋"/>
              </w:rPr>
              <w:t>10</w:t>
            </w:r>
          </w:p>
        </w:tc>
        <w:tc>
          <w:tcPr>
            <w:tcW w:w="1355" w:type="dxa"/>
          </w:tcPr>
          <w:p>
            <w:pPr>
              <w:pStyle w:val="54"/>
              <w:jc w:val="center"/>
              <w:rPr>
                <w:rFonts w:ascii="仿宋" w:hAnsi="仿宋"/>
              </w:rPr>
            </w:pPr>
            <w:r>
              <w:rPr>
                <w:rFonts w:hint="eastAsia" w:ascii="仿宋" w:hAnsi="仿宋"/>
              </w:rPr>
              <w:t>10</w:t>
            </w:r>
            <w:r>
              <w:rPr>
                <w:rFonts w:ascii="仿宋" w:hAnsi="仿宋"/>
              </w:rPr>
              <w:t>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54"/>
              <w:rPr>
                <w:rFonts w:ascii="仿宋" w:hAnsi="仿宋"/>
              </w:rPr>
            </w:pPr>
          </w:p>
        </w:tc>
        <w:tc>
          <w:tcPr>
            <w:tcW w:w="2835" w:type="dxa"/>
          </w:tcPr>
          <w:p>
            <w:pPr>
              <w:pStyle w:val="54"/>
              <w:rPr>
                <w:rFonts w:ascii="仿宋" w:hAnsi="仿宋"/>
              </w:rPr>
            </w:pPr>
            <w:r>
              <w:rPr>
                <w:rFonts w:hint="eastAsia" w:ascii="仿宋" w:hAnsi="仿宋"/>
              </w:rPr>
              <w:t>D</w:t>
            </w:r>
            <w:r>
              <w:rPr>
                <w:rFonts w:ascii="仿宋" w:hAnsi="仿宋"/>
              </w:rPr>
              <w:t>2</w:t>
            </w:r>
            <w:r>
              <w:rPr>
                <w:rFonts w:hint="eastAsia" w:ascii="仿宋" w:hAnsi="仿宋"/>
              </w:rPr>
              <w:t>可持续影响</w:t>
            </w:r>
          </w:p>
        </w:tc>
        <w:tc>
          <w:tcPr>
            <w:tcW w:w="1275" w:type="dxa"/>
          </w:tcPr>
          <w:p>
            <w:pPr>
              <w:pStyle w:val="54"/>
              <w:jc w:val="center"/>
              <w:rPr>
                <w:rFonts w:ascii="仿宋" w:hAnsi="仿宋"/>
              </w:rPr>
            </w:pPr>
            <w:r>
              <w:rPr>
                <w:rFonts w:ascii="仿宋" w:hAnsi="仿宋"/>
              </w:rPr>
              <w:t>10</w:t>
            </w:r>
          </w:p>
        </w:tc>
        <w:tc>
          <w:tcPr>
            <w:tcW w:w="1276" w:type="dxa"/>
          </w:tcPr>
          <w:p>
            <w:pPr>
              <w:pStyle w:val="54"/>
              <w:jc w:val="center"/>
              <w:rPr>
                <w:rFonts w:ascii="仿宋" w:hAnsi="仿宋"/>
              </w:rPr>
            </w:pPr>
            <w:r>
              <w:rPr>
                <w:rFonts w:hint="eastAsia" w:ascii="仿宋" w:hAnsi="仿宋"/>
              </w:rPr>
              <w:t>10</w:t>
            </w:r>
          </w:p>
        </w:tc>
        <w:tc>
          <w:tcPr>
            <w:tcW w:w="1355" w:type="dxa"/>
          </w:tcPr>
          <w:p>
            <w:pPr>
              <w:pStyle w:val="54"/>
              <w:jc w:val="center"/>
              <w:rPr>
                <w:rFonts w:ascii="仿宋" w:hAnsi="仿宋"/>
              </w:rPr>
            </w:pPr>
            <w:r>
              <w:rPr>
                <w:rFonts w:hint="eastAsia" w:ascii="仿宋" w:hAnsi="仿宋"/>
              </w:rPr>
              <w:t>10</w:t>
            </w:r>
            <w:r>
              <w:rPr>
                <w:rFonts w:ascii="仿宋" w:hAnsi="仿宋"/>
              </w:rPr>
              <w:t>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54"/>
              <w:jc w:val="center"/>
              <w:rPr>
                <w:rFonts w:ascii="仿宋" w:hAnsi="仿宋"/>
              </w:rPr>
            </w:pPr>
            <w:r>
              <w:rPr>
                <w:rFonts w:ascii="仿宋" w:hAnsi="仿宋"/>
                <w:b/>
                <w:bCs/>
              </w:rPr>
              <w:t>E</w:t>
            </w:r>
            <w:r>
              <w:rPr>
                <w:rFonts w:hint="eastAsia" w:ascii="仿宋" w:hAnsi="仿宋"/>
                <w:b/>
                <w:bCs/>
              </w:rPr>
              <w:t>满意度</w:t>
            </w:r>
          </w:p>
        </w:tc>
        <w:tc>
          <w:tcPr>
            <w:tcW w:w="2835" w:type="dxa"/>
          </w:tcPr>
          <w:p>
            <w:pPr>
              <w:pStyle w:val="54"/>
              <w:jc w:val="center"/>
              <w:rPr>
                <w:rFonts w:ascii="仿宋" w:hAnsi="仿宋"/>
              </w:rPr>
            </w:pPr>
            <w:r>
              <w:rPr>
                <w:rFonts w:hint="eastAsia" w:ascii="仿宋" w:hAnsi="仿宋"/>
                <w:b/>
                <w:bCs/>
              </w:rPr>
              <w:t>小计</w:t>
            </w:r>
          </w:p>
        </w:tc>
        <w:tc>
          <w:tcPr>
            <w:tcW w:w="1275" w:type="dxa"/>
          </w:tcPr>
          <w:p>
            <w:pPr>
              <w:pStyle w:val="54"/>
              <w:jc w:val="center"/>
              <w:rPr>
                <w:rFonts w:ascii="仿宋" w:hAnsi="仿宋"/>
              </w:rPr>
            </w:pPr>
            <w:r>
              <w:rPr>
                <w:rFonts w:ascii="仿宋" w:hAnsi="仿宋"/>
                <w:b/>
                <w:bCs/>
              </w:rPr>
              <w:t>10</w:t>
            </w:r>
          </w:p>
        </w:tc>
        <w:tc>
          <w:tcPr>
            <w:tcW w:w="1276" w:type="dxa"/>
          </w:tcPr>
          <w:p>
            <w:pPr>
              <w:pStyle w:val="54"/>
              <w:jc w:val="center"/>
              <w:rPr>
                <w:rFonts w:ascii="仿宋" w:hAnsi="仿宋"/>
              </w:rPr>
            </w:pPr>
            <w:r>
              <w:rPr>
                <w:rFonts w:hint="eastAsia" w:ascii="仿宋" w:hAnsi="仿宋"/>
                <w:b/>
                <w:bCs/>
              </w:rPr>
              <w:t>7.88</w:t>
            </w:r>
          </w:p>
        </w:tc>
        <w:tc>
          <w:tcPr>
            <w:tcW w:w="1355" w:type="dxa"/>
          </w:tcPr>
          <w:p>
            <w:pPr>
              <w:pStyle w:val="54"/>
              <w:jc w:val="center"/>
              <w:rPr>
                <w:rFonts w:ascii="仿宋" w:hAnsi="仿宋"/>
              </w:rPr>
            </w:pPr>
            <w:r>
              <w:rPr>
                <w:rFonts w:hint="eastAsia" w:ascii="仿宋" w:hAnsi="仿宋"/>
                <w:b/>
                <w:bCs/>
              </w:rPr>
              <w:t>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54"/>
              <w:jc w:val="center"/>
              <w:rPr>
                <w:rFonts w:ascii="仿宋" w:hAnsi="仿宋"/>
                <w:b/>
                <w:bCs/>
              </w:rPr>
            </w:pPr>
          </w:p>
        </w:tc>
        <w:tc>
          <w:tcPr>
            <w:tcW w:w="2835" w:type="dxa"/>
          </w:tcPr>
          <w:p>
            <w:pPr>
              <w:pStyle w:val="54"/>
              <w:rPr>
                <w:rFonts w:ascii="仿宋" w:hAnsi="仿宋"/>
              </w:rPr>
            </w:pPr>
            <w:r>
              <w:rPr>
                <w:rFonts w:ascii="仿宋" w:hAnsi="仿宋"/>
              </w:rPr>
              <w:t>E1</w:t>
            </w:r>
            <w:r>
              <w:rPr>
                <w:rFonts w:hint="eastAsia" w:ascii="仿宋" w:hAnsi="仿宋"/>
              </w:rPr>
              <w:t>服务对象满意度</w:t>
            </w:r>
          </w:p>
        </w:tc>
        <w:tc>
          <w:tcPr>
            <w:tcW w:w="1275" w:type="dxa"/>
          </w:tcPr>
          <w:p>
            <w:pPr>
              <w:pStyle w:val="54"/>
              <w:jc w:val="center"/>
              <w:rPr>
                <w:rFonts w:ascii="仿宋" w:hAnsi="仿宋"/>
              </w:rPr>
            </w:pPr>
            <w:r>
              <w:rPr>
                <w:rFonts w:ascii="仿宋" w:hAnsi="仿宋"/>
              </w:rPr>
              <w:t>10</w:t>
            </w:r>
          </w:p>
        </w:tc>
        <w:tc>
          <w:tcPr>
            <w:tcW w:w="1276" w:type="dxa"/>
          </w:tcPr>
          <w:p>
            <w:pPr>
              <w:pStyle w:val="54"/>
              <w:jc w:val="center"/>
              <w:rPr>
                <w:rFonts w:ascii="仿宋" w:hAnsi="仿宋"/>
              </w:rPr>
            </w:pPr>
            <w:r>
              <w:rPr>
                <w:rFonts w:hint="eastAsia" w:ascii="仿宋" w:hAnsi="仿宋"/>
              </w:rPr>
              <w:t>7.88</w:t>
            </w:r>
          </w:p>
        </w:tc>
        <w:tc>
          <w:tcPr>
            <w:tcW w:w="1355" w:type="dxa"/>
          </w:tcPr>
          <w:p>
            <w:pPr>
              <w:pStyle w:val="54"/>
              <w:jc w:val="center"/>
              <w:rPr>
                <w:rFonts w:ascii="仿宋" w:hAnsi="仿宋"/>
              </w:rPr>
            </w:pPr>
            <w:r>
              <w:rPr>
                <w:rFonts w:hint="eastAsia" w:ascii="仿宋" w:hAnsi="仿宋"/>
              </w:rPr>
              <w:t>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0" w:type="dxa"/>
            <w:gridSpan w:val="2"/>
          </w:tcPr>
          <w:p>
            <w:pPr>
              <w:pStyle w:val="54"/>
              <w:jc w:val="center"/>
              <w:rPr>
                <w:rFonts w:ascii="仿宋" w:hAnsi="仿宋"/>
                <w:b/>
                <w:bCs/>
              </w:rPr>
            </w:pPr>
            <w:r>
              <w:rPr>
                <w:rFonts w:hint="eastAsia" w:ascii="仿宋" w:hAnsi="仿宋"/>
                <w:b/>
                <w:bCs/>
              </w:rPr>
              <w:t>合计</w:t>
            </w:r>
          </w:p>
        </w:tc>
        <w:tc>
          <w:tcPr>
            <w:tcW w:w="1275" w:type="dxa"/>
          </w:tcPr>
          <w:p>
            <w:pPr>
              <w:pStyle w:val="54"/>
              <w:jc w:val="center"/>
              <w:rPr>
                <w:rFonts w:ascii="仿宋" w:hAnsi="仿宋"/>
                <w:b/>
                <w:bCs/>
              </w:rPr>
            </w:pPr>
            <w:r>
              <w:rPr>
                <w:rFonts w:hint="eastAsia" w:ascii="仿宋" w:hAnsi="仿宋"/>
                <w:b/>
                <w:bCs/>
              </w:rPr>
              <w:t>1</w:t>
            </w:r>
            <w:r>
              <w:rPr>
                <w:rFonts w:ascii="仿宋" w:hAnsi="仿宋"/>
                <w:b/>
                <w:bCs/>
              </w:rPr>
              <w:t>00</w:t>
            </w:r>
          </w:p>
        </w:tc>
        <w:tc>
          <w:tcPr>
            <w:tcW w:w="1276" w:type="dxa"/>
          </w:tcPr>
          <w:p>
            <w:pPr>
              <w:pStyle w:val="54"/>
              <w:jc w:val="center"/>
              <w:rPr>
                <w:rFonts w:ascii="仿宋" w:hAnsi="仿宋"/>
                <w:b/>
                <w:bCs/>
              </w:rPr>
            </w:pPr>
            <w:r>
              <w:rPr>
                <w:rFonts w:hint="eastAsia" w:ascii="仿宋" w:hAnsi="仿宋"/>
                <w:b/>
                <w:bCs/>
              </w:rPr>
              <w:t>89.88</w:t>
            </w:r>
          </w:p>
        </w:tc>
        <w:tc>
          <w:tcPr>
            <w:tcW w:w="1355" w:type="dxa"/>
          </w:tcPr>
          <w:p>
            <w:pPr>
              <w:pStyle w:val="54"/>
              <w:jc w:val="center"/>
              <w:rPr>
                <w:rFonts w:ascii="仿宋" w:hAnsi="仿宋"/>
                <w:b/>
                <w:bCs/>
              </w:rPr>
            </w:pPr>
            <w:r>
              <w:rPr>
                <w:rFonts w:hint="eastAsia" w:ascii="仿宋" w:hAnsi="仿宋"/>
                <w:b/>
                <w:bCs/>
              </w:rPr>
              <w:t>89.88%</w:t>
            </w:r>
          </w:p>
        </w:tc>
      </w:tr>
    </w:tbl>
    <w:p>
      <w:pPr>
        <w:pStyle w:val="36"/>
        <w:ind w:firstLine="480"/>
        <w:rPr>
          <w:rFonts w:ascii="仿宋" w:hAnsi="仿宋"/>
        </w:rPr>
      </w:pPr>
      <w:r>
        <w:rPr>
          <w:rFonts w:hint="eastAsia" w:ascii="仿宋" w:hAnsi="仿宋"/>
        </w:rPr>
        <w:t>表3-</w:t>
      </w:r>
      <w:r>
        <w:rPr>
          <w:rFonts w:ascii="仿宋" w:hAnsi="仿宋"/>
        </w:rPr>
        <w:t>1</w:t>
      </w:r>
    </w:p>
    <w:p>
      <w:pPr>
        <w:pStyle w:val="30"/>
      </w:pPr>
      <w:bookmarkStart w:id="75" w:name="_Toc91632828"/>
      <w:r>
        <w:rPr>
          <w:rFonts w:hint="eastAsia"/>
        </w:rPr>
        <w:t>四、绩效评价指标分析</w:t>
      </w:r>
      <w:bookmarkEnd w:id="74"/>
      <w:bookmarkEnd w:id="75"/>
    </w:p>
    <w:p>
      <w:pPr>
        <w:pStyle w:val="28"/>
        <w:rPr>
          <w:szCs w:val="32"/>
        </w:rPr>
      </w:pPr>
      <w:bookmarkStart w:id="76" w:name="_Toc59411822"/>
      <w:bookmarkStart w:id="77" w:name="_Toc91632829"/>
      <w:bookmarkStart w:id="78" w:name="_Toc65078828"/>
      <w:bookmarkStart w:id="79" w:name="_Toc65078829"/>
      <w:r>
        <w:rPr>
          <w:rFonts w:hint="eastAsia"/>
          <w:szCs w:val="32"/>
        </w:rPr>
        <w:t>（一）项目</w:t>
      </w:r>
      <w:bookmarkEnd w:id="76"/>
      <w:r>
        <w:rPr>
          <w:rFonts w:hint="eastAsia"/>
          <w:szCs w:val="32"/>
        </w:rPr>
        <w:t>决策情况</w:t>
      </w:r>
      <w:bookmarkEnd w:id="77"/>
      <w:bookmarkEnd w:id="78"/>
    </w:p>
    <w:p>
      <w:pPr>
        <w:pStyle w:val="32"/>
        <w:ind w:firstLine="600"/>
        <w:rPr>
          <w:rFonts w:ascii="仿宋" w:hAnsi="仿宋"/>
          <w:sz w:val="30"/>
          <w:szCs w:val="30"/>
        </w:rPr>
      </w:pPr>
      <w:r>
        <w:rPr>
          <w:rFonts w:ascii="仿宋" w:hAnsi="仿宋"/>
          <w:sz w:val="30"/>
          <w:szCs w:val="30"/>
        </w:rPr>
        <w:t>项目决策指标共分5个三级指标，权重共 20 分，实际得分1</w:t>
      </w:r>
      <w:r>
        <w:rPr>
          <w:rFonts w:hint="eastAsia" w:ascii="仿宋" w:hAnsi="仿宋"/>
          <w:sz w:val="30"/>
          <w:szCs w:val="30"/>
        </w:rPr>
        <w:t>2</w:t>
      </w:r>
      <w:r>
        <w:rPr>
          <w:rFonts w:ascii="仿宋" w:hAnsi="仿宋"/>
          <w:sz w:val="30"/>
          <w:szCs w:val="30"/>
        </w:rPr>
        <w:t>分，得分率为</w:t>
      </w:r>
      <w:r>
        <w:rPr>
          <w:rFonts w:hint="eastAsia" w:ascii="仿宋" w:hAnsi="仿宋"/>
          <w:sz w:val="30"/>
          <w:szCs w:val="30"/>
        </w:rPr>
        <w:t>60</w:t>
      </w:r>
      <w:r>
        <w:rPr>
          <w:rFonts w:ascii="仿宋" w:hAnsi="仿宋"/>
          <w:sz w:val="30"/>
          <w:szCs w:val="30"/>
        </w:rPr>
        <w:t>%，各指标得分见表 4-1。</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0"/>
        <w:gridCol w:w="1134"/>
        <w:gridCol w:w="1276"/>
        <w:gridCol w:w="992"/>
        <w:gridCol w:w="993"/>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shd w:val="clear" w:color="auto" w:fill="D8D8D8" w:themeFill="background1" w:themeFillShade="D9"/>
          </w:tcPr>
          <w:p>
            <w:pPr>
              <w:pStyle w:val="54"/>
              <w:jc w:val="center"/>
              <w:rPr>
                <w:rFonts w:ascii="仿宋" w:hAnsi="仿宋"/>
                <w:b/>
                <w:bCs/>
              </w:rPr>
            </w:pPr>
            <w:r>
              <w:rPr>
                <w:rFonts w:hint="eastAsia" w:ascii="仿宋" w:hAnsi="仿宋"/>
                <w:b/>
                <w:bCs/>
              </w:rPr>
              <w:t>三级指标</w:t>
            </w:r>
          </w:p>
        </w:tc>
        <w:tc>
          <w:tcPr>
            <w:tcW w:w="1134" w:type="dxa"/>
            <w:shd w:val="clear" w:color="auto" w:fill="D8D8D8" w:themeFill="background1" w:themeFillShade="D9"/>
          </w:tcPr>
          <w:p>
            <w:pPr>
              <w:pStyle w:val="54"/>
              <w:jc w:val="center"/>
              <w:rPr>
                <w:rFonts w:ascii="仿宋" w:hAnsi="仿宋"/>
                <w:b/>
                <w:bCs/>
              </w:rPr>
            </w:pPr>
            <w:r>
              <w:rPr>
                <w:rFonts w:hint="eastAsia" w:ascii="仿宋" w:hAnsi="仿宋"/>
                <w:b/>
                <w:bCs/>
              </w:rPr>
              <w:t>目标值</w:t>
            </w:r>
          </w:p>
        </w:tc>
        <w:tc>
          <w:tcPr>
            <w:tcW w:w="1276" w:type="dxa"/>
            <w:shd w:val="clear" w:color="auto" w:fill="D8D8D8" w:themeFill="background1" w:themeFillShade="D9"/>
          </w:tcPr>
          <w:p>
            <w:pPr>
              <w:pStyle w:val="54"/>
              <w:jc w:val="center"/>
              <w:rPr>
                <w:rFonts w:ascii="仿宋" w:hAnsi="仿宋"/>
                <w:b/>
                <w:bCs/>
              </w:rPr>
            </w:pPr>
            <w:r>
              <w:rPr>
                <w:rFonts w:hint="eastAsia" w:ascii="仿宋" w:hAnsi="仿宋"/>
                <w:b/>
                <w:bCs/>
              </w:rPr>
              <w:t>完成值</w:t>
            </w:r>
          </w:p>
        </w:tc>
        <w:tc>
          <w:tcPr>
            <w:tcW w:w="992" w:type="dxa"/>
            <w:shd w:val="clear" w:color="auto" w:fill="D8D8D8" w:themeFill="background1" w:themeFillShade="D9"/>
          </w:tcPr>
          <w:p>
            <w:pPr>
              <w:pStyle w:val="54"/>
              <w:jc w:val="center"/>
              <w:rPr>
                <w:rFonts w:ascii="仿宋" w:hAnsi="仿宋"/>
                <w:b/>
                <w:bCs/>
              </w:rPr>
            </w:pPr>
            <w:r>
              <w:rPr>
                <w:rFonts w:hint="eastAsia" w:ascii="仿宋" w:hAnsi="仿宋"/>
                <w:b/>
                <w:bCs/>
              </w:rPr>
              <w:t>权重</w:t>
            </w:r>
          </w:p>
        </w:tc>
        <w:tc>
          <w:tcPr>
            <w:tcW w:w="993" w:type="dxa"/>
            <w:shd w:val="clear" w:color="auto" w:fill="D8D8D8" w:themeFill="background1" w:themeFillShade="D9"/>
          </w:tcPr>
          <w:p>
            <w:pPr>
              <w:pStyle w:val="54"/>
              <w:jc w:val="center"/>
              <w:rPr>
                <w:rFonts w:ascii="仿宋" w:hAnsi="仿宋"/>
                <w:b/>
                <w:bCs/>
              </w:rPr>
            </w:pPr>
            <w:r>
              <w:rPr>
                <w:rFonts w:hint="eastAsia" w:ascii="仿宋" w:hAnsi="仿宋"/>
                <w:b/>
                <w:bCs/>
              </w:rPr>
              <w:t>得分</w:t>
            </w:r>
          </w:p>
        </w:tc>
        <w:tc>
          <w:tcPr>
            <w:tcW w:w="1071" w:type="dxa"/>
            <w:shd w:val="clear" w:color="auto" w:fill="D8D8D8" w:themeFill="background1" w:themeFillShade="D9"/>
          </w:tcPr>
          <w:p>
            <w:pPr>
              <w:pStyle w:val="54"/>
              <w:jc w:val="center"/>
              <w:rPr>
                <w:rFonts w:ascii="仿宋" w:hAnsi="仿宋"/>
                <w:b/>
                <w:bCs/>
              </w:rPr>
            </w:pPr>
            <w:r>
              <w:rPr>
                <w:rFonts w:hint="eastAsia" w:ascii="仿宋" w:hAnsi="仿宋"/>
                <w:b/>
                <w:bCs/>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pPr>
              <w:pStyle w:val="54"/>
              <w:rPr>
                <w:rFonts w:ascii="仿宋" w:hAnsi="仿宋"/>
              </w:rPr>
            </w:pPr>
            <w:r>
              <w:rPr>
                <w:rFonts w:hint="eastAsia" w:ascii="仿宋" w:hAnsi="仿宋"/>
              </w:rPr>
              <w:t>A</w:t>
            </w:r>
            <w:r>
              <w:rPr>
                <w:rFonts w:ascii="仿宋" w:hAnsi="仿宋"/>
              </w:rPr>
              <w:t>101立项依据充分性</w:t>
            </w:r>
          </w:p>
        </w:tc>
        <w:tc>
          <w:tcPr>
            <w:tcW w:w="1134" w:type="dxa"/>
          </w:tcPr>
          <w:p>
            <w:pPr>
              <w:pStyle w:val="54"/>
              <w:jc w:val="center"/>
              <w:rPr>
                <w:rFonts w:ascii="仿宋" w:hAnsi="仿宋"/>
              </w:rPr>
            </w:pPr>
            <w:r>
              <w:rPr>
                <w:rFonts w:hint="eastAsia" w:ascii="仿宋" w:hAnsi="仿宋"/>
              </w:rPr>
              <w:t>充分</w:t>
            </w:r>
          </w:p>
        </w:tc>
        <w:tc>
          <w:tcPr>
            <w:tcW w:w="1276" w:type="dxa"/>
          </w:tcPr>
          <w:p>
            <w:pPr>
              <w:pStyle w:val="54"/>
              <w:jc w:val="center"/>
              <w:rPr>
                <w:rFonts w:ascii="仿宋" w:hAnsi="仿宋"/>
              </w:rPr>
            </w:pPr>
            <w:r>
              <w:rPr>
                <w:rFonts w:hint="eastAsia" w:ascii="仿宋" w:hAnsi="仿宋"/>
              </w:rPr>
              <w:t>充分</w:t>
            </w:r>
          </w:p>
        </w:tc>
        <w:tc>
          <w:tcPr>
            <w:tcW w:w="992" w:type="dxa"/>
          </w:tcPr>
          <w:p>
            <w:pPr>
              <w:pStyle w:val="54"/>
              <w:jc w:val="center"/>
              <w:rPr>
                <w:rFonts w:ascii="仿宋" w:hAnsi="仿宋"/>
              </w:rPr>
            </w:pPr>
            <w:r>
              <w:rPr>
                <w:rFonts w:hint="eastAsia" w:ascii="仿宋" w:hAnsi="仿宋"/>
              </w:rPr>
              <w:t>4</w:t>
            </w:r>
          </w:p>
        </w:tc>
        <w:tc>
          <w:tcPr>
            <w:tcW w:w="993" w:type="dxa"/>
          </w:tcPr>
          <w:p>
            <w:pPr>
              <w:pStyle w:val="54"/>
              <w:jc w:val="center"/>
              <w:rPr>
                <w:rFonts w:ascii="仿宋" w:hAnsi="仿宋"/>
              </w:rPr>
            </w:pPr>
            <w:r>
              <w:rPr>
                <w:rFonts w:hint="eastAsia" w:ascii="仿宋" w:hAnsi="仿宋"/>
              </w:rPr>
              <w:t>4</w:t>
            </w:r>
          </w:p>
        </w:tc>
        <w:tc>
          <w:tcPr>
            <w:tcW w:w="1071" w:type="dxa"/>
          </w:tcPr>
          <w:p>
            <w:pPr>
              <w:pStyle w:val="54"/>
              <w:jc w:val="center"/>
              <w:rPr>
                <w:rFonts w:ascii="仿宋" w:hAnsi="仿宋"/>
              </w:rPr>
            </w:pPr>
            <w:r>
              <w:rPr>
                <w:rFonts w:hint="eastAsia" w:ascii="仿宋" w:hAnsi="仿宋"/>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pPr>
              <w:pStyle w:val="54"/>
              <w:rPr>
                <w:rFonts w:ascii="仿宋" w:hAnsi="仿宋"/>
              </w:rPr>
            </w:pPr>
            <w:r>
              <w:rPr>
                <w:rFonts w:hint="eastAsia" w:ascii="仿宋" w:hAnsi="仿宋"/>
              </w:rPr>
              <w:t>A</w:t>
            </w:r>
            <w:r>
              <w:rPr>
                <w:rFonts w:ascii="仿宋" w:hAnsi="仿宋"/>
              </w:rPr>
              <w:t>102</w:t>
            </w:r>
            <w:r>
              <w:rPr>
                <w:rFonts w:hint="eastAsia" w:ascii="仿宋" w:hAnsi="仿宋"/>
              </w:rPr>
              <w:t>立项程序规范性</w:t>
            </w:r>
          </w:p>
        </w:tc>
        <w:tc>
          <w:tcPr>
            <w:tcW w:w="1134" w:type="dxa"/>
          </w:tcPr>
          <w:p>
            <w:pPr>
              <w:pStyle w:val="54"/>
              <w:jc w:val="center"/>
              <w:rPr>
                <w:rFonts w:ascii="仿宋" w:hAnsi="仿宋"/>
              </w:rPr>
            </w:pPr>
            <w:r>
              <w:rPr>
                <w:rFonts w:hint="eastAsia" w:ascii="仿宋" w:hAnsi="仿宋"/>
              </w:rPr>
              <w:t>规范</w:t>
            </w:r>
          </w:p>
        </w:tc>
        <w:tc>
          <w:tcPr>
            <w:tcW w:w="1276" w:type="dxa"/>
          </w:tcPr>
          <w:p>
            <w:pPr>
              <w:pStyle w:val="54"/>
              <w:jc w:val="center"/>
              <w:rPr>
                <w:rFonts w:ascii="仿宋" w:hAnsi="仿宋"/>
              </w:rPr>
            </w:pPr>
            <w:r>
              <w:rPr>
                <w:rFonts w:hint="eastAsia" w:ascii="仿宋" w:hAnsi="仿宋"/>
              </w:rPr>
              <w:t>规范</w:t>
            </w:r>
          </w:p>
        </w:tc>
        <w:tc>
          <w:tcPr>
            <w:tcW w:w="992" w:type="dxa"/>
          </w:tcPr>
          <w:p>
            <w:pPr>
              <w:pStyle w:val="54"/>
              <w:jc w:val="center"/>
              <w:rPr>
                <w:rFonts w:ascii="仿宋" w:hAnsi="仿宋"/>
              </w:rPr>
            </w:pPr>
            <w:r>
              <w:rPr>
                <w:rFonts w:hint="eastAsia" w:ascii="仿宋" w:hAnsi="仿宋"/>
              </w:rPr>
              <w:t>4</w:t>
            </w:r>
          </w:p>
        </w:tc>
        <w:tc>
          <w:tcPr>
            <w:tcW w:w="993" w:type="dxa"/>
          </w:tcPr>
          <w:p>
            <w:pPr>
              <w:pStyle w:val="54"/>
              <w:jc w:val="center"/>
              <w:rPr>
                <w:rFonts w:ascii="仿宋" w:hAnsi="仿宋"/>
              </w:rPr>
            </w:pPr>
            <w:r>
              <w:rPr>
                <w:rFonts w:hint="eastAsia" w:ascii="仿宋" w:hAnsi="仿宋"/>
              </w:rPr>
              <w:t>4</w:t>
            </w:r>
          </w:p>
        </w:tc>
        <w:tc>
          <w:tcPr>
            <w:tcW w:w="1071" w:type="dxa"/>
          </w:tcPr>
          <w:p>
            <w:pPr>
              <w:pStyle w:val="54"/>
              <w:jc w:val="center"/>
              <w:rPr>
                <w:rFonts w:ascii="仿宋" w:hAnsi="仿宋"/>
              </w:rPr>
            </w:pPr>
            <w:r>
              <w:rPr>
                <w:rFonts w:hint="eastAsia" w:ascii="仿宋" w:hAnsi="仿宋"/>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pPr>
              <w:pStyle w:val="54"/>
              <w:rPr>
                <w:rFonts w:ascii="仿宋" w:hAnsi="仿宋"/>
              </w:rPr>
            </w:pPr>
            <w:r>
              <w:rPr>
                <w:rFonts w:hint="eastAsia" w:ascii="仿宋" w:hAnsi="仿宋"/>
              </w:rPr>
              <w:t>A</w:t>
            </w:r>
            <w:r>
              <w:rPr>
                <w:rFonts w:ascii="仿宋" w:hAnsi="仿宋"/>
              </w:rPr>
              <w:t>201</w:t>
            </w:r>
            <w:r>
              <w:rPr>
                <w:rFonts w:hint="eastAsia" w:ascii="仿宋" w:hAnsi="仿宋"/>
              </w:rPr>
              <w:t>绩效目标合理性</w:t>
            </w:r>
          </w:p>
        </w:tc>
        <w:tc>
          <w:tcPr>
            <w:tcW w:w="1134" w:type="dxa"/>
          </w:tcPr>
          <w:p>
            <w:pPr>
              <w:pStyle w:val="54"/>
              <w:jc w:val="center"/>
              <w:rPr>
                <w:rFonts w:ascii="仿宋" w:hAnsi="仿宋"/>
              </w:rPr>
            </w:pPr>
            <w:r>
              <w:rPr>
                <w:rFonts w:hint="eastAsia" w:ascii="仿宋" w:hAnsi="仿宋"/>
              </w:rPr>
              <w:t>合理</w:t>
            </w:r>
          </w:p>
        </w:tc>
        <w:tc>
          <w:tcPr>
            <w:tcW w:w="1276" w:type="dxa"/>
          </w:tcPr>
          <w:p>
            <w:pPr>
              <w:pStyle w:val="54"/>
              <w:jc w:val="center"/>
              <w:rPr>
                <w:rFonts w:ascii="仿宋" w:hAnsi="仿宋"/>
              </w:rPr>
            </w:pPr>
            <w:r>
              <w:rPr>
                <w:rFonts w:hint="eastAsia" w:ascii="仿宋" w:hAnsi="仿宋"/>
              </w:rPr>
              <w:t>不合理</w:t>
            </w:r>
          </w:p>
        </w:tc>
        <w:tc>
          <w:tcPr>
            <w:tcW w:w="992" w:type="dxa"/>
          </w:tcPr>
          <w:p>
            <w:pPr>
              <w:pStyle w:val="54"/>
              <w:jc w:val="center"/>
              <w:rPr>
                <w:rFonts w:ascii="仿宋" w:hAnsi="仿宋"/>
              </w:rPr>
            </w:pPr>
            <w:r>
              <w:rPr>
                <w:rFonts w:ascii="仿宋" w:hAnsi="仿宋"/>
              </w:rPr>
              <w:t>4</w:t>
            </w:r>
          </w:p>
        </w:tc>
        <w:tc>
          <w:tcPr>
            <w:tcW w:w="993" w:type="dxa"/>
          </w:tcPr>
          <w:p>
            <w:pPr>
              <w:pStyle w:val="54"/>
              <w:jc w:val="center"/>
              <w:rPr>
                <w:rFonts w:ascii="仿宋" w:hAnsi="仿宋"/>
              </w:rPr>
            </w:pPr>
            <w:r>
              <w:rPr>
                <w:rFonts w:hint="eastAsia" w:ascii="仿宋" w:hAnsi="仿宋"/>
              </w:rPr>
              <w:t>0</w:t>
            </w:r>
          </w:p>
        </w:tc>
        <w:tc>
          <w:tcPr>
            <w:tcW w:w="1071" w:type="dxa"/>
          </w:tcPr>
          <w:p>
            <w:pPr>
              <w:pStyle w:val="54"/>
              <w:jc w:val="center"/>
              <w:rPr>
                <w:rFonts w:ascii="仿宋" w:hAnsi="仿宋"/>
              </w:rPr>
            </w:pPr>
            <w:r>
              <w:rPr>
                <w:rFonts w:ascii="仿宋" w:hAnsi="仿宋"/>
              </w:rPr>
              <w:t>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pPr>
              <w:pStyle w:val="54"/>
              <w:rPr>
                <w:rFonts w:ascii="仿宋" w:hAnsi="仿宋"/>
              </w:rPr>
            </w:pPr>
            <w:r>
              <w:rPr>
                <w:rFonts w:hint="eastAsia" w:ascii="仿宋" w:hAnsi="仿宋"/>
              </w:rPr>
              <w:t>A</w:t>
            </w:r>
            <w:r>
              <w:rPr>
                <w:rFonts w:ascii="仿宋" w:hAnsi="仿宋"/>
              </w:rPr>
              <w:t>202</w:t>
            </w:r>
            <w:r>
              <w:rPr>
                <w:rFonts w:hint="eastAsia" w:ascii="仿宋" w:hAnsi="仿宋"/>
              </w:rPr>
              <w:t>绩效指标明确性</w:t>
            </w:r>
          </w:p>
        </w:tc>
        <w:tc>
          <w:tcPr>
            <w:tcW w:w="1134" w:type="dxa"/>
          </w:tcPr>
          <w:p>
            <w:pPr>
              <w:pStyle w:val="54"/>
              <w:jc w:val="center"/>
              <w:rPr>
                <w:rFonts w:ascii="仿宋" w:hAnsi="仿宋"/>
              </w:rPr>
            </w:pPr>
            <w:r>
              <w:rPr>
                <w:rFonts w:hint="eastAsia" w:ascii="仿宋" w:hAnsi="仿宋"/>
              </w:rPr>
              <w:t>明确</w:t>
            </w:r>
          </w:p>
        </w:tc>
        <w:tc>
          <w:tcPr>
            <w:tcW w:w="1276" w:type="dxa"/>
          </w:tcPr>
          <w:p>
            <w:pPr>
              <w:pStyle w:val="54"/>
              <w:jc w:val="center"/>
              <w:rPr>
                <w:rFonts w:ascii="仿宋" w:hAnsi="仿宋"/>
              </w:rPr>
            </w:pPr>
            <w:r>
              <w:rPr>
                <w:rFonts w:hint="eastAsia" w:ascii="仿宋" w:hAnsi="仿宋"/>
              </w:rPr>
              <w:t>不明确</w:t>
            </w:r>
          </w:p>
        </w:tc>
        <w:tc>
          <w:tcPr>
            <w:tcW w:w="992" w:type="dxa"/>
          </w:tcPr>
          <w:p>
            <w:pPr>
              <w:pStyle w:val="54"/>
              <w:jc w:val="center"/>
              <w:rPr>
                <w:rFonts w:ascii="仿宋" w:hAnsi="仿宋"/>
              </w:rPr>
            </w:pPr>
            <w:r>
              <w:rPr>
                <w:rFonts w:ascii="仿宋" w:hAnsi="仿宋"/>
              </w:rPr>
              <w:t>4</w:t>
            </w:r>
          </w:p>
        </w:tc>
        <w:tc>
          <w:tcPr>
            <w:tcW w:w="993" w:type="dxa"/>
          </w:tcPr>
          <w:p>
            <w:pPr>
              <w:pStyle w:val="54"/>
              <w:jc w:val="center"/>
              <w:rPr>
                <w:rFonts w:ascii="仿宋" w:hAnsi="仿宋"/>
              </w:rPr>
            </w:pPr>
            <w:r>
              <w:rPr>
                <w:rFonts w:hint="eastAsia" w:ascii="仿宋" w:hAnsi="仿宋"/>
              </w:rPr>
              <w:t>0</w:t>
            </w:r>
          </w:p>
        </w:tc>
        <w:tc>
          <w:tcPr>
            <w:tcW w:w="1071" w:type="dxa"/>
          </w:tcPr>
          <w:p>
            <w:pPr>
              <w:pStyle w:val="54"/>
              <w:jc w:val="center"/>
              <w:rPr>
                <w:rFonts w:ascii="仿宋" w:hAnsi="仿宋"/>
              </w:rPr>
            </w:pPr>
            <w:r>
              <w:rPr>
                <w:rFonts w:hint="eastAsia" w:ascii="仿宋" w:hAnsi="仿宋"/>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2830" w:type="dxa"/>
          </w:tcPr>
          <w:p>
            <w:pPr>
              <w:pStyle w:val="54"/>
              <w:rPr>
                <w:rFonts w:ascii="仿宋" w:hAnsi="仿宋"/>
              </w:rPr>
            </w:pPr>
            <w:r>
              <w:rPr>
                <w:rFonts w:hint="eastAsia" w:ascii="仿宋" w:hAnsi="仿宋"/>
              </w:rPr>
              <w:t>A</w:t>
            </w:r>
            <w:r>
              <w:rPr>
                <w:rFonts w:ascii="仿宋" w:hAnsi="仿宋"/>
              </w:rPr>
              <w:t>301</w:t>
            </w:r>
            <w:r>
              <w:rPr>
                <w:rFonts w:hint="eastAsia" w:ascii="仿宋" w:hAnsi="仿宋"/>
              </w:rPr>
              <w:t>预算编制合理性</w:t>
            </w:r>
          </w:p>
        </w:tc>
        <w:tc>
          <w:tcPr>
            <w:tcW w:w="1134" w:type="dxa"/>
          </w:tcPr>
          <w:p>
            <w:pPr>
              <w:pStyle w:val="54"/>
              <w:jc w:val="center"/>
              <w:rPr>
                <w:rFonts w:ascii="仿宋" w:hAnsi="仿宋"/>
              </w:rPr>
            </w:pPr>
            <w:r>
              <w:rPr>
                <w:rFonts w:hint="eastAsia" w:ascii="仿宋" w:hAnsi="仿宋"/>
              </w:rPr>
              <w:t>合理</w:t>
            </w:r>
          </w:p>
        </w:tc>
        <w:tc>
          <w:tcPr>
            <w:tcW w:w="1276" w:type="dxa"/>
          </w:tcPr>
          <w:p>
            <w:pPr>
              <w:pStyle w:val="54"/>
              <w:jc w:val="center"/>
              <w:rPr>
                <w:rFonts w:ascii="仿宋" w:hAnsi="仿宋"/>
              </w:rPr>
            </w:pPr>
            <w:r>
              <w:rPr>
                <w:rFonts w:hint="eastAsia" w:ascii="仿宋" w:hAnsi="仿宋"/>
              </w:rPr>
              <w:t>合理</w:t>
            </w:r>
          </w:p>
        </w:tc>
        <w:tc>
          <w:tcPr>
            <w:tcW w:w="992" w:type="dxa"/>
          </w:tcPr>
          <w:p>
            <w:pPr>
              <w:pStyle w:val="54"/>
              <w:jc w:val="center"/>
              <w:rPr>
                <w:rFonts w:ascii="仿宋" w:hAnsi="仿宋"/>
              </w:rPr>
            </w:pPr>
            <w:r>
              <w:rPr>
                <w:rFonts w:ascii="仿宋" w:hAnsi="仿宋"/>
              </w:rPr>
              <w:t>4</w:t>
            </w:r>
          </w:p>
        </w:tc>
        <w:tc>
          <w:tcPr>
            <w:tcW w:w="993" w:type="dxa"/>
          </w:tcPr>
          <w:p>
            <w:pPr>
              <w:pStyle w:val="54"/>
              <w:jc w:val="center"/>
              <w:rPr>
                <w:rFonts w:ascii="仿宋" w:hAnsi="仿宋"/>
              </w:rPr>
            </w:pPr>
            <w:r>
              <w:rPr>
                <w:rFonts w:ascii="仿宋" w:hAnsi="仿宋"/>
              </w:rPr>
              <w:t>4</w:t>
            </w:r>
          </w:p>
        </w:tc>
        <w:tc>
          <w:tcPr>
            <w:tcW w:w="1071" w:type="dxa"/>
          </w:tcPr>
          <w:p>
            <w:pPr>
              <w:pStyle w:val="54"/>
              <w:jc w:val="center"/>
              <w:rPr>
                <w:rFonts w:ascii="仿宋" w:hAnsi="仿宋"/>
              </w:rPr>
            </w:pPr>
            <w:r>
              <w:rPr>
                <w:rFonts w:hint="eastAsia" w:ascii="仿宋" w:hAnsi="仿宋"/>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0" w:type="dxa"/>
            <w:gridSpan w:val="3"/>
          </w:tcPr>
          <w:p>
            <w:pPr>
              <w:pStyle w:val="54"/>
              <w:jc w:val="center"/>
              <w:rPr>
                <w:rFonts w:ascii="仿宋" w:hAnsi="仿宋"/>
                <w:b/>
                <w:bCs/>
              </w:rPr>
            </w:pPr>
            <w:r>
              <w:rPr>
                <w:rFonts w:hint="eastAsia" w:ascii="仿宋" w:hAnsi="仿宋"/>
                <w:b/>
                <w:bCs/>
              </w:rPr>
              <w:t>合计</w:t>
            </w:r>
          </w:p>
        </w:tc>
        <w:tc>
          <w:tcPr>
            <w:tcW w:w="992" w:type="dxa"/>
          </w:tcPr>
          <w:p>
            <w:pPr>
              <w:pStyle w:val="54"/>
              <w:jc w:val="center"/>
              <w:rPr>
                <w:rFonts w:ascii="仿宋" w:hAnsi="仿宋"/>
                <w:b/>
                <w:bCs/>
              </w:rPr>
            </w:pPr>
            <w:r>
              <w:rPr>
                <w:rFonts w:hint="eastAsia" w:ascii="仿宋" w:hAnsi="仿宋"/>
                <w:b/>
                <w:bCs/>
              </w:rPr>
              <w:t>2</w:t>
            </w:r>
            <w:r>
              <w:rPr>
                <w:rFonts w:ascii="仿宋" w:hAnsi="仿宋"/>
                <w:b/>
                <w:bCs/>
              </w:rPr>
              <w:t>0</w:t>
            </w:r>
          </w:p>
        </w:tc>
        <w:tc>
          <w:tcPr>
            <w:tcW w:w="993" w:type="dxa"/>
          </w:tcPr>
          <w:p>
            <w:pPr>
              <w:pStyle w:val="54"/>
              <w:jc w:val="center"/>
              <w:rPr>
                <w:rFonts w:ascii="仿宋" w:hAnsi="仿宋"/>
                <w:b/>
                <w:bCs/>
              </w:rPr>
            </w:pPr>
            <w:r>
              <w:rPr>
                <w:rFonts w:hint="eastAsia" w:ascii="仿宋" w:hAnsi="仿宋"/>
                <w:b/>
                <w:bCs/>
              </w:rPr>
              <w:t>12</w:t>
            </w:r>
          </w:p>
        </w:tc>
        <w:tc>
          <w:tcPr>
            <w:tcW w:w="1071" w:type="dxa"/>
          </w:tcPr>
          <w:p>
            <w:pPr>
              <w:pStyle w:val="54"/>
              <w:jc w:val="center"/>
              <w:rPr>
                <w:rFonts w:ascii="仿宋" w:hAnsi="仿宋"/>
                <w:b/>
                <w:bCs/>
              </w:rPr>
            </w:pPr>
            <w:r>
              <w:rPr>
                <w:rFonts w:hint="eastAsia" w:ascii="仿宋" w:hAnsi="仿宋"/>
                <w:b/>
                <w:bCs/>
              </w:rPr>
              <w:t>60</w:t>
            </w:r>
            <w:r>
              <w:rPr>
                <w:rFonts w:ascii="仿宋" w:hAnsi="仿宋"/>
                <w:b/>
                <w:bCs/>
              </w:rPr>
              <w:t>%</w:t>
            </w:r>
          </w:p>
        </w:tc>
      </w:tr>
    </w:tbl>
    <w:p>
      <w:pPr>
        <w:pStyle w:val="36"/>
        <w:ind w:firstLine="480"/>
        <w:rPr>
          <w:rFonts w:ascii="仿宋" w:hAnsi="仿宋"/>
        </w:rPr>
      </w:pPr>
      <w:r>
        <w:rPr>
          <w:rFonts w:hint="eastAsia" w:ascii="仿宋" w:hAnsi="仿宋"/>
        </w:rPr>
        <w:t>表4-</w:t>
      </w:r>
      <w:r>
        <w:rPr>
          <w:rFonts w:ascii="仿宋" w:hAnsi="仿宋"/>
        </w:rPr>
        <w:t>1</w:t>
      </w:r>
    </w:p>
    <w:p>
      <w:pPr>
        <w:pStyle w:val="53"/>
        <w:ind w:firstLine="602"/>
        <w:rPr>
          <w:rFonts w:ascii="仿宋" w:hAnsi="仿宋"/>
          <w:sz w:val="30"/>
          <w:szCs w:val="30"/>
        </w:rPr>
      </w:pPr>
      <w:r>
        <w:rPr>
          <w:rFonts w:hint="eastAsia" w:ascii="仿宋" w:hAnsi="仿宋"/>
          <w:sz w:val="30"/>
          <w:szCs w:val="30"/>
        </w:rPr>
        <w:t>A</w:t>
      </w:r>
      <w:r>
        <w:rPr>
          <w:rFonts w:ascii="仿宋" w:hAnsi="仿宋"/>
          <w:sz w:val="30"/>
          <w:szCs w:val="30"/>
        </w:rPr>
        <w:t>101</w:t>
      </w:r>
      <w:r>
        <w:rPr>
          <w:rFonts w:hint="eastAsia" w:ascii="仿宋" w:hAnsi="仿宋"/>
          <w:sz w:val="30"/>
          <w:szCs w:val="30"/>
        </w:rPr>
        <w:t>立项依据充分性</w:t>
      </w:r>
    </w:p>
    <w:p>
      <w:pPr>
        <w:pStyle w:val="32"/>
        <w:ind w:firstLine="600"/>
        <w:rPr>
          <w:rFonts w:ascii="仿宋" w:hAnsi="仿宋" w:cs="仿宋"/>
          <w:sz w:val="30"/>
          <w:szCs w:val="30"/>
        </w:rPr>
      </w:pPr>
      <w:r>
        <w:rPr>
          <w:rFonts w:hint="eastAsia" w:ascii="仿宋" w:hAnsi="仿宋" w:cs="仿宋"/>
          <w:sz w:val="30"/>
          <w:szCs w:val="30"/>
        </w:rPr>
        <w:t>该指标反映项目立项依据是否充分。权重分为4分，实际得分4分。具体依据为：本项目落实</w:t>
      </w:r>
      <w:r>
        <w:rPr>
          <w:rFonts w:hint="eastAsia" w:ascii="仿宋" w:hAnsi="仿宋"/>
          <w:sz w:val="30"/>
          <w:szCs w:val="30"/>
        </w:rPr>
        <w:t>《天津市人民代表大会常务委员会关于加强滨海新区与中心城区中间地带规划管控建设绿色生态屏障的决定》、《天津市加强滨海新区和中心城区中间地带规划管控建设绿色生态屏障实施细则》、《津南区 2019 年造林绿化工作实施方案》</w:t>
      </w:r>
      <w:r>
        <w:rPr>
          <w:rFonts w:hint="eastAsia" w:ascii="仿宋" w:hAnsi="仿宋" w:cs="仿宋"/>
          <w:sz w:val="30"/>
          <w:szCs w:val="30"/>
        </w:rPr>
        <w:t>的部署要求和《</w:t>
      </w:r>
      <w:r>
        <w:rPr>
          <w:rFonts w:hint="eastAsia" w:ascii="仿宋" w:hAnsi="仿宋" w:cs="仿宋"/>
          <w:kern w:val="0"/>
          <w:sz w:val="30"/>
          <w:szCs w:val="30"/>
          <w:lang w:bidi="ar"/>
        </w:rPr>
        <w:t>津南区发展改革委关于“津南区2019年造林绿化工程”项目可行性研究报告的批复</w:t>
      </w:r>
      <w:r>
        <w:rPr>
          <w:rFonts w:hint="eastAsia" w:ascii="仿宋" w:hAnsi="仿宋" w:cs="仿宋"/>
          <w:sz w:val="30"/>
          <w:szCs w:val="30"/>
        </w:rPr>
        <w:t>》的文件要求</w:t>
      </w:r>
      <w:r>
        <w:rPr>
          <w:rFonts w:hint="eastAsia" w:ascii="仿宋" w:hAnsi="仿宋" w:cs="仿宋"/>
          <w:color w:val="333333"/>
          <w:sz w:val="30"/>
          <w:szCs w:val="30"/>
        </w:rPr>
        <w:t>作为立项依据</w:t>
      </w:r>
      <w:r>
        <w:rPr>
          <w:rFonts w:hint="eastAsia" w:ascii="仿宋" w:hAnsi="仿宋" w:cs="仿宋"/>
          <w:sz w:val="30"/>
          <w:szCs w:val="30"/>
        </w:rPr>
        <w:t>。该项目与立项文件要求密切相关，</w:t>
      </w:r>
      <w:r>
        <w:rPr>
          <w:rFonts w:hint="eastAsia" w:ascii="仿宋" w:hAnsi="仿宋" w:cs="仿宋"/>
          <w:color w:val="333333"/>
          <w:sz w:val="30"/>
          <w:szCs w:val="30"/>
        </w:rPr>
        <w:t>根据指标评分规则</w:t>
      </w:r>
      <w:r>
        <w:rPr>
          <w:rFonts w:hint="eastAsia" w:ascii="仿宋" w:hAnsi="仿宋" w:cs="仿宋"/>
          <w:sz w:val="30"/>
          <w:szCs w:val="30"/>
        </w:rPr>
        <w:t>，项目立项依据充分，该指标得4分。</w:t>
      </w:r>
    </w:p>
    <w:p>
      <w:pPr>
        <w:pStyle w:val="53"/>
        <w:ind w:firstLine="602"/>
        <w:rPr>
          <w:rFonts w:ascii="仿宋" w:hAnsi="仿宋"/>
          <w:sz w:val="30"/>
          <w:szCs w:val="30"/>
        </w:rPr>
      </w:pPr>
      <w:r>
        <w:rPr>
          <w:rFonts w:hint="eastAsia" w:ascii="仿宋" w:hAnsi="仿宋"/>
          <w:sz w:val="30"/>
          <w:szCs w:val="30"/>
        </w:rPr>
        <w:t>A</w:t>
      </w:r>
      <w:r>
        <w:rPr>
          <w:rFonts w:ascii="仿宋" w:hAnsi="仿宋"/>
          <w:sz w:val="30"/>
          <w:szCs w:val="30"/>
        </w:rPr>
        <w:t>102</w:t>
      </w:r>
      <w:r>
        <w:rPr>
          <w:rFonts w:hint="eastAsia" w:ascii="仿宋" w:hAnsi="仿宋"/>
          <w:sz w:val="30"/>
          <w:szCs w:val="30"/>
        </w:rPr>
        <w:t>立项依据规范性</w:t>
      </w:r>
    </w:p>
    <w:p>
      <w:pPr>
        <w:pStyle w:val="32"/>
        <w:ind w:firstLine="600"/>
        <w:rPr>
          <w:rFonts w:ascii="仿宋" w:hAnsi="仿宋" w:cs="仿宋"/>
          <w:sz w:val="30"/>
          <w:szCs w:val="30"/>
        </w:rPr>
      </w:pPr>
      <w:r>
        <w:rPr>
          <w:rFonts w:hint="eastAsia" w:ascii="仿宋" w:hAnsi="仿宋" w:cs="仿宋"/>
          <w:sz w:val="30"/>
          <w:szCs w:val="30"/>
        </w:rPr>
        <w:t>该指标反映项目立项程序是否规范。权重分4分，实际得分4分。该项目由天津市津南区改革和发展委员会对“津南区2019年造林绿化工程”项目建议书和项目可行性研究报告进行批复，项目预算由天津市津南区农业农村委员会编制项目预算草案，上报天津市津南财政局审核。</w:t>
      </w:r>
      <w:r>
        <w:rPr>
          <w:rFonts w:hint="eastAsia" w:ascii="仿宋" w:hAnsi="仿宋" w:cs="仿宋"/>
          <w:color w:val="333333"/>
          <w:sz w:val="30"/>
          <w:szCs w:val="30"/>
        </w:rPr>
        <w:t>根据指标评分规则，</w:t>
      </w:r>
      <w:r>
        <w:rPr>
          <w:rFonts w:hint="eastAsia" w:ascii="仿宋" w:hAnsi="仿宋" w:cs="仿宋"/>
          <w:sz w:val="30"/>
          <w:szCs w:val="30"/>
        </w:rPr>
        <w:t>该项目立项在实际执行过程中程序规范，该指标得4分。</w:t>
      </w:r>
    </w:p>
    <w:p>
      <w:pPr>
        <w:pStyle w:val="53"/>
        <w:ind w:firstLine="602"/>
        <w:rPr>
          <w:rFonts w:ascii="仿宋" w:hAnsi="仿宋"/>
          <w:sz w:val="30"/>
          <w:szCs w:val="30"/>
        </w:rPr>
      </w:pPr>
      <w:r>
        <w:rPr>
          <w:rFonts w:hint="eastAsia" w:ascii="仿宋" w:hAnsi="仿宋"/>
          <w:sz w:val="30"/>
          <w:szCs w:val="30"/>
        </w:rPr>
        <w:t>A</w:t>
      </w:r>
      <w:r>
        <w:rPr>
          <w:rFonts w:ascii="仿宋" w:hAnsi="仿宋"/>
          <w:sz w:val="30"/>
          <w:szCs w:val="30"/>
        </w:rPr>
        <w:t>201</w:t>
      </w:r>
      <w:r>
        <w:rPr>
          <w:rFonts w:hint="eastAsia" w:ascii="仿宋" w:hAnsi="仿宋"/>
          <w:sz w:val="30"/>
          <w:szCs w:val="30"/>
        </w:rPr>
        <w:t>绩效目标合理性</w:t>
      </w:r>
    </w:p>
    <w:p>
      <w:pPr>
        <w:spacing w:line="480" w:lineRule="exact"/>
        <w:ind w:firstLine="600"/>
        <w:textAlignment w:val="baseline"/>
        <w:rPr>
          <w:rFonts w:ascii="仿宋" w:hAnsi="仿宋" w:cs="Times New Roman"/>
          <w:color w:val="333333"/>
          <w:sz w:val="30"/>
          <w:szCs w:val="30"/>
        </w:rPr>
      </w:pPr>
      <w:r>
        <w:rPr>
          <w:rFonts w:hint="eastAsia" w:ascii="仿宋" w:hAnsi="仿宋" w:cs="Times New Roman"/>
          <w:color w:val="333333"/>
          <w:sz w:val="30"/>
          <w:szCs w:val="30"/>
        </w:rPr>
        <w:t>该指标反映单位设定的项目绩效目标是否合理。权重分</w:t>
      </w:r>
      <w:r>
        <w:rPr>
          <w:rFonts w:ascii="仿宋" w:hAnsi="仿宋" w:cs="Times New Roman"/>
          <w:color w:val="333333"/>
          <w:sz w:val="30"/>
          <w:szCs w:val="30"/>
        </w:rPr>
        <w:t>4</w:t>
      </w:r>
      <w:r>
        <w:rPr>
          <w:rFonts w:hint="eastAsia" w:ascii="仿宋" w:hAnsi="仿宋" w:cs="Times New Roman"/>
          <w:color w:val="333333"/>
          <w:sz w:val="30"/>
          <w:szCs w:val="30"/>
        </w:rPr>
        <w:t>分，实际得分0分。该项目并未填报项目绩效目标申报表，无法评价其绩效目标是否合理，根据指标评分规则，该指标扣4分，得0</w:t>
      </w:r>
      <w:r>
        <w:rPr>
          <w:rFonts w:ascii="仿宋" w:hAnsi="仿宋" w:cs="Times New Roman"/>
          <w:color w:val="333333"/>
          <w:sz w:val="30"/>
          <w:szCs w:val="30"/>
        </w:rPr>
        <w:t>分。</w:t>
      </w:r>
    </w:p>
    <w:p>
      <w:pPr>
        <w:pStyle w:val="53"/>
        <w:ind w:firstLine="602"/>
        <w:rPr>
          <w:rFonts w:ascii="仿宋" w:hAnsi="仿宋"/>
          <w:sz w:val="30"/>
          <w:szCs w:val="30"/>
        </w:rPr>
      </w:pPr>
      <w:r>
        <w:rPr>
          <w:rFonts w:hint="eastAsia" w:ascii="仿宋" w:hAnsi="仿宋"/>
          <w:sz w:val="30"/>
          <w:szCs w:val="30"/>
        </w:rPr>
        <w:t>A</w:t>
      </w:r>
      <w:r>
        <w:rPr>
          <w:rFonts w:ascii="仿宋" w:hAnsi="仿宋"/>
          <w:sz w:val="30"/>
          <w:szCs w:val="30"/>
        </w:rPr>
        <w:t>202</w:t>
      </w:r>
      <w:r>
        <w:rPr>
          <w:rFonts w:hint="eastAsia" w:ascii="仿宋" w:hAnsi="仿宋"/>
          <w:sz w:val="30"/>
          <w:szCs w:val="30"/>
        </w:rPr>
        <w:t>绩效指标明确性</w:t>
      </w:r>
    </w:p>
    <w:p>
      <w:pPr>
        <w:spacing w:line="480" w:lineRule="exact"/>
        <w:ind w:firstLine="600"/>
        <w:textAlignment w:val="baseline"/>
        <w:rPr>
          <w:rFonts w:ascii="仿宋" w:hAnsi="仿宋" w:cs="Times New Roman"/>
          <w:color w:val="333333"/>
          <w:sz w:val="30"/>
          <w:szCs w:val="30"/>
        </w:rPr>
      </w:pPr>
      <w:r>
        <w:rPr>
          <w:rFonts w:hint="eastAsia" w:ascii="仿宋" w:hAnsi="仿宋" w:cs="Times New Roman"/>
          <w:color w:val="333333"/>
          <w:sz w:val="30"/>
          <w:szCs w:val="30"/>
        </w:rPr>
        <w:t>该指标反映单位设定的项目绩效指标与指标值是否适当明确。权重分</w:t>
      </w:r>
      <w:r>
        <w:rPr>
          <w:rFonts w:ascii="仿宋" w:hAnsi="仿宋" w:cs="Times New Roman"/>
          <w:color w:val="333333"/>
          <w:sz w:val="30"/>
          <w:szCs w:val="30"/>
        </w:rPr>
        <w:t>4</w:t>
      </w:r>
      <w:r>
        <w:rPr>
          <w:rFonts w:hint="eastAsia" w:ascii="仿宋" w:hAnsi="仿宋" w:cs="Times New Roman"/>
          <w:color w:val="333333"/>
          <w:sz w:val="30"/>
          <w:szCs w:val="30"/>
        </w:rPr>
        <w:t>分，实际得分0分。该项目并未填报项目绩效目标申报表，无法评价其绩效指标是否明确，根据指标评分规则，该指标扣4分，得0</w:t>
      </w:r>
      <w:r>
        <w:rPr>
          <w:rFonts w:ascii="仿宋" w:hAnsi="仿宋" w:cs="Times New Roman"/>
          <w:color w:val="333333"/>
          <w:sz w:val="30"/>
          <w:szCs w:val="30"/>
        </w:rPr>
        <w:t>分</w:t>
      </w:r>
      <w:r>
        <w:rPr>
          <w:rFonts w:hint="eastAsia" w:ascii="仿宋" w:hAnsi="仿宋" w:cs="Times New Roman"/>
          <w:color w:val="333333"/>
          <w:sz w:val="30"/>
          <w:szCs w:val="30"/>
        </w:rPr>
        <w:t>。</w:t>
      </w:r>
    </w:p>
    <w:p>
      <w:pPr>
        <w:pStyle w:val="53"/>
        <w:ind w:firstLine="602"/>
        <w:rPr>
          <w:rFonts w:ascii="仿宋" w:hAnsi="仿宋"/>
          <w:sz w:val="30"/>
          <w:szCs w:val="30"/>
        </w:rPr>
      </w:pPr>
      <w:r>
        <w:rPr>
          <w:rFonts w:hint="eastAsia" w:ascii="仿宋" w:hAnsi="仿宋"/>
          <w:sz w:val="30"/>
          <w:szCs w:val="30"/>
        </w:rPr>
        <w:t>A</w:t>
      </w:r>
      <w:r>
        <w:rPr>
          <w:rFonts w:ascii="仿宋" w:hAnsi="仿宋"/>
          <w:sz w:val="30"/>
          <w:szCs w:val="30"/>
        </w:rPr>
        <w:t>301</w:t>
      </w:r>
      <w:r>
        <w:rPr>
          <w:rFonts w:hint="eastAsia" w:ascii="仿宋" w:hAnsi="仿宋"/>
          <w:sz w:val="30"/>
          <w:szCs w:val="30"/>
        </w:rPr>
        <w:t>预算编制合理性</w:t>
      </w:r>
    </w:p>
    <w:p>
      <w:pPr>
        <w:pStyle w:val="32"/>
        <w:ind w:firstLine="600"/>
        <w:rPr>
          <w:rFonts w:ascii="仿宋" w:hAnsi="仿宋"/>
          <w:sz w:val="30"/>
          <w:szCs w:val="30"/>
        </w:rPr>
      </w:pPr>
      <w:r>
        <w:rPr>
          <w:rFonts w:hint="eastAsia" w:ascii="仿宋" w:hAnsi="仿宋"/>
          <w:sz w:val="30"/>
          <w:szCs w:val="30"/>
        </w:rPr>
        <w:t>该指标反映单位年初预算编制是否合理。权重分</w:t>
      </w:r>
      <w:r>
        <w:rPr>
          <w:rFonts w:ascii="仿宋" w:hAnsi="仿宋"/>
          <w:sz w:val="30"/>
          <w:szCs w:val="30"/>
        </w:rPr>
        <w:t>4</w:t>
      </w:r>
      <w:r>
        <w:rPr>
          <w:rFonts w:hint="eastAsia" w:ascii="仿宋" w:hAnsi="仿宋"/>
          <w:sz w:val="30"/>
          <w:szCs w:val="30"/>
        </w:rPr>
        <w:t>分，实际得分</w:t>
      </w:r>
      <w:r>
        <w:rPr>
          <w:rFonts w:ascii="仿宋" w:hAnsi="仿宋"/>
          <w:sz w:val="30"/>
          <w:szCs w:val="30"/>
        </w:rPr>
        <w:t>4</w:t>
      </w:r>
      <w:r>
        <w:rPr>
          <w:rFonts w:hint="eastAsia" w:ascii="仿宋" w:hAnsi="仿宋"/>
          <w:sz w:val="30"/>
          <w:szCs w:val="30"/>
        </w:rPr>
        <w:t>分。根据单位提供的项目可行性研究报告以及《津南区发展改革委关于“津南区2019年造林绿化工程”项目可行性研究报告的批复》得出，本项目预算编制时有完整的测算依据，编制审批流程规范合理，执行过程中未进行预算调整，项目年末无结余结转情况，实际支出与项目预算无偏差。根据指标评分规则，该项目预算编制合理，该指标得</w:t>
      </w:r>
      <w:r>
        <w:rPr>
          <w:rFonts w:ascii="仿宋" w:hAnsi="仿宋"/>
          <w:sz w:val="30"/>
          <w:szCs w:val="30"/>
        </w:rPr>
        <w:t>4分。</w:t>
      </w:r>
    </w:p>
    <w:bookmarkEnd w:id="79"/>
    <w:p>
      <w:pPr>
        <w:pStyle w:val="28"/>
        <w:rPr>
          <w:szCs w:val="32"/>
        </w:rPr>
      </w:pPr>
      <w:bookmarkStart w:id="80" w:name="_Toc91632830"/>
      <w:bookmarkStart w:id="81" w:name="_Toc65078830"/>
      <w:r>
        <w:rPr>
          <w:rFonts w:hint="eastAsia"/>
          <w:szCs w:val="32"/>
        </w:rPr>
        <w:t>（二）项目过程情况</w:t>
      </w:r>
      <w:bookmarkEnd w:id="80"/>
    </w:p>
    <w:p>
      <w:pPr>
        <w:pStyle w:val="32"/>
        <w:ind w:firstLine="600"/>
        <w:rPr>
          <w:rFonts w:ascii="仿宋" w:hAnsi="仿宋"/>
          <w:sz w:val="30"/>
          <w:szCs w:val="30"/>
        </w:rPr>
      </w:pPr>
      <w:r>
        <w:rPr>
          <w:rFonts w:ascii="仿宋" w:hAnsi="仿宋"/>
          <w:sz w:val="30"/>
          <w:szCs w:val="30"/>
        </w:rPr>
        <w:t>项目</w:t>
      </w:r>
      <w:r>
        <w:rPr>
          <w:rFonts w:hint="eastAsia" w:ascii="仿宋" w:hAnsi="仿宋"/>
          <w:sz w:val="30"/>
          <w:szCs w:val="30"/>
        </w:rPr>
        <w:t>过程</w:t>
      </w:r>
      <w:r>
        <w:rPr>
          <w:rFonts w:ascii="仿宋" w:hAnsi="仿宋"/>
          <w:sz w:val="30"/>
          <w:szCs w:val="30"/>
        </w:rPr>
        <w:t>指标共分7个三级指标，权重共 20 分，实际得分20分，得分率为100%，各指标得分见表 4-2。</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0"/>
        <w:gridCol w:w="1134"/>
        <w:gridCol w:w="1276"/>
        <w:gridCol w:w="992"/>
        <w:gridCol w:w="993"/>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shd w:val="clear" w:color="auto" w:fill="D8D8D8" w:themeFill="background1" w:themeFillShade="D9"/>
          </w:tcPr>
          <w:p>
            <w:pPr>
              <w:pStyle w:val="54"/>
              <w:jc w:val="center"/>
              <w:rPr>
                <w:rFonts w:ascii="仿宋" w:hAnsi="仿宋"/>
                <w:b/>
                <w:bCs/>
              </w:rPr>
            </w:pPr>
            <w:r>
              <w:rPr>
                <w:rFonts w:hint="eastAsia" w:ascii="仿宋" w:hAnsi="仿宋"/>
                <w:b/>
                <w:bCs/>
              </w:rPr>
              <w:t>三级指标</w:t>
            </w:r>
          </w:p>
        </w:tc>
        <w:tc>
          <w:tcPr>
            <w:tcW w:w="1134" w:type="dxa"/>
            <w:shd w:val="clear" w:color="auto" w:fill="D8D8D8" w:themeFill="background1" w:themeFillShade="D9"/>
          </w:tcPr>
          <w:p>
            <w:pPr>
              <w:pStyle w:val="54"/>
              <w:jc w:val="center"/>
              <w:rPr>
                <w:rFonts w:ascii="仿宋" w:hAnsi="仿宋"/>
                <w:b/>
                <w:bCs/>
              </w:rPr>
            </w:pPr>
            <w:r>
              <w:rPr>
                <w:rFonts w:hint="eastAsia" w:ascii="仿宋" w:hAnsi="仿宋"/>
                <w:b/>
                <w:bCs/>
              </w:rPr>
              <w:t>目标值</w:t>
            </w:r>
          </w:p>
        </w:tc>
        <w:tc>
          <w:tcPr>
            <w:tcW w:w="1276" w:type="dxa"/>
            <w:shd w:val="clear" w:color="auto" w:fill="D8D8D8" w:themeFill="background1" w:themeFillShade="D9"/>
          </w:tcPr>
          <w:p>
            <w:pPr>
              <w:pStyle w:val="54"/>
              <w:jc w:val="center"/>
              <w:rPr>
                <w:rFonts w:ascii="仿宋" w:hAnsi="仿宋"/>
                <w:b/>
                <w:bCs/>
              </w:rPr>
            </w:pPr>
            <w:r>
              <w:rPr>
                <w:rFonts w:hint="eastAsia" w:ascii="仿宋" w:hAnsi="仿宋"/>
                <w:b/>
                <w:bCs/>
              </w:rPr>
              <w:t>完成值</w:t>
            </w:r>
          </w:p>
        </w:tc>
        <w:tc>
          <w:tcPr>
            <w:tcW w:w="992" w:type="dxa"/>
            <w:shd w:val="clear" w:color="auto" w:fill="D8D8D8" w:themeFill="background1" w:themeFillShade="D9"/>
          </w:tcPr>
          <w:p>
            <w:pPr>
              <w:pStyle w:val="54"/>
              <w:jc w:val="center"/>
              <w:rPr>
                <w:rFonts w:ascii="仿宋" w:hAnsi="仿宋"/>
                <w:b/>
                <w:bCs/>
              </w:rPr>
            </w:pPr>
            <w:r>
              <w:rPr>
                <w:rFonts w:hint="eastAsia" w:ascii="仿宋" w:hAnsi="仿宋"/>
                <w:b/>
                <w:bCs/>
              </w:rPr>
              <w:t>权重</w:t>
            </w:r>
          </w:p>
        </w:tc>
        <w:tc>
          <w:tcPr>
            <w:tcW w:w="993" w:type="dxa"/>
            <w:shd w:val="clear" w:color="auto" w:fill="D8D8D8" w:themeFill="background1" w:themeFillShade="D9"/>
          </w:tcPr>
          <w:p>
            <w:pPr>
              <w:pStyle w:val="54"/>
              <w:jc w:val="center"/>
              <w:rPr>
                <w:rFonts w:ascii="仿宋" w:hAnsi="仿宋"/>
                <w:b/>
                <w:bCs/>
              </w:rPr>
            </w:pPr>
            <w:r>
              <w:rPr>
                <w:rFonts w:hint="eastAsia" w:ascii="仿宋" w:hAnsi="仿宋"/>
                <w:b/>
                <w:bCs/>
              </w:rPr>
              <w:t>得分</w:t>
            </w:r>
          </w:p>
        </w:tc>
        <w:tc>
          <w:tcPr>
            <w:tcW w:w="1071" w:type="dxa"/>
            <w:shd w:val="clear" w:color="auto" w:fill="D8D8D8" w:themeFill="background1" w:themeFillShade="D9"/>
          </w:tcPr>
          <w:p>
            <w:pPr>
              <w:pStyle w:val="54"/>
              <w:jc w:val="center"/>
              <w:rPr>
                <w:rFonts w:ascii="仿宋" w:hAnsi="仿宋"/>
                <w:b/>
                <w:bCs/>
              </w:rPr>
            </w:pPr>
            <w:r>
              <w:rPr>
                <w:rFonts w:hint="eastAsia" w:ascii="仿宋" w:hAnsi="仿宋"/>
                <w:b/>
                <w:bCs/>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pPr>
              <w:pStyle w:val="54"/>
              <w:rPr>
                <w:rFonts w:ascii="仿宋" w:hAnsi="仿宋"/>
              </w:rPr>
            </w:pPr>
            <w:r>
              <w:rPr>
                <w:rFonts w:hint="eastAsia" w:ascii="仿宋" w:hAnsi="仿宋"/>
              </w:rPr>
              <w:t>B</w:t>
            </w:r>
            <w:r>
              <w:rPr>
                <w:rFonts w:ascii="仿宋" w:hAnsi="仿宋"/>
              </w:rPr>
              <w:t>101</w:t>
            </w:r>
            <w:r>
              <w:rPr>
                <w:rFonts w:hint="eastAsia" w:ascii="仿宋" w:hAnsi="仿宋"/>
              </w:rPr>
              <w:t>预算执行率</w:t>
            </w:r>
          </w:p>
        </w:tc>
        <w:tc>
          <w:tcPr>
            <w:tcW w:w="1134" w:type="dxa"/>
          </w:tcPr>
          <w:p>
            <w:pPr>
              <w:pStyle w:val="54"/>
              <w:jc w:val="center"/>
              <w:rPr>
                <w:rFonts w:ascii="仿宋" w:hAnsi="仿宋"/>
              </w:rPr>
            </w:pPr>
            <w:r>
              <w:rPr>
                <w:rFonts w:hint="eastAsia" w:ascii="仿宋" w:hAnsi="仿宋"/>
              </w:rPr>
              <w:t>9</w:t>
            </w:r>
            <w:r>
              <w:rPr>
                <w:rFonts w:ascii="仿宋" w:hAnsi="仿宋"/>
              </w:rPr>
              <w:t>5</w:t>
            </w:r>
            <w:r>
              <w:rPr>
                <w:rFonts w:hint="eastAsia" w:ascii="仿宋" w:hAnsi="仿宋"/>
              </w:rPr>
              <w:t>%-</w:t>
            </w:r>
            <w:r>
              <w:rPr>
                <w:rFonts w:ascii="仿宋" w:hAnsi="仿宋"/>
              </w:rPr>
              <w:t>100</w:t>
            </w:r>
            <w:r>
              <w:rPr>
                <w:rFonts w:hint="eastAsia" w:ascii="仿宋" w:hAnsi="仿宋"/>
              </w:rPr>
              <w:t>%</w:t>
            </w:r>
          </w:p>
        </w:tc>
        <w:tc>
          <w:tcPr>
            <w:tcW w:w="1276" w:type="dxa"/>
          </w:tcPr>
          <w:p>
            <w:pPr>
              <w:pStyle w:val="54"/>
              <w:jc w:val="center"/>
              <w:rPr>
                <w:rFonts w:ascii="仿宋" w:hAnsi="仿宋"/>
              </w:rPr>
            </w:pPr>
            <w:r>
              <w:rPr>
                <w:rFonts w:ascii="仿宋" w:hAnsi="仿宋"/>
              </w:rPr>
              <w:t>100</w:t>
            </w:r>
            <w:r>
              <w:rPr>
                <w:rFonts w:hint="eastAsia" w:ascii="仿宋" w:hAnsi="仿宋"/>
              </w:rPr>
              <w:t>%</w:t>
            </w:r>
          </w:p>
        </w:tc>
        <w:tc>
          <w:tcPr>
            <w:tcW w:w="992" w:type="dxa"/>
          </w:tcPr>
          <w:p>
            <w:pPr>
              <w:pStyle w:val="54"/>
              <w:jc w:val="center"/>
              <w:rPr>
                <w:rFonts w:ascii="仿宋" w:hAnsi="仿宋"/>
              </w:rPr>
            </w:pPr>
            <w:r>
              <w:rPr>
                <w:rFonts w:hint="eastAsia" w:ascii="仿宋" w:hAnsi="仿宋"/>
              </w:rPr>
              <w:t>2</w:t>
            </w:r>
          </w:p>
        </w:tc>
        <w:tc>
          <w:tcPr>
            <w:tcW w:w="993" w:type="dxa"/>
          </w:tcPr>
          <w:p>
            <w:pPr>
              <w:pStyle w:val="54"/>
              <w:jc w:val="center"/>
              <w:rPr>
                <w:rFonts w:ascii="仿宋" w:hAnsi="仿宋"/>
              </w:rPr>
            </w:pPr>
            <w:r>
              <w:rPr>
                <w:rFonts w:ascii="仿宋" w:hAnsi="仿宋"/>
              </w:rPr>
              <w:t>2</w:t>
            </w:r>
          </w:p>
        </w:tc>
        <w:tc>
          <w:tcPr>
            <w:tcW w:w="1071"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pPr>
              <w:pStyle w:val="54"/>
              <w:rPr>
                <w:rFonts w:ascii="仿宋" w:hAnsi="仿宋"/>
              </w:rPr>
            </w:pPr>
            <w:r>
              <w:rPr>
                <w:rFonts w:hint="eastAsia" w:ascii="仿宋" w:hAnsi="仿宋"/>
              </w:rPr>
              <w:t>B</w:t>
            </w:r>
            <w:r>
              <w:rPr>
                <w:rFonts w:ascii="仿宋" w:hAnsi="仿宋"/>
              </w:rPr>
              <w:t>102</w:t>
            </w:r>
            <w:r>
              <w:rPr>
                <w:rFonts w:hint="eastAsia" w:ascii="仿宋" w:hAnsi="仿宋"/>
              </w:rPr>
              <w:t>资金使用合规性</w:t>
            </w:r>
          </w:p>
        </w:tc>
        <w:tc>
          <w:tcPr>
            <w:tcW w:w="1134" w:type="dxa"/>
          </w:tcPr>
          <w:p>
            <w:pPr>
              <w:pStyle w:val="54"/>
              <w:jc w:val="center"/>
              <w:rPr>
                <w:rFonts w:ascii="仿宋" w:hAnsi="仿宋"/>
              </w:rPr>
            </w:pPr>
            <w:r>
              <w:rPr>
                <w:rFonts w:hint="eastAsia" w:ascii="仿宋" w:hAnsi="仿宋"/>
              </w:rPr>
              <w:t>合规</w:t>
            </w:r>
          </w:p>
        </w:tc>
        <w:tc>
          <w:tcPr>
            <w:tcW w:w="1276" w:type="dxa"/>
          </w:tcPr>
          <w:p>
            <w:pPr>
              <w:pStyle w:val="54"/>
              <w:jc w:val="center"/>
              <w:rPr>
                <w:rFonts w:ascii="仿宋" w:hAnsi="仿宋"/>
              </w:rPr>
            </w:pPr>
            <w:r>
              <w:rPr>
                <w:rFonts w:hint="eastAsia" w:ascii="仿宋" w:hAnsi="仿宋"/>
              </w:rPr>
              <w:t>合规</w:t>
            </w:r>
          </w:p>
        </w:tc>
        <w:tc>
          <w:tcPr>
            <w:tcW w:w="992" w:type="dxa"/>
          </w:tcPr>
          <w:p>
            <w:pPr>
              <w:pStyle w:val="54"/>
              <w:jc w:val="center"/>
              <w:rPr>
                <w:rFonts w:ascii="仿宋" w:hAnsi="仿宋"/>
              </w:rPr>
            </w:pPr>
            <w:r>
              <w:rPr>
                <w:rFonts w:hint="eastAsia" w:ascii="仿宋" w:hAnsi="仿宋"/>
              </w:rPr>
              <w:t>3</w:t>
            </w:r>
          </w:p>
        </w:tc>
        <w:tc>
          <w:tcPr>
            <w:tcW w:w="993" w:type="dxa"/>
          </w:tcPr>
          <w:p>
            <w:pPr>
              <w:pStyle w:val="54"/>
              <w:jc w:val="center"/>
              <w:rPr>
                <w:rFonts w:ascii="仿宋" w:hAnsi="仿宋"/>
              </w:rPr>
            </w:pPr>
            <w:r>
              <w:rPr>
                <w:rFonts w:hint="eastAsia" w:ascii="仿宋" w:hAnsi="仿宋"/>
              </w:rPr>
              <w:t>3</w:t>
            </w:r>
          </w:p>
        </w:tc>
        <w:tc>
          <w:tcPr>
            <w:tcW w:w="1071"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pPr>
              <w:pStyle w:val="54"/>
              <w:rPr>
                <w:rFonts w:ascii="仿宋" w:hAnsi="仿宋"/>
              </w:rPr>
            </w:pPr>
            <w:r>
              <w:rPr>
                <w:rFonts w:hint="eastAsia" w:ascii="仿宋" w:hAnsi="仿宋"/>
              </w:rPr>
              <w:t>B</w:t>
            </w:r>
            <w:r>
              <w:rPr>
                <w:rFonts w:ascii="仿宋" w:hAnsi="仿宋"/>
              </w:rPr>
              <w:t>201</w:t>
            </w:r>
            <w:r>
              <w:rPr>
                <w:rFonts w:hint="eastAsia" w:ascii="仿宋" w:hAnsi="仿宋"/>
              </w:rPr>
              <w:t>财务制度健全性</w:t>
            </w:r>
          </w:p>
        </w:tc>
        <w:tc>
          <w:tcPr>
            <w:tcW w:w="1134" w:type="dxa"/>
          </w:tcPr>
          <w:p>
            <w:pPr>
              <w:pStyle w:val="54"/>
              <w:jc w:val="center"/>
              <w:rPr>
                <w:rFonts w:ascii="仿宋" w:hAnsi="仿宋"/>
              </w:rPr>
            </w:pPr>
            <w:r>
              <w:rPr>
                <w:rFonts w:hint="eastAsia" w:ascii="仿宋" w:hAnsi="仿宋"/>
              </w:rPr>
              <w:t>健全</w:t>
            </w:r>
          </w:p>
        </w:tc>
        <w:tc>
          <w:tcPr>
            <w:tcW w:w="1276" w:type="dxa"/>
          </w:tcPr>
          <w:p>
            <w:pPr>
              <w:pStyle w:val="54"/>
              <w:jc w:val="center"/>
              <w:rPr>
                <w:rFonts w:ascii="仿宋" w:hAnsi="仿宋"/>
              </w:rPr>
            </w:pPr>
            <w:r>
              <w:rPr>
                <w:rFonts w:hint="eastAsia" w:ascii="仿宋" w:hAnsi="仿宋"/>
              </w:rPr>
              <w:t>健全</w:t>
            </w:r>
          </w:p>
        </w:tc>
        <w:tc>
          <w:tcPr>
            <w:tcW w:w="992" w:type="dxa"/>
          </w:tcPr>
          <w:p>
            <w:pPr>
              <w:pStyle w:val="54"/>
              <w:jc w:val="center"/>
              <w:rPr>
                <w:rFonts w:ascii="仿宋" w:hAnsi="仿宋"/>
              </w:rPr>
            </w:pPr>
            <w:r>
              <w:rPr>
                <w:rFonts w:hint="eastAsia" w:ascii="仿宋" w:hAnsi="仿宋"/>
              </w:rPr>
              <w:t>3</w:t>
            </w:r>
          </w:p>
        </w:tc>
        <w:tc>
          <w:tcPr>
            <w:tcW w:w="993" w:type="dxa"/>
          </w:tcPr>
          <w:p>
            <w:pPr>
              <w:pStyle w:val="54"/>
              <w:jc w:val="center"/>
              <w:rPr>
                <w:rFonts w:ascii="仿宋" w:hAnsi="仿宋"/>
              </w:rPr>
            </w:pPr>
            <w:r>
              <w:rPr>
                <w:rFonts w:hint="eastAsia" w:ascii="仿宋" w:hAnsi="仿宋"/>
              </w:rPr>
              <w:t>3</w:t>
            </w:r>
          </w:p>
        </w:tc>
        <w:tc>
          <w:tcPr>
            <w:tcW w:w="1071"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pPr>
              <w:pStyle w:val="54"/>
              <w:rPr>
                <w:rFonts w:ascii="仿宋" w:hAnsi="仿宋"/>
              </w:rPr>
            </w:pPr>
            <w:r>
              <w:rPr>
                <w:rFonts w:hint="eastAsia" w:ascii="仿宋" w:hAnsi="仿宋"/>
              </w:rPr>
              <w:t>B</w:t>
            </w:r>
            <w:r>
              <w:rPr>
                <w:rFonts w:ascii="仿宋" w:hAnsi="仿宋"/>
              </w:rPr>
              <w:t>202</w:t>
            </w:r>
            <w:r>
              <w:rPr>
                <w:rFonts w:hint="eastAsia" w:ascii="仿宋" w:hAnsi="仿宋"/>
              </w:rPr>
              <w:t>财务监控有效性</w:t>
            </w:r>
          </w:p>
        </w:tc>
        <w:tc>
          <w:tcPr>
            <w:tcW w:w="1134" w:type="dxa"/>
          </w:tcPr>
          <w:p>
            <w:pPr>
              <w:pStyle w:val="54"/>
              <w:jc w:val="center"/>
              <w:rPr>
                <w:rFonts w:ascii="仿宋" w:hAnsi="仿宋"/>
              </w:rPr>
            </w:pPr>
            <w:r>
              <w:rPr>
                <w:rFonts w:hint="eastAsia" w:ascii="仿宋" w:hAnsi="仿宋"/>
              </w:rPr>
              <w:t>有效</w:t>
            </w:r>
          </w:p>
        </w:tc>
        <w:tc>
          <w:tcPr>
            <w:tcW w:w="1276" w:type="dxa"/>
          </w:tcPr>
          <w:p>
            <w:pPr>
              <w:pStyle w:val="54"/>
              <w:jc w:val="center"/>
              <w:rPr>
                <w:rFonts w:ascii="仿宋" w:hAnsi="仿宋"/>
              </w:rPr>
            </w:pPr>
            <w:r>
              <w:rPr>
                <w:rFonts w:hint="eastAsia" w:ascii="仿宋" w:hAnsi="仿宋"/>
              </w:rPr>
              <w:t>有效</w:t>
            </w:r>
          </w:p>
        </w:tc>
        <w:tc>
          <w:tcPr>
            <w:tcW w:w="992" w:type="dxa"/>
          </w:tcPr>
          <w:p>
            <w:pPr>
              <w:pStyle w:val="54"/>
              <w:jc w:val="center"/>
              <w:rPr>
                <w:rFonts w:ascii="仿宋" w:hAnsi="仿宋"/>
              </w:rPr>
            </w:pPr>
            <w:r>
              <w:rPr>
                <w:rFonts w:hint="eastAsia" w:ascii="仿宋" w:hAnsi="仿宋"/>
              </w:rPr>
              <w:t>3</w:t>
            </w:r>
          </w:p>
        </w:tc>
        <w:tc>
          <w:tcPr>
            <w:tcW w:w="993" w:type="dxa"/>
          </w:tcPr>
          <w:p>
            <w:pPr>
              <w:pStyle w:val="54"/>
              <w:jc w:val="center"/>
              <w:rPr>
                <w:rFonts w:ascii="仿宋" w:hAnsi="仿宋"/>
              </w:rPr>
            </w:pPr>
            <w:r>
              <w:rPr>
                <w:rFonts w:hint="eastAsia" w:ascii="仿宋" w:hAnsi="仿宋"/>
              </w:rPr>
              <w:t>3</w:t>
            </w:r>
          </w:p>
        </w:tc>
        <w:tc>
          <w:tcPr>
            <w:tcW w:w="1071"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pPr>
              <w:pStyle w:val="54"/>
              <w:rPr>
                <w:rFonts w:ascii="仿宋" w:hAnsi="仿宋"/>
              </w:rPr>
            </w:pPr>
            <w:r>
              <w:rPr>
                <w:rFonts w:hint="eastAsia" w:ascii="仿宋" w:hAnsi="仿宋"/>
              </w:rPr>
              <w:t>B</w:t>
            </w:r>
            <w:r>
              <w:rPr>
                <w:rFonts w:ascii="仿宋" w:hAnsi="仿宋"/>
              </w:rPr>
              <w:t>203</w:t>
            </w:r>
            <w:r>
              <w:rPr>
                <w:rFonts w:hint="eastAsia" w:ascii="仿宋" w:hAnsi="仿宋"/>
              </w:rPr>
              <w:t>业务制度健全性</w:t>
            </w:r>
          </w:p>
        </w:tc>
        <w:tc>
          <w:tcPr>
            <w:tcW w:w="1134" w:type="dxa"/>
          </w:tcPr>
          <w:p>
            <w:pPr>
              <w:pStyle w:val="54"/>
              <w:jc w:val="center"/>
              <w:rPr>
                <w:rFonts w:ascii="仿宋" w:hAnsi="仿宋"/>
              </w:rPr>
            </w:pPr>
            <w:r>
              <w:rPr>
                <w:rFonts w:hint="eastAsia" w:ascii="仿宋" w:hAnsi="仿宋"/>
              </w:rPr>
              <w:t>健全</w:t>
            </w:r>
          </w:p>
        </w:tc>
        <w:tc>
          <w:tcPr>
            <w:tcW w:w="1276" w:type="dxa"/>
          </w:tcPr>
          <w:p>
            <w:pPr>
              <w:pStyle w:val="54"/>
              <w:jc w:val="center"/>
              <w:rPr>
                <w:rFonts w:ascii="仿宋" w:hAnsi="仿宋"/>
              </w:rPr>
            </w:pPr>
            <w:r>
              <w:rPr>
                <w:rFonts w:hint="eastAsia" w:ascii="仿宋" w:hAnsi="仿宋"/>
              </w:rPr>
              <w:t>健全</w:t>
            </w:r>
          </w:p>
        </w:tc>
        <w:tc>
          <w:tcPr>
            <w:tcW w:w="992" w:type="dxa"/>
          </w:tcPr>
          <w:p>
            <w:pPr>
              <w:pStyle w:val="54"/>
              <w:jc w:val="center"/>
              <w:rPr>
                <w:rFonts w:ascii="仿宋" w:hAnsi="仿宋"/>
              </w:rPr>
            </w:pPr>
            <w:r>
              <w:rPr>
                <w:rFonts w:hint="eastAsia" w:ascii="仿宋" w:hAnsi="仿宋"/>
              </w:rPr>
              <w:t>3</w:t>
            </w:r>
          </w:p>
        </w:tc>
        <w:tc>
          <w:tcPr>
            <w:tcW w:w="993" w:type="dxa"/>
          </w:tcPr>
          <w:p>
            <w:pPr>
              <w:pStyle w:val="54"/>
              <w:jc w:val="center"/>
              <w:rPr>
                <w:rFonts w:ascii="仿宋" w:hAnsi="仿宋"/>
              </w:rPr>
            </w:pPr>
            <w:r>
              <w:rPr>
                <w:rFonts w:hint="eastAsia" w:ascii="仿宋" w:hAnsi="仿宋"/>
              </w:rPr>
              <w:t>3</w:t>
            </w:r>
          </w:p>
        </w:tc>
        <w:tc>
          <w:tcPr>
            <w:tcW w:w="1071"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pPr>
              <w:pStyle w:val="54"/>
              <w:rPr>
                <w:rFonts w:ascii="仿宋" w:hAnsi="仿宋"/>
              </w:rPr>
            </w:pPr>
            <w:r>
              <w:rPr>
                <w:rFonts w:hint="eastAsia" w:ascii="仿宋" w:hAnsi="仿宋"/>
              </w:rPr>
              <w:t>B</w:t>
            </w:r>
            <w:r>
              <w:rPr>
                <w:rFonts w:ascii="仿宋" w:hAnsi="仿宋"/>
              </w:rPr>
              <w:t>204</w:t>
            </w:r>
            <w:r>
              <w:rPr>
                <w:rFonts w:hint="eastAsia" w:ascii="仿宋" w:hAnsi="仿宋"/>
              </w:rPr>
              <w:t>审核流程规范性</w:t>
            </w:r>
          </w:p>
        </w:tc>
        <w:tc>
          <w:tcPr>
            <w:tcW w:w="1134" w:type="dxa"/>
          </w:tcPr>
          <w:p>
            <w:pPr>
              <w:pStyle w:val="54"/>
              <w:jc w:val="center"/>
              <w:rPr>
                <w:rFonts w:ascii="仿宋" w:hAnsi="仿宋"/>
              </w:rPr>
            </w:pPr>
            <w:r>
              <w:rPr>
                <w:rFonts w:hint="eastAsia" w:ascii="仿宋" w:hAnsi="仿宋"/>
              </w:rPr>
              <w:t>规范</w:t>
            </w:r>
          </w:p>
        </w:tc>
        <w:tc>
          <w:tcPr>
            <w:tcW w:w="1276" w:type="dxa"/>
          </w:tcPr>
          <w:p>
            <w:pPr>
              <w:pStyle w:val="54"/>
              <w:jc w:val="center"/>
              <w:rPr>
                <w:rFonts w:ascii="仿宋" w:hAnsi="仿宋"/>
              </w:rPr>
            </w:pPr>
            <w:r>
              <w:rPr>
                <w:rFonts w:hint="eastAsia" w:ascii="仿宋" w:hAnsi="仿宋"/>
              </w:rPr>
              <w:t>规范</w:t>
            </w:r>
          </w:p>
        </w:tc>
        <w:tc>
          <w:tcPr>
            <w:tcW w:w="992" w:type="dxa"/>
          </w:tcPr>
          <w:p>
            <w:pPr>
              <w:pStyle w:val="54"/>
              <w:jc w:val="center"/>
              <w:rPr>
                <w:rFonts w:ascii="仿宋" w:hAnsi="仿宋"/>
              </w:rPr>
            </w:pPr>
            <w:r>
              <w:rPr>
                <w:rFonts w:hint="eastAsia" w:ascii="仿宋" w:hAnsi="仿宋"/>
              </w:rPr>
              <w:t>3</w:t>
            </w:r>
          </w:p>
        </w:tc>
        <w:tc>
          <w:tcPr>
            <w:tcW w:w="993" w:type="dxa"/>
          </w:tcPr>
          <w:p>
            <w:pPr>
              <w:pStyle w:val="54"/>
              <w:jc w:val="center"/>
              <w:rPr>
                <w:rFonts w:ascii="仿宋" w:hAnsi="仿宋"/>
              </w:rPr>
            </w:pPr>
            <w:r>
              <w:rPr>
                <w:rFonts w:hint="eastAsia" w:ascii="仿宋" w:hAnsi="仿宋"/>
              </w:rPr>
              <w:t>3</w:t>
            </w:r>
          </w:p>
        </w:tc>
        <w:tc>
          <w:tcPr>
            <w:tcW w:w="1071"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pPr>
              <w:pStyle w:val="54"/>
              <w:rPr>
                <w:rFonts w:ascii="仿宋" w:hAnsi="仿宋"/>
              </w:rPr>
            </w:pPr>
            <w:r>
              <w:rPr>
                <w:rFonts w:hint="eastAsia" w:ascii="仿宋" w:hAnsi="仿宋"/>
              </w:rPr>
              <w:t>B205项目监管有效性</w:t>
            </w:r>
          </w:p>
        </w:tc>
        <w:tc>
          <w:tcPr>
            <w:tcW w:w="1134" w:type="dxa"/>
          </w:tcPr>
          <w:p>
            <w:pPr>
              <w:pStyle w:val="54"/>
              <w:jc w:val="center"/>
              <w:rPr>
                <w:rFonts w:ascii="仿宋" w:hAnsi="仿宋"/>
              </w:rPr>
            </w:pPr>
            <w:r>
              <w:rPr>
                <w:rFonts w:hint="eastAsia" w:ascii="仿宋" w:hAnsi="仿宋"/>
              </w:rPr>
              <w:t>有效</w:t>
            </w:r>
          </w:p>
        </w:tc>
        <w:tc>
          <w:tcPr>
            <w:tcW w:w="1276" w:type="dxa"/>
          </w:tcPr>
          <w:p>
            <w:pPr>
              <w:pStyle w:val="54"/>
              <w:jc w:val="center"/>
              <w:rPr>
                <w:rFonts w:ascii="仿宋" w:hAnsi="仿宋"/>
              </w:rPr>
            </w:pPr>
            <w:r>
              <w:rPr>
                <w:rFonts w:hint="eastAsia" w:ascii="仿宋" w:hAnsi="仿宋"/>
              </w:rPr>
              <w:t>有效</w:t>
            </w:r>
          </w:p>
        </w:tc>
        <w:tc>
          <w:tcPr>
            <w:tcW w:w="992" w:type="dxa"/>
          </w:tcPr>
          <w:p>
            <w:pPr>
              <w:pStyle w:val="54"/>
              <w:jc w:val="center"/>
              <w:rPr>
                <w:rFonts w:ascii="仿宋" w:hAnsi="仿宋"/>
              </w:rPr>
            </w:pPr>
            <w:r>
              <w:rPr>
                <w:rFonts w:hint="eastAsia" w:ascii="仿宋" w:hAnsi="仿宋"/>
              </w:rPr>
              <w:t>3</w:t>
            </w:r>
          </w:p>
        </w:tc>
        <w:tc>
          <w:tcPr>
            <w:tcW w:w="993" w:type="dxa"/>
          </w:tcPr>
          <w:p>
            <w:pPr>
              <w:pStyle w:val="54"/>
              <w:jc w:val="center"/>
              <w:rPr>
                <w:rFonts w:ascii="仿宋" w:hAnsi="仿宋"/>
              </w:rPr>
            </w:pPr>
            <w:r>
              <w:rPr>
                <w:rFonts w:ascii="仿宋" w:hAnsi="仿宋"/>
              </w:rPr>
              <w:t>3</w:t>
            </w:r>
          </w:p>
        </w:tc>
        <w:tc>
          <w:tcPr>
            <w:tcW w:w="1071" w:type="dxa"/>
          </w:tcPr>
          <w:p>
            <w:pPr>
              <w:pStyle w:val="54"/>
              <w:jc w:val="center"/>
              <w:rPr>
                <w:rFonts w:ascii="仿宋" w:hAnsi="仿宋"/>
              </w:rPr>
            </w:pPr>
            <w:r>
              <w:rPr>
                <w:rFonts w:ascii="仿宋" w:hAnsi="仿宋"/>
              </w:rPr>
              <w:t>100</w:t>
            </w:r>
            <w:r>
              <w:rPr>
                <w:rFonts w:hint="eastAsia" w:ascii="仿宋" w:hAnsi="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40" w:type="dxa"/>
            <w:gridSpan w:val="3"/>
          </w:tcPr>
          <w:p>
            <w:pPr>
              <w:pStyle w:val="54"/>
              <w:jc w:val="center"/>
              <w:rPr>
                <w:rFonts w:ascii="仿宋" w:hAnsi="仿宋"/>
                <w:b/>
                <w:bCs/>
              </w:rPr>
            </w:pPr>
            <w:r>
              <w:rPr>
                <w:rFonts w:hint="eastAsia" w:ascii="仿宋" w:hAnsi="仿宋"/>
                <w:b/>
                <w:bCs/>
              </w:rPr>
              <w:t>合计</w:t>
            </w:r>
          </w:p>
        </w:tc>
        <w:tc>
          <w:tcPr>
            <w:tcW w:w="992" w:type="dxa"/>
          </w:tcPr>
          <w:p>
            <w:pPr>
              <w:pStyle w:val="54"/>
              <w:jc w:val="center"/>
              <w:rPr>
                <w:rFonts w:ascii="仿宋" w:hAnsi="仿宋"/>
                <w:b/>
                <w:bCs/>
              </w:rPr>
            </w:pPr>
            <w:r>
              <w:rPr>
                <w:rFonts w:hint="eastAsia" w:ascii="仿宋" w:hAnsi="仿宋"/>
                <w:b/>
                <w:bCs/>
              </w:rPr>
              <w:t>2</w:t>
            </w:r>
            <w:r>
              <w:rPr>
                <w:rFonts w:ascii="仿宋" w:hAnsi="仿宋"/>
                <w:b/>
                <w:bCs/>
              </w:rPr>
              <w:t>0</w:t>
            </w:r>
          </w:p>
        </w:tc>
        <w:tc>
          <w:tcPr>
            <w:tcW w:w="993" w:type="dxa"/>
          </w:tcPr>
          <w:p>
            <w:pPr>
              <w:pStyle w:val="54"/>
              <w:jc w:val="center"/>
              <w:rPr>
                <w:rFonts w:ascii="仿宋" w:hAnsi="仿宋"/>
                <w:b/>
                <w:bCs/>
              </w:rPr>
            </w:pPr>
            <w:r>
              <w:rPr>
                <w:rFonts w:ascii="仿宋" w:hAnsi="仿宋"/>
                <w:b/>
                <w:bCs/>
              </w:rPr>
              <w:t>20</w:t>
            </w:r>
          </w:p>
        </w:tc>
        <w:tc>
          <w:tcPr>
            <w:tcW w:w="1071" w:type="dxa"/>
          </w:tcPr>
          <w:p>
            <w:pPr>
              <w:pStyle w:val="54"/>
              <w:jc w:val="center"/>
              <w:rPr>
                <w:rFonts w:ascii="仿宋" w:hAnsi="仿宋"/>
                <w:b/>
                <w:bCs/>
              </w:rPr>
            </w:pPr>
            <w:r>
              <w:rPr>
                <w:rFonts w:ascii="仿宋" w:hAnsi="仿宋"/>
                <w:b/>
              </w:rPr>
              <w:t>100</w:t>
            </w:r>
            <w:r>
              <w:rPr>
                <w:rFonts w:hint="eastAsia" w:ascii="仿宋" w:hAnsi="仿宋"/>
                <w:b/>
              </w:rPr>
              <w:t>%</w:t>
            </w:r>
          </w:p>
        </w:tc>
      </w:tr>
    </w:tbl>
    <w:p>
      <w:pPr>
        <w:pStyle w:val="36"/>
        <w:ind w:firstLine="480"/>
        <w:rPr>
          <w:rFonts w:ascii="仿宋" w:hAnsi="仿宋"/>
        </w:rPr>
      </w:pPr>
      <w:r>
        <w:rPr>
          <w:rFonts w:hint="eastAsia" w:ascii="仿宋" w:hAnsi="仿宋"/>
        </w:rPr>
        <w:t>表4-</w:t>
      </w:r>
      <w:r>
        <w:rPr>
          <w:rFonts w:ascii="仿宋" w:hAnsi="仿宋"/>
        </w:rPr>
        <w:t>2</w:t>
      </w:r>
    </w:p>
    <w:p>
      <w:pPr>
        <w:pStyle w:val="53"/>
        <w:ind w:firstLine="602"/>
        <w:rPr>
          <w:rFonts w:ascii="仿宋" w:hAnsi="仿宋"/>
          <w:sz w:val="30"/>
          <w:szCs w:val="30"/>
        </w:rPr>
      </w:pPr>
      <w:r>
        <w:rPr>
          <w:rFonts w:hint="eastAsia" w:ascii="仿宋" w:hAnsi="仿宋"/>
          <w:sz w:val="30"/>
          <w:szCs w:val="30"/>
        </w:rPr>
        <w:t>B</w:t>
      </w:r>
      <w:r>
        <w:rPr>
          <w:rFonts w:ascii="仿宋" w:hAnsi="仿宋"/>
          <w:sz w:val="30"/>
          <w:szCs w:val="30"/>
        </w:rPr>
        <w:t>101</w:t>
      </w:r>
      <w:r>
        <w:rPr>
          <w:rFonts w:hint="eastAsia" w:ascii="仿宋" w:hAnsi="仿宋"/>
          <w:sz w:val="30"/>
          <w:szCs w:val="30"/>
        </w:rPr>
        <w:t>预算执行率</w:t>
      </w:r>
    </w:p>
    <w:p>
      <w:pPr>
        <w:pStyle w:val="32"/>
        <w:ind w:firstLine="600"/>
        <w:rPr>
          <w:rFonts w:ascii="仿宋" w:hAnsi="仿宋"/>
          <w:sz w:val="30"/>
          <w:szCs w:val="30"/>
        </w:rPr>
      </w:pPr>
      <w:r>
        <w:rPr>
          <w:rFonts w:hint="eastAsia" w:ascii="仿宋" w:hAnsi="仿宋"/>
          <w:sz w:val="30"/>
          <w:szCs w:val="30"/>
        </w:rPr>
        <w:t>该指标反映项目预算资金的执行情况。权重分2分，实际得分2分。具体依据为：</w:t>
      </w:r>
      <w:r>
        <w:rPr>
          <w:rFonts w:ascii="仿宋" w:hAnsi="仿宋"/>
          <w:sz w:val="30"/>
          <w:szCs w:val="30"/>
        </w:rPr>
        <w:t>依据</w:t>
      </w:r>
      <w:r>
        <w:rPr>
          <w:rFonts w:hint="eastAsia" w:ascii="仿宋" w:hAnsi="仿宋"/>
          <w:sz w:val="30"/>
          <w:szCs w:val="30"/>
        </w:rPr>
        <w:t>单位提供的2</w:t>
      </w:r>
      <w:r>
        <w:rPr>
          <w:rFonts w:ascii="仿宋" w:hAnsi="仿宋"/>
          <w:sz w:val="30"/>
          <w:szCs w:val="30"/>
        </w:rPr>
        <w:t>020</w:t>
      </w:r>
      <w:r>
        <w:rPr>
          <w:rFonts w:hint="eastAsia" w:ascii="仿宋" w:hAnsi="仿宋"/>
          <w:sz w:val="30"/>
          <w:szCs w:val="30"/>
        </w:rPr>
        <w:t>年决算报表和财务相关数据可以看到，本年收入27351.623705万元，支出27351.623705万元，项目年末无结余情况，预算执行率为</w:t>
      </w:r>
      <w:r>
        <w:rPr>
          <w:rFonts w:ascii="仿宋" w:hAnsi="仿宋"/>
          <w:sz w:val="30"/>
          <w:szCs w:val="30"/>
        </w:rPr>
        <w:t>100</w:t>
      </w:r>
      <w:r>
        <w:rPr>
          <w:rFonts w:hint="eastAsia" w:ascii="仿宋" w:hAnsi="仿宋"/>
          <w:sz w:val="30"/>
          <w:szCs w:val="30"/>
        </w:rPr>
        <w:t>%。根据指标评分规则，该指标得</w:t>
      </w:r>
      <w:r>
        <w:rPr>
          <w:rFonts w:ascii="仿宋" w:hAnsi="仿宋"/>
          <w:sz w:val="30"/>
          <w:szCs w:val="30"/>
        </w:rPr>
        <w:t>2分。</w:t>
      </w:r>
    </w:p>
    <w:p>
      <w:pPr>
        <w:pStyle w:val="53"/>
        <w:ind w:firstLine="602"/>
        <w:rPr>
          <w:rFonts w:ascii="仿宋" w:hAnsi="仿宋"/>
          <w:sz w:val="30"/>
          <w:szCs w:val="30"/>
        </w:rPr>
      </w:pPr>
      <w:r>
        <w:rPr>
          <w:rFonts w:hint="eastAsia" w:ascii="仿宋" w:hAnsi="仿宋"/>
          <w:sz w:val="30"/>
          <w:szCs w:val="30"/>
        </w:rPr>
        <w:t>B</w:t>
      </w:r>
      <w:r>
        <w:rPr>
          <w:rFonts w:ascii="仿宋" w:hAnsi="仿宋"/>
          <w:sz w:val="30"/>
          <w:szCs w:val="30"/>
        </w:rPr>
        <w:t>102</w:t>
      </w:r>
      <w:r>
        <w:rPr>
          <w:rFonts w:hint="eastAsia" w:ascii="仿宋" w:hAnsi="仿宋"/>
          <w:sz w:val="30"/>
          <w:szCs w:val="30"/>
        </w:rPr>
        <w:t>资金使用合规性</w:t>
      </w:r>
    </w:p>
    <w:p>
      <w:pPr>
        <w:pStyle w:val="32"/>
        <w:ind w:firstLine="600"/>
        <w:rPr>
          <w:rFonts w:ascii="仿宋" w:hAnsi="仿宋"/>
          <w:sz w:val="30"/>
          <w:szCs w:val="30"/>
        </w:rPr>
      </w:pPr>
      <w:r>
        <w:rPr>
          <w:rFonts w:hint="eastAsia" w:ascii="仿宋" w:hAnsi="仿宋"/>
          <w:sz w:val="30"/>
          <w:szCs w:val="30"/>
        </w:rPr>
        <w:t>该指标反映项目开展过程中资金使用是否符合规定。权重分3分，实际得分3分。具体依据为：根据评价小组的实地调研与资料收集得出，项目在进行资金拨付前，单位通过开展三重一大会议确定支出事项，本项目支出严格遵循财政要求及单位内部财务制度，先由项目负责人发起资金请示，然后通过领导审批签字，最后财务负责人确认后进行资金拨付并将所有支出票据整理归档。单位具有完整的资金审批流程，资金支出符合项目预算批复规定的用途。根据指标评分规则，该指标得</w:t>
      </w:r>
      <w:r>
        <w:rPr>
          <w:rFonts w:ascii="仿宋" w:hAnsi="仿宋"/>
          <w:sz w:val="30"/>
          <w:szCs w:val="30"/>
        </w:rPr>
        <w:t>3分。</w:t>
      </w:r>
    </w:p>
    <w:p>
      <w:pPr>
        <w:pStyle w:val="53"/>
        <w:ind w:firstLine="602"/>
        <w:rPr>
          <w:rFonts w:ascii="仿宋" w:hAnsi="仿宋"/>
          <w:sz w:val="30"/>
          <w:szCs w:val="30"/>
        </w:rPr>
      </w:pPr>
      <w:r>
        <w:rPr>
          <w:rFonts w:hint="eastAsia" w:ascii="仿宋" w:hAnsi="仿宋"/>
          <w:sz w:val="30"/>
          <w:szCs w:val="30"/>
        </w:rPr>
        <w:t>B</w:t>
      </w:r>
      <w:r>
        <w:rPr>
          <w:rFonts w:ascii="仿宋" w:hAnsi="仿宋"/>
          <w:sz w:val="30"/>
          <w:szCs w:val="30"/>
        </w:rPr>
        <w:t>201</w:t>
      </w:r>
      <w:r>
        <w:rPr>
          <w:rFonts w:hint="eastAsia" w:ascii="仿宋" w:hAnsi="仿宋"/>
          <w:sz w:val="30"/>
          <w:szCs w:val="30"/>
        </w:rPr>
        <w:t>财务制度健全性</w:t>
      </w:r>
    </w:p>
    <w:p>
      <w:pPr>
        <w:pStyle w:val="32"/>
        <w:ind w:firstLine="600"/>
        <w:rPr>
          <w:rFonts w:ascii="仿宋" w:hAnsi="仿宋"/>
          <w:sz w:val="30"/>
          <w:szCs w:val="30"/>
        </w:rPr>
      </w:pPr>
      <w:r>
        <w:rPr>
          <w:rFonts w:hint="eastAsia" w:ascii="仿宋" w:hAnsi="仿宋"/>
          <w:sz w:val="30"/>
          <w:szCs w:val="30"/>
        </w:rPr>
        <w:t>该指标反映项目资金投入的财务相关制度健全情况。权重分3分，实际得分3分。具体依据为：该项目财务管理遵循天津市财政局财务制度要求及本单位内控管理制度关于资金使用审批要求，结合《中华人民共和国会计法》与单位内部财务制度管理，财务制度较为健全。根据指标评分规则，该指标得</w:t>
      </w:r>
      <w:r>
        <w:rPr>
          <w:rFonts w:ascii="仿宋" w:hAnsi="仿宋"/>
          <w:sz w:val="30"/>
          <w:szCs w:val="30"/>
        </w:rPr>
        <w:t>3分。</w:t>
      </w:r>
    </w:p>
    <w:p>
      <w:pPr>
        <w:pStyle w:val="53"/>
        <w:ind w:firstLine="602"/>
        <w:rPr>
          <w:rFonts w:ascii="仿宋" w:hAnsi="仿宋"/>
          <w:sz w:val="30"/>
          <w:szCs w:val="30"/>
        </w:rPr>
      </w:pPr>
      <w:r>
        <w:rPr>
          <w:rFonts w:hint="eastAsia" w:ascii="仿宋" w:hAnsi="仿宋"/>
          <w:sz w:val="30"/>
          <w:szCs w:val="30"/>
        </w:rPr>
        <w:t>B</w:t>
      </w:r>
      <w:r>
        <w:rPr>
          <w:rFonts w:ascii="仿宋" w:hAnsi="仿宋"/>
          <w:sz w:val="30"/>
          <w:szCs w:val="30"/>
        </w:rPr>
        <w:t>202</w:t>
      </w:r>
      <w:r>
        <w:rPr>
          <w:rFonts w:hint="eastAsia" w:ascii="仿宋" w:hAnsi="仿宋"/>
          <w:sz w:val="30"/>
          <w:szCs w:val="30"/>
        </w:rPr>
        <w:t>财务监控有效性</w:t>
      </w:r>
    </w:p>
    <w:p>
      <w:pPr>
        <w:pStyle w:val="32"/>
        <w:ind w:firstLine="600"/>
        <w:rPr>
          <w:rFonts w:ascii="仿宋" w:hAnsi="仿宋"/>
          <w:sz w:val="30"/>
          <w:szCs w:val="30"/>
        </w:rPr>
      </w:pPr>
      <w:r>
        <w:rPr>
          <w:rFonts w:hint="eastAsia" w:ascii="仿宋" w:hAnsi="仿宋"/>
          <w:sz w:val="30"/>
          <w:szCs w:val="30"/>
        </w:rPr>
        <w:t>该指标反映项目开展过程中资金拨付监控的有效情况。权重分3分，实际得分3分。具体依据为：资金支出严格落实内部控制管理要求，经过三重一大会议研究通过后予以资金支付，资金使用由部门负责人、分管领导签字后才可支出，并且财务相关人员对项目资金支付情况实时记录，形成电子凭证和项目收支明细账。根据指标评分规则，该指标得</w:t>
      </w:r>
      <w:r>
        <w:rPr>
          <w:rFonts w:ascii="仿宋" w:hAnsi="仿宋"/>
          <w:sz w:val="30"/>
          <w:szCs w:val="30"/>
        </w:rPr>
        <w:t>3分。</w:t>
      </w:r>
    </w:p>
    <w:p>
      <w:pPr>
        <w:pStyle w:val="53"/>
        <w:ind w:firstLine="602"/>
        <w:rPr>
          <w:rFonts w:ascii="仿宋" w:hAnsi="仿宋"/>
          <w:sz w:val="30"/>
          <w:szCs w:val="30"/>
        </w:rPr>
      </w:pPr>
      <w:r>
        <w:rPr>
          <w:rFonts w:hint="eastAsia" w:ascii="仿宋" w:hAnsi="仿宋"/>
          <w:sz w:val="30"/>
          <w:szCs w:val="30"/>
        </w:rPr>
        <w:t>B</w:t>
      </w:r>
      <w:r>
        <w:rPr>
          <w:rFonts w:ascii="仿宋" w:hAnsi="仿宋"/>
          <w:sz w:val="30"/>
          <w:szCs w:val="30"/>
        </w:rPr>
        <w:t>203</w:t>
      </w:r>
      <w:r>
        <w:rPr>
          <w:rFonts w:hint="eastAsia" w:ascii="仿宋" w:hAnsi="仿宋"/>
          <w:sz w:val="30"/>
          <w:szCs w:val="30"/>
        </w:rPr>
        <w:t>业务制度健全性</w:t>
      </w:r>
    </w:p>
    <w:p>
      <w:pPr>
        <w:pStyle w:val="32"/>
        <w:ind w:firstLine="600"/>
        <w:rPr>
          <w:rFonts w:ascii="仿宋" w:hAnsi="仿宋"/>
          <w:bCs/>
          <w:sz w:val="30"/>
          <w:szCs w:val="30"/>
        </w:rPr>
      </w:pPr>
      <w:r>
        <w:rPr>
          <w:rFonts w:hint="eastAsia" w:ascii="仿宋" w:hAnsi="仿宋"/>
          <w:sz w:val="30"/>
          <w:szCs w:val="30"/>
        </w:rPr>
        <w:t>该指标反映本项目业务制度是否健全。权重分3分，实际得分</w:t>
      </w:r>
      <w:r>
        <w:rPr>
          <w:rFonts w:ascii="仿宋" w:hAnsi="仿宋"/>
          <w:sz w:val="30"/>
          <w:szCs w:val="30"/>
        </w:rPr>
        <w:t>3</w:t>
      </w:r>
      <w:r>
        <w:rPr>
          <w:rFonts w:hint="eastAsia" w:ascii="仿宋" w:hAnsi="仿宋"/>
          <w:sz w:val="30"/>
          <w:szCs w:val="30"/>
        </w:rPr>
        <w:t>分。具体依据为：业务管理制度上单位主要依据《天津市加强滨海新区和中心城区中间地带规划管控建设绿色生态屏障实施细则》、《津南区 2019 年造林绿化工作实施方案》以及</w:t>
      </w:r>
      <w:r>
        <w:rPr>
          <w:rFonts w:hint="eastAsia" w:ascii="仿宋" w:hAnsi="仿宋" w:cs="仿宋"/>
          <w:sz w:val="30"/>
          <w:szCs w:val="30"/>
        </w:rPr>
        <w:t>《</w:t>
      </w:r>
      <w:r>
        <w:rPr>
          <w:rFonts w:hint="eastAsia" w:ascii="仿宋" w:hAnsi="仿宋" w:cs="仿宋"/>
          <w:kern w:val="0"/>
          <w:sz w:val="30"/>
          <w:szCs w:val="30"/>
          <w:lang w:bidi="ar"/>
        </w:rPr>
        <w:t>津南区发展改革委关于“津南区2019年造林绿化工程”项目可行性研究报告的批复</w:t>
      </w:r>
      <w:r>
        <w:rPr>
          <w:rFonts w:hint="eastAsia" w:ascii="仿宋" w:hAnsi="仿宋" w:cs="仿宋"/>
          <w:sz w:val="30"/>
          <w:szCs w:val="30"/>
        </w:rPr>
        <w:t>》</w:t>
      </w:r>
      <w:r>
        <w:rPr>
          <w:rFonts w:hint="eastAsia" w:ascii="仿宋" w:hAnsi="仿宋"/>
          <w:color w:val="333333"/>
          <w:sz w:val="30"/>
          <w:szCs w:val="30"/>
        </w:rPr>
        <w:t>与</w:t>
      </w:r>
      <w:r>
        <w:rPr>
          <w:rFonts w:hint="eastAsia" w:ascii="仿宋" w:hAnsi="仿宋"/>
          <w:sz w:val="30"/>
          <w:szCs w:val="30"/>
        </w:rPr>
        <w:t>单位内部控制制度共同</w:t>
      </w:r>
      <w:r>
        <w:rPr>
          <w:rFonts w:hint="eastAsia" w:ascii="仿宋" w:hAnsi="仿宋"/>
          <w:color w:val="333333"/>
          <w:sz w:val="30"/>
          <w:szCs w:val="30"/>
        </w:rPr>
        <w:t>展开业务管理工作</w:t>
      </w:r>
      <w:r>
        <w:rPr>
          <w:rFonts w:hint="eastAsia" w:ascii="仿宋" w:hAnsi="仿宋"/>
          <w:bCs/>
          <w:sz w:val="30"/>
          <w:szCs w:val="30"/>
        </w:rPr>
        <w:t>，业务制度健全。根据指标评分规则，该指标得</w:t>
      </w:r>
      <w:r>
        <w:rPr>
          <w:rFonts w:ascii="仿宋" w:hAnsi="仿宋"/>
          <w:bCs/>
          <w:sz w:val="30"/>
          <w:szCs w:val="30"/>
        </w:rPr>
        <w:t>3分。</w:t>
      </w:r>
    </w:p>
    <w:p>
      <w:pPr>
        <w:pStyle w:val="53"/>
        <w:ind w:firstLine="602"/>
        <w:rPr>
          <w:rFonts w:ascii="仿宋" w:hAnsi="仿宋"/>
          <w:sz w:val="30"/>
          <w:szCs w:val="30"/>
        </w:rPr>
      </w:pPr>
      <w:r>
        <w:rPr>
          <w:rFonts w:hint="eastAsia" w:ascii="仿宋" w:hAnsi="仿宋"/>
          <w:sz w:val="30"/>
          <w:szCs w:val="30"/>
        </w:rPr>
        <w:t>B</w:t>
      </w:r>
      <w:r>
        <w:rPr>
          <w:rFonts w:ascii="仿宋" w:hAnsi="仿宋"/>
          <w:sz w:val="30"/>
          <w:szCs w:val="30"/>
        </w:rPr>
        <w:t>204</w:t>
      </w:r>
      <w:r>
        <w:rPr>
          <w:rFonts w:hint="eastAsia" w:ascii="仿宋" w:hAnsi="仿宋"/>
          <w:sz w:val="30"/>
          <w:szCs w:val="30"/>
        </w:rPr>
        <w:t>审核流程规范性</w:t>
      </w:r>
    </w:p>
    <w:p>
      <w:pPr>
        <w:pStyle w:val="32"/>
        <w:ind w:firstLine="600"/>
        <w:rPr>
          <w:rFonts w:ascii="仿宋" w:hAnsi="仿宋"/>
          <w:sz w:val="30"/>
          <w:szCs w:val="30"/>
        </w:rPr>
      </w:pPr>
      <w:r>
        <w:rPr>
          <w:rFonts w:hint="eastAsia" w:ascii="仿宋" w:hAnsi="仿宋"/>
          <w:sz w:val="30"/>
          <w:szCs w:val="30"/>
        </w:rPr>
        <w:t>该指标反映本项目审核流程的规范程度。权重分3分，实际得分3分。具体依据为：根据评价小组的实地调研，项目资金审核流程完整且符合内部财务管理制度，项目实施前，单位通过开展三重一大会议决定资金拨付事宜，项目资金支出按照财务管理制度与内控管理制度审批流程执行，以经办人申请，部门负责人审核签字，领导审批签字，财务支付的流程，保障资金使用合规，审核流程完整且规范。根据指标评分规则，该指标得3分。</w:t>
      </w:r>
    </w:p>
    <w:p>
      <w:pPr>
        <w:pStyle w:val="53"/>
        <w:ind w:firstLine="602"/>
        <w:rPr>
          <w:rFonts w:ascii="仿宋" w:hAnsi="仿宋"/>
          <w:sz w:val="30"/>
          <w:szCs w:val="30"/>
        </w:rPr>
      </w:pPr>
      <w:r>
        <w:rPr>
          <w:rFonts w:hint="eastAsia" w:ascii="仿宋" w:hAnsi="仿宋"/>
          <w:sz w:val="30"/>
          <w:szCs w:val="30"/>
        </w:rPr>
        <w:t>B205项目监管有效性</w:t>
      </w:r>
    </w:p>
    <w:p>
      <w:pPr>
        <w:pStyle w:val="32"/>
        <w:ind w:firstLine="600"/>
        <w:rPr>
          <w:rFonts w:ascii="仿宋" w:hAnsi="仿宋"/>
          <w:sz w:val="32"/>
          <w:szCs w:val="32"/>
        </w:rPr>
      </w:pPr>
      <w:r>
        <w:rPr>
          <w:rFonts w:hint="eastAsia" w:ascii="仿宋" w:hAnsi="仿宋"/>
          <w:sz w:val="30"/>
          <w:szCs w:val="30"/>
        </w:rPr>
        <w:t>该指标反映项目监管的有效情况。权重分3分，实际得分</w:t>
      </w:r>
      <w:r>
        <w:rPr>
          <w:rFonts w:ascii="仿宋" w:hAnsi="仿宋"/>
          <w:sz w:val="30"/>
          <w:szCs w:val="30"/>
        </w:rPr>
        <w:t>3</w:t>
      </w:r>
      <w:r>
        <w:rPr>
          <w:rFonts w:hint="eastAsia" w:ascii="仿宋" w:hAnsi="仿宋"/>
          <w:sz w:val="30"/>
          <w:szCs w:val="30"/>
        </w:rPr>
        <w:t>分。具体依据为：天津市津南区农业农村委员会对于项目监管的方式主要采用单位监管，单位内部以三重一大会议作为项目决策机构，项目实施以领导监管为主，领导审批签字，保障资金使用合规，根据指标评分规则，该指标得</w:t>
      </w:r>
      <w:r>
        <w:rPr>
          <w:rFonts w:ascii="仿宋" w:hAnsi="仿宋"/>
          <w:sz w:val="30"/>
          <w:szCs w:val="30"/>
        </w:rPr>
        <w:t>3</w:t>
      </w:r>
      <w:r>
        <w:rPr>
          <w:rFonts w:hint="eastAsia" w:ascii="仿宋" w:hAnsi="仿宋"/>
          <w:sz w:val="30"/>
          <w:szCs w:val="30"/>
        </w:rPr>
        <w:t>分。</w:t>
      </w:r>
    </w:p>
    <w:bookmarkEnd w:id="81"/>
    <w:p>
      <w:pPr>
        <w:pStyle w:val="28"/>
        <w:rPr>
          <w:szCs w:val="32"/>
        </w:rPr>
      </w:pPr>
      <w:bookmarkStart w:id="82" w:name="_Toc91632831"/>
      <w:bookmarkStart w:id="83" w:name="_Toc65078831"/>
      <w:r>
        <w:rPr>
          <w:rFonts w:hint="eastAsia"/>
          <w:szCs w:val="32"/>
        </w:rPr>
        <w:t>（三）项目产出情况</w:t>
      </w:r>
      <w:bookmarkEnd w:id="82"/>
    </w:p>
    <w:p>
      <w:pPr>
        <w:pStyle w:val="32"/>
        <w:ind w:firstLine="600"/>
        <w:rPr>
          <w:rFonts w:ascii="仿宋" w:hAnsi="仿宋"/>
          <w:sz w:val="30"/>
          <w:szCs w:val="30"/>
        </w:rPr>
      </w:pPr>
      <w:r>
        <w:rPr>
          <w:rFonts w:ascii="仿宋" w:hAnsi="仿宋"/>
          <w:sz w:val="30"/>
          <w:szCs w:val="30"/>
        </w:rPr>
        <w:t>项目</w:t>
      </w:r>
      <w:r>
        <w:rPr>
          <w:rFonts w:hint="eastAsia" w:ascii="仿宋" w:hAnsi="仿宋"/>
          <w:sz w:val="30"/>
          <w:szCs w:val="30"/>
        </w:rPr>
        <w:t>产出</w:t>
      </w:r>
      <w:r>
        <w:rPr>
          <w:rFonts w:ascii="仿宋" w:hAnsi="仿宋"/>
          <w:sz w:val="30"/>
          <w:szCs w:val="30"/>
        </w:rPr>
        <w:t>指标共分4个三级指标，权重共 30 分，实际得分</w:t>
      </w:r>
      <w:r>
        <w:rPr>
          <w:rFonts w:hint="eastAsia" w:ascii="仿宋" w:hAnsi="仿宋"/>
          <w:sz w:val="30"/>
          <w:szCs w:val="30"/>
        </w:rPr>
        <w:t>30</w:t>
      </w:r>
      <w:r>
        <w:rPr>
          <w:rFonts w:ascii="仿宋" w:hAnsi="仿宋"/>
          <w:sz w:val="30"/>
          <w:szCs w:val="30"/>
        </w:rPr>
        <w:t>分，得分率为</w:t>
      </w:r>
      <w:r>
        <w:rPr>
          <w:rFonts w:hint="eastAsia" w:ascii="仿宋" w:hAnsi="仿宋"/>
          <w:sz w:val="30"/>
          <w:szCs w:val="30"/>
        </w:rPr>
        <w:t>10</w:t>
      </w:r>
      <w:r>
        <w:rPr>
          <w:rFonts w:ascii="仿宋" w:hAnsi="仿宋"/>
          <w:sz w:val="30"/>
          <w:szCs w:val="30"/>
        </w:rPr>
        <w:t>0%，各指标得分见表 4-3。</w:t>
      </w:r>
    </w:p>
    <w:tbl>
      <w:tblPr>
        <w:tblStyle w:val="19"/>
        <w:tblW w:w="9215"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8"/>
        <w:gridCol w:w="1417"/>
        <w:gridCol w:w="1559"/>
        <w:gridCol w:w="993"/>
        <w:gridCol w:w="992"/>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8" w:type="dxa"/>
            <w:shd w:val="clear" w:color="auto" w:fill="D8D8D8" w:themeFill="background1" w:themeFillShade="D9"/>
            <w:vAlign w:val="center"/>
          </w:tcPr>
          <w:p>
            <w:pPr>
              <w:pStyle w:val="54"/>
              <w:jc w:val="center"/>
              <w:rPr>
                <w:rFonts w:ascii="仿宋" w:hAnsi="仿宋"/>
                <w:b/>
                <w:bCs/>
              </w:rPr>
            </w:pPr>
            <w:r>
              <w:rPr>
                <w:rFonts w:hint="eastAsia" w:ascii="仿宋" w:hAnsi="仿宋"/>
                <w:b/>
                <w:bCs/>
              </w:rPr>
              <w:t>三级指标</w:t>
            </w:r>
          </w:p>
        </w:tc>
        <w:tc>
          <w:tcPr>
            <w:tcW w:w="1417" w:type="dxa"/>
            <w:shd w:val="clear" w:color="auto" w:fill="D8D8D8" w:themeFill="background1" w:themeFillShade="D9"/>
            <w:vAlign w:val="center"/>
          </w:tcPr>
          <w:p>
            <w:pPr>
              <w:pStyle w:val="54"/>
              <w:jc w:val="center"/>
              <w:rPr>
                <w:rFonts w:ascii="仿宋" w:hAnsi="仿宋"/>
                <w:b/>
                <w:bCs/>
              </w:rPr>
            </w:pPr>
            <w:r>
              <w:rPr>
                <w:rFonts w:hint="eastAsia" w:ascii="仿宋" w:hAnsi="仿宋"/>
                <w:b/>
                <w:bCs/>
              </w:rPr>
              <w:t>目标值</w:t>
            </w:r>
          </w:p>
        </w:tc>
        <w:tc>
          <w:tcPr>
            <w:tcW w:w="1559" w:type="dxa"/>
            <w:shd w:val="clear" w:color="auto" w:fill="D8D8D8" w:themeFill="background1" w:themeFillShade="D9"/>
            <w:vAlign w:val="center"/>
          </w:tcPr>
          <w:p>
            <w:pPr>
              <w:pStyle w:val="54"/>
              <w:jc w:val="center"/>
              <w:rPr>
                <w:rFonts w:ascii="仿宋" w:hAnsi="仿宋"/>
                <w:b/>
                <w:bCs/>
              </w:rPr>
            </w:pPr>
            <w:r>
              <w:rPr>
                <w:rFonts w:hint="eastAsia" w:ascii="仿宋" w:hAnsi="仿宋"/>
                <w:b/>
                <w:bCs/>
              </w:rPr>
              <w:t>完成值</w:t>
            </w:r>
          </w:p>
        </w:tc>
        <w:tc>
          <w:tcPr>
            <w:tcW w:w="993" w:type="dxa"/>
            <w:shd w:val="clear" w:color="auto" w:fill="D8D8D8" w:themeFill="background1" w:themeFillShade="D9"/>
            <w:vAlign w:val="center"/>
          </w:tcPr>
          <w:p>
            <w:pPr>
              <w:pStyle w:val="54"/>
              <w:jc w:val="center"/>
              <w:rPr>
                <w:rFonts w:ascii="仿宋" w:hAnsi="仿宋"/>
                <w:b/>
                <w:bCs/>
              </w:rPr>
            </w:pPr>
            <w:r>
              <w:rPr>
                <w:rFonts w:hint="eastAsia" w:ascii="仿宋" w:hAnsi="仿宋"/>
                <w:b/>
                <w:bCs/>
              </w:rPr>
              <w:t>权重</w:t>
            </w:r>
          </w:p>
        </w:tc>
        <w:tc>
          <w:tcPr>
            <w:tcW w:w="992" w:type="dxa"/>
            <w:shd w:val="clear" w:color="auto" w:fill="D8D8D8" w:themeFill="background1" w:themeFillShade="D9"/>
            <w:vAlign w:val="center"/>
          </w:tcPr>
          <w:p>
            <w:pPr>
              <w:pStyle w:val="54"/>
              <w:jc w:val="center"/>
              <w:rPr>
                <w:rFonts w:ascii="仿宋" w:hAnsi="仿宋"/>
                <w:b/>
                <w:bCs/>
              </w:rPr>
            </w:pPr>
            <w:r>
              <w:rPr>
                <w:rFonts w:hint="eastAsia" w:ascii="仿宋" w:hAnsi="仿宋"/>
                <w:b/>
                <w:bCs/>
              </w:rPr>
              <w:t>得分</w:t>
            </w:r>
          </w:p>
        </w:tc>
        <w:tc>
          <w:tcPr>
            <w:tcW w:w="1276" w:type="dxa"/>
            <w:shd w:val="clear" w:color="auto" w:fill="D8D8D8" w:themeFill="background1" w:themeFillShade="D9"/>
            <w:vAlign w:val="center"/>
          </w:tcPr>
          <w:p>
            <w:pPr>
              <w:pStyle w:val="54"/>
              <w:jc w:val="center"/>
              <w:rPr>
                <w:rFonts w:ascii="仿宋" w:hAnsi="仿宋"/>
                <w:b/>
                <w:bCs/>
              </w:rPr>
            </w:pPr>
            <w:r>
              <w:rPr>
                <w:rFonts w:hint="eastAsia" w:ascii="仿宋" w:hAnsi="仿宋"/>
                <w:b/>
                <w:bCs/>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8" w:type="dxa"/>
            <w:vAlign w:val="center"/>
          </w:tcPr>
          <w:p>
            <w:pPr>
              <w:pStyle w:val="54"/>
              <w:rPr>
                <w:rFonts w:ascii="仿宋" w:hAnsi="仿宋"/>
                <w:szCs w:val="21"/>
              </w:rPr>
            </w:pPr>
            <w:r>
              <w:rPr>
                <w:rFonts w:hint="eastAsia" w:ascii="仿宋" w:hAnsi="仿宋"/>
                <w:szCs w:val="21"/>
              </w:rPr>
              <w:t>C</w:t>
            </w:r>
            <w:r>
              <w:rPr>
                <w:rFonts w:ascii="仿宋" w:hAnsi="仿宋"/>
                <w:szCs w:val="21"/>
              </w:rPr>
              <w:t>101</w:t>
            </w:r>
            <w:r>
              <w:rPr>
                <w:rFonts w:hint="eastAsia" w:ascii="仿宋" w:hAnsi="仿宋"/>
                <w:szCs w:val="21"/>
              </w:rPr>
              <w:t>造林绿化项目覆盖区域</w:t>
            </w:r>
          </w:p>
        </w:tc>
        <w:tc>
          <w:tcPr>
            <w:tcW w:w="1417" w:type="dxa"/>
            <w:vAlign w:val="center"/>
          </w:tcPr>
          <w:p>
            <w:pPr>
              <w:pStyle w:val="54"/>
              <w:jc w:val="center"/>
              <w:rPr>
                <w:rFonts w:ascii="仿宋" w:hAnsi="仿宋"/>
                <w:szCs w:val="21"/>
              </w:rPr>
            </w:pPr>
            <w:r>
              <w:rPr>
                <w:rFonts w:hint="eastAsia" w:ascii="仿宋" w:hAnsi="仿宋" w:cs="宋体"/>
                <w:kern w:val="0"/>
                <w:szCs w:val="21"/>
              </w:rPr>
              <w:t xml:space="preserve">≥2.72万亩   </w:t>
            </w:r>
          </w:p>
        </w:tc>
        <w:tc>
          <w:tcPr>
            <w:tcW w:w="1559" w:type="dxa"/>
            <w:vAlign w:val="center"/>
          </w:tcPr>
          <w:p>
            <w:pPr>
              <w:pStyle w:val="54"/>
              <w:jc w:val="center"/>
              <w:rPr>
                <w:rFonts w:ascii="仿宋" w:hAnsi="仿宋"/>
                <w:szCs w:val="21"/>
              </w:rPr>
            </w:pPr>
            <w:r>
              <w:rPr>
                <w:rFonts w:hint="eastAsia" w:ascii="仿宋" w:hAnsi="仿宋"/>
                <w:szCs w:val="21"/>
              </w:rPr>
              <w:t xml:space="preserve">2.72万亩   </w:t>
            </w:r>
          </w:p>
        </w:tc>
        <w:tc>
          <w:tcPr>
            <w:tcW w:w="993" w:type="dxa"/>
            <w:vAlign w:val="center"/>
          </w:tcPr>
          <w:p>
            <w:pPr>
              <w:pStyle w:val="54"/>
              <w:jc w:val="center"/>
              <w:rPr>
                <w:rFonts w:ascii="仿宋" w:hAnsi="仿宋"/>
                <w:szCs w:val="21"/>
              </w:rPr>
            </w:pPr>
            <w:r>
              <w:rPr>
                <w:rFonts w:ascii="仿宋" w:hAnsi="仿宋"/>
                <w:szCs w:val="21"/>
              </w:rPr>
              <w:t>8</w:t>
            </w:r>
          </w:p>
        </w:tc>
        <w:tc>
          <w:tcPr>
            <w:tcW w:w="992" w:type="dxa"/>
            <w:vAlign w:val="center"/>
          </w:tcPr>
          <w:p>
            <w:pPr>
              <w:pStyle w:val="54"/>
              <w:jc w:val="center"/>
              <w:rPr>
                <w:rFonts w:ascii="仿宋" w:hAnsi="仿宋"/>
                <w:szCs w:val="21"/>
              </w:rPr>
            </w:pPr>
            <w:r>
              <w:rPr>
                <w:rFonts w:hint="eastAsia" w:ascii="仿宋" w:hAnsi="仿宋"/>
                <w:szCs w:val="21"/>
              </w:rPr>
              <w:t>8</w:t>
            </w:r>
          </w:p>
        </w:tc>
        <w:tc>
          <w:tcPr>
            <w:tcW w:w="1276" w:type="dxa"/>
            <w:vAlign w:val="center"/>
          </w:tcPr>
          <w:p>
            <w:pPr>
              <w:pStyle w:val="54"/>
              <w:jc w:val="center"/>
              <w:rPr>
                <w:rFonts w:ascii="仿宋" w:hAnsi="仿宋"/>
                <w:szCs w:val="21"/>
              </w:rPr>
            </w:pPr>
            <w:r>
              <w:rPr>
                <w:rFonts w:hint="eastAsia" w:ascii="仿宋" w:hAnsi="仿宋"/>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8" w:type="dxa"/>
            <w:vAlign w:val="center"/>
          </w:tcPr>
          <w:p>
            <w:pPr>
              <w:pStyle w:val="54"/>
              <w:rPr>
                <w:rFonts w:ascii="仿宋" w:hAnsi="仿宋"/>
                <w:szCs w:val="21"/>
              </w:rPr>
            </w:pPr>
            <w:r>
              <w:rPr>
                <w:rFonts w:hint="eastAsia" w:ascii="仿宋" w:hAnsi="仿宋"/>
                <w:szCs w:val="21"/>
              </w:rPr>
              <w:t>C</w:t>
            </w:r>
            <w:r>
              <w:rPr>
                <w:rFonts w:ascii="仿宋" w:hAnsi="仿宋"/>
                <w:szCs w:val="21"/>
              </w:rPr>
              <w:t>201</w:t>
            </w:r>
            <w:r>
              <w:rPr>
                <w:rFonts w:hint="eastAsia" w:ascii="仿宋" w:hAnsi="仿宋" w:cs="宋体"/>
                <w:color w:val="000000"/>
                <w:kern w:val="0"/>
                <w:szCs w:val="21"/>
              </w:rPr>
              <w:t>造林绿化项目竣工验收通过率</w:t>
            </w:r>
          </w:p>
        </w:tc>
        <w:tc>
          <w:tcPr>
            <w:tcW w:w="1417" w:type="dxa"/>
            <w:vAlign w:val="center"/>
          </w:tcPr>
          <w:p>
            <w:pPr>
              <w:pStyle w:val="54"/>
              <w:jc w:val="center"/>
              <w:rPr>
                <w:rFonts w:ascii="仿宋" w:hAnsi="仿宋"/>
                <w:szCs w:val="21"/>
              </w:rPr>
            </w:pPr>
            <w:r>
              <w:rPr>
                <w:rFonts w:hint="eastAsia" w:ascii="仿宋" w:hAnsi="仿宋"/>
                <w:szCs w:val="21"/>
              </w:rPr>
              <w:t>100%</w:t>
            </w:r>
          </w:p>
        </w:tc>
        <w:tc>
          <w:tcPr>
            <w:tcW w:w="1559" w:type="dxa"/>
            <w:vAlign w:val="center"/>
          </w:tcPr>
          <w:p>
            <w:pPr>
              <w:pStyle w:val="54"/>
              <w:jc w:val="center"/>
              <w:rPr>
                <w:rFonts w:ascii="仿宋" w:hAnsi="仿宋"/>
                <w:szCs w:val="21"/>
              </w:rPr>
            </w:pPr>
            <w:r>
              <w:rPr>
                <w:rFonts w:ascii="仿宋" w:hAnsi="仿宋"/>
                <w:szCs w:val="21"/>
              </w:rPr>
              <w:t>100</w:t>
            </w:r>
            <w:r>
              <w:rPr>
                <w:rFonts w:hint="eastAsia" w:ascii="仿宋" w:hAnsi="仿宋"/>
                <w:szCs w:val="21"/>
              </w:rPr>
              <w:t>%</w:t>
            </w:r>
          </w:p>
        </w:tc>
        <w:tc>
          <w:tcPr>
            <w:tcW w:w="993" w:type="dxa"/>
            <w:vAlign w:val="center"/>
          </w:tcPr>
          <w:p>
            <w:pPr>
              <w:pStyle w:val="54"/>
              <w:jc w:val="center"/>
              <w:rPr>
                <w:rFonts w:ascii="仿宋" w:hAnsi="仿宋"/>
                <w:szCs w:val="21"/>
              </w:rPr>
            </w:pPr>
            <w:r>
              <w:rPr>
                <w:rFonts w:ascii="仿宋" w:hAnsi="仿宋"/>
                <w:szCs w:val="21"/>
              </w:rPr>
              <w:t>8</w:t>
            </w:r>
          </w:p>
        </w:tc>
        <w:tc>
          <w:tcPr>
            <w:tcW w:w="992" w:type="dxa"/>
            <w:vAlign w:val="center"/>
          </w:tcPr>
          <w:p>
            <w:pPr>
              <w:pStyle w:val="54"/>
              <w:jc w:val="center"/>
              <w:rPr>
                <w:rFonts w:ascii="仿宋" w:hAnsi="仿宋"/>
                <w:szCs w:val="21"/>
              </w:rPr>
            </w:pPr>
            <w:r>
              <w:rPr>
                <w:rFonts w:ascii="仿宋" w:hAnsi="仿宋"/>
                <w:szCs w:val="21"/>
              </w:rPr>
              <w:t>8</w:t>
            </w:r>
          </w:p>
        </w:tc>
        <w:tc>
          <w:tcPr>
            <w:tcW w:w="1276" w:type="dxa"/>
            <w:vAlign w:val="center"/>
          </w:tcPr>
          <w:p>
            <w:pPr>
              <w:pStyle w:val="54"/>
              <w:jc w:val="center"/>
              <w:rPr>
                <w:rFonts w:ascii="仿宋" w:hAnsi="仿宋"/>
                <w:szCs w:val="21"/>
              </w:rPr>
            </w:pPr>
            <w:r>
              <w:rPr>
                <w:rFonts w:ascii="仿宋" w:hAnsi="仿宋"/>
                <w:szCs w:val="21"/>
              </w:rPr>
              <w:t>100</w:t>
            </w:r>
            <w:r>
              <w:rPr>
                <w:rFonts w:hint="eastAsia" w:ascii="仿宋" w:hAnsi="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8" w:type="dxa"/>
            <w:vAlign w:val="center"/>
          </w:tcPr>
          <w:p>
            <w:pPr>
              <w:pStyle w:val="54"/>
              <w:rPr>
                <w:rFonts w:ascii="仿宋" w:hAnsi="仿宋"/>
                <w:szCs w:val="21"/>
              </w:rPr>
            </w:pPr>
            <w:r>
              <w:rPr>
                <w:rFonts w:hint="eastAsia" w:ascii="仿宋" w:hAnsi="仿宋"/>
                <w:szCs w:val="21"/>
              </w:rPr>
              <w:t>C</w:t>
            </w:r>
            <w:r>
              <w:rPr>
                <w:rFonts w:ascii="仿宋" w:hAnsi="仿宋"/>
                <w:szCs w:val="21"/>
              </w:rPr>
              <w:t>301</w:t>
            </w:r>
            <w:r>
              <w:rPr>
                <w:rFonts w:hint="eastAsia" w:ascii="仿宋" w:hAnsi="仿宋" w:cs="宋体"/>
                <w:color w:val="000000"/>
                <w:kern w:val="0"/>
                <w:szCs w:val="21"/>
              </w:rPr>
              <w:t>造林绿化项目完工及时性</w:t>
            </w:r>
          </w:p>
        </w:tc>
        <w:tc>
          <w:tcPr>
            <w:tcW w:w="1417" w:type="dxa"/>
            <w:vAlign w:val="center"/>
          </w:tcPr>
          <w:p>
            <w:pPr>
              <w:pStyle w:val="54"/>
              <w:jc w:val="center"/>
              <w:rPr>
                <w:rFonts w:ascii="仿宋" w:hAnsi="仿宋"/>
                <w:szCs w:val="21"/>
              </w:rPr>
            </w:pPr>
            <w:r>
              <w:rPr>
                <w:rFonts w:hint="eastAsia" w:ascii="仿宋" w:hAnsi="仿宋"/>
                <w:szCs w:val="21"/>
              </w:rPr>
              <w:t>及时</w:t>
            </w:r>
          </w:p>
        </w:tc>
        <w:tc>
          <w:tcPr>
            <w:tcW w:w="1559" w:type="dxa"/>
            <w:vAlign w:val="center"/>
          </w:tcPr>
          <w:p>
            <w:pPr>
              <w:pStyle w:val="54"/>
              <w:jc w:val="center"/>
              <w:rPr>
                <w:rFonts w:ascii="仿宋" w:hAnsi="仿宋"/>
                <w:szCs w:val="21"/>
              </w:rPr>
            </w:pPr>
            <w:r>
              <w:rPr>
                <w:rFonts w:hint="eastAsia" w:ascii="仿宋" w:hAnsi="仿宋"/>
                <w:szCs w:val="21"/>
              </w:rPr>
              <w:t>及时</w:t>
            </w:r>
          </w:p>
        </w:tc>
        <w:tc>
          <w:tcPr>
            <w:tcW w:w="993" w:type="dxa"/>
            <w:vAlign w:val="center"/>
          </w:tcPr>
          <w:p>
            <w:pPr>
              <w:pStyle w:val="54"/>
              <w:jc w:val="center"/>
              <w:rPr>
                <w:rFonts w:ascii="仿宋" w:hAnsi="仿宋"/>
                <w:szCs w:val="21"/>
              </w:rPr>
            </w:pPr>
            <w:r>
              <w:rPr>
                <w:rFonts w:ascii="仿宋" w:hAnsi="仿宋"/>
                <w:szCs w:val="21"/>
              </w:rPr>
              <w:t>7</w:t>
            </w:r>
          </w:p>
        </w:tc>
        <w:tc>
          <w:tcPr>
            <w:tcW w:w="992" w:type="dxa"/>
            <w:vAlign w:val="center"/>
          </w:tcPr>
          <w:p>
            <w:pPr>
              <w:pStyle w:val="54"/>
              <w:jc w:val="center"/>
              <w:rPr>
                <w:rFonts w:ascii="仿宋" w:hAnsi="仿宋"/>
                <w:szCs w:val="21"/>
              </w:rPr>
            </w:pPr>
            <w:r>
              <w:rPr>
                <w:rFonts w:ascii="仿宋" w:hAnsi="仿宋"/>
                <w:szCs w:val="21"/>
              </w:rPr>
              <w:t>7</w:t>
            </w:r>
          </w:p>
        </w:tc>
        <w:tc>
          <w:tcPr>
            <w:tcW w:w="1276" w:type="dxa"/>
            <w:vAlign w:val="center"/>
          </w:tcPr>
          <w:p>
            <w:pPr>
              <w:pStyle w:val="54"/>
              <w:jc w:val="center"/>
              <w:rPr>
                <w:rFonts w:ascii="仿宋" w:hAnsi="仿宋"/>
                <w:szCs w:val="21"/>
              </w:rPr>
            </w:pPr>
            <w:r>
              <w:rPr>
                <w:rFonts w:hint="eastAsia" w:ascii="仿宋" w:hAnsi="仿宋"/>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8" w:type="dxa"/>
            <w:vAlign w:val="center"/>
          </w:tcPr>
          <w:p>
            <w:pPr>
              <w:pStyle w:val="54"/>
              <w:rPr>
                <w:rFonts w:ascii="仿宋" w:hAnsi="仿宋"/>
                <w:szCs w:val="21"/>
              </w:rPr>
            </w:pPr>
            <w:r>
              <w:rPr>
                <w:rFonts w:hint="eastAsia" w:ascii="仿宋" w:hAnsi="仿宋"/>
                <w:szCs w:val="21"/>
              </w:rPr>
              <w:t>C</w:t>
            </w:r>
            <w:r>
              <w:rPr>
                <w:rFonts w:ascii="仿宋" w:hAnsi="仿宋"/>
                <w:szCs w:val="21"/>
              </w:rPr>
              <w:t>401</w:t>
            </w:r>
            <w:r>
              <w:rPr>
                <w:rFonts w:hint="eastAsia" w:ascii="仿宋" w:hAnsi="仿宋"/>
                <w:szCs w:val="21"/>
              </w:rPr>
              <w:t>造林绿化项目费用标准</w:t>
            </w:r>
          </w:p>
        </w:tc>
        <w:tc>
          <w:tcPr>
            <w:tcW w:w="1417" w:type="dxa"/>
            <w:vAlign w:val="center"/>
          </w:tcPr>
          <w:p>
            <w:pPr>
              <w:pStyle w:val="54"/>
              <w:jc w:val="center"/>
              <w:rPr>
                <w:rFonts w:ascii="仿宋" w:hAnsi="仿宋"/>
                <w:szCs w:val="21"/>
              </w:rPr>
            </w:pPr>
            <w:r>
              <w:rPr>
                <w:rFonts w:hint="eastAsia" w:ascii="仿宋" w:hAnsi="仿宋"/>
                <w:szCs w:val="21"/>
              </w:rPr>
              <w:t>符合标准</w:t>
            </w:r>
          </w:p>
        </w:tc>
        <w:tc>
          <w:tcPr>
            <w:tcW w:w="1559" w:type="dxa"/>
            <w:vAlign w:val="center"/>
          </w:tcPr>
          <w:p>
            <w:pPr>
              <w:pStyle w:val="54"/>
              <w:jc w:val="center"/>
              <w:rPr>
                <w:rFonts w:ascii="仿宋" w:hAnsi="仿宋"/>
                <w:szCs w:val="21"/>
              </w:rPr>
            </w:pPr>
            <w:r>
              <w:rPr>
                <w:rFonts w:hint="eastAsia" w:ascii="仿宋" w:hAnsi="仿宋"/>
                <w:szCs w:val="21"/>
              </w:rPr>
              <w:t>符合</w:t>
            </w:r>
          </w:p>
        </w:tc>
        <w:tc>
          <w:tcPr>
            <w:tcW w:w="993" w:type="dxa"/>
            <w:vAlign w:val="center"/>
          </w:tcPr>
          <w:p>
            <w:pPr>
              <w:pStyle w:val="54"/>
              <w:jc w:val="center"/>
              <w:rPr>
                <w:rFonts w:ascii="仿宋" w:hAnsi="仿宋"/>
                <w:szCs w:val="21"/>
              </w:rPr>
            </w:pPr>
            <w:r>
              <w:rPr>
                <w:rFonts w:ascii="仿宋" w:hAnsi="仿宋"/>
                <w:szCs w:val="21"/>
              </w:rPr>
              <w:t>7</w:t>
            </w:r>
          </w:p>
        </w:tc>
        <w:tc>
          <w:tcPr>
            <w:tcW w:w="992" w:type="dxa"/>
            <w:vAlign w:val="center"/>
          </w:tcPr>
          <w:p>
            <w:pPr>
              <w:pStyle w:val="54"/>
              <w:jc w:val="center"/>
              <w:rPr>
                <w:rFonts w:ascii="仿宋" w:hAnsi="仿宋"/>
                <w:szCs w:val="21"/>
              </w:rPr>
            </w:pPr>
            <w:r>
              <w:rPr>
                <w:rFonts w:ascii="仿宋" w:hAnsi="仿宋"/>
                <w:szCs w:val="21"/>
              </w:rPr>
              <w:t>7</w:t>
            </w:r>
          </w:p>
        </w:tc>
        <w:tc>
          <w:tcPr>
            <w:tcW w:w="1276" w:type="dxa"/>
            <w:vAlign w:val="center"/>
          </w:tcPr>
          <w:p>
            <w:pPr>
              <w:pStyle w:val="54"/>
              <w:jc w:val="center"/>
              <w:rPr>
                <w:rFonts w:ascii="仿宋" w:hAnsi="仿宋"/>
                <w:szCs w:val="21"/>
              </w:rPr>
            </w:pPr>
            <w:r>
              <w:rPr>
                <w:rFonts w:hint="eastAsia" w:ascii="仿宋" w:hAnsi="仿宋"/>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4" w:type="dxa"/>
            <w:gridSpan w:val="3"/>
            <w:vAlign w:val="center"/>
          </w:tcPr>
          <w:p>
            <w:pPr>
              <w:pStyle w:val="54"/>
              <w:jc w:val="center"/>
              <w:rPr>
                <w:rFonts w:ascii="仿宋" w:hAnsi="仿宋"/>
                <w:b/>
                <w:bCs/>
              </w:rPr>
            </w:pPr>
            <w:r>
              <w:rPr>
                <w:rFonts w:hint="eastAsia" w:ascii="仿宋" w:hAnsi="仿宋"/>
                <w:b/>
                <w:bCs/>
              </w:rPr>
              <w:t>合计</w:t>
            </w:r>
          </w:p>
        </w:tc>
        <w:tc>
          <w:tcPr>
            <w:tcW w:w="993" w:type="dxa"/>
            <w:vAlign w:val="center"/>
          </w:tcPr>
          <w:p>
            <w:pPr>
              <w:pStyle w:val="54"/>
              <w:jc w:val="center"/>
              <w:rPr>
                <w:rFonts w:ascii="仿宋" w:hAnsi="仿宋"/>
                <w:b/>
                <w:bCs/>
              </w:rPr>
            </w:pPr>
            <w:r>
              <w:rPr>
                <w:rFonts w:hint="eastAsia" w:ascii="仿宋" w:hAnsi="仿宋"/>
                <w:b/>
                <w:bCs/>
              </w:rPr>
              <w:t>30</w:t>
            </w:r>
          </w:p>
        </w:tc>
        <w:tc>
          <w:tcPr>
            <w:tcW w:w="992" w:type="dxa"/>
            <w:vAlign w:val="center"/>
          </w:tcPr>
          <w:p>
            <w:pPr>
              <w:pStyle w:val="54"/>
              <w:jc w:val="center"/>
              <w:rPr>
                <w:rFonts w:ascii="仿宋" w:hAnsi="仿宋"/>
                <w:b/>
                <w:bCs/>
              </w:rPr>
            </w:pPr>
            <w:r>
              <w:rPr>
                <w:rFonts w:hint="eastAsia" w:ascii="仿宋" w:hAnsi="仿宋"/>
                <w:b/>
                <w:bCs/>
              </w:rPr>
              <w:t>30</w:t>
            </w:r>
          </w:p>
        </w:tc>
        <w:tc>
          <w:tcPr>
            <w:tcW w:w="1276" w:type="dxa"/>
            <w:vAlign w:val="center"/>
          </w:tcPr>
          <w:p>
            <w:pPr>
              <w:pStyle w:val="54"/>
              <w:jc w:val="center"/>
              <w:rPr>
                <w:rFonts w:ascii="仿宋" w:hAnsi="仿宋"/>
                <w:b/>
                <w:bCs/>
              </w:rPr>
            </w:pPr>
            <w:r>
              <w:rPr>
                <w:rFonts w:hint="eastAsia" w:ascii="仿宋" w:hAnsi="仿宋"/>
                <w:b/>
                <w:bCs/>
              </w:rPr>
              <w:t>10</w:t>
            </w:r>
            <w:r>
              <w:rPr>
                <w:rFonts w:ascii="仿宋" w:hAnsi="仿宋"/>
                <w:b/>
                <w:bCs/>
              </w:rPr>
              <w:t>0%</w:t>
            </w:r>
          </w:p>
        </w:tc>
      </w:tr>
    </w:tbl>
    <w:p>
      <w:pPr>
        <w:pStyle w:val="36"/>
        <w:ind w:firstLine="480"/>
        <w:rPr>
          <w:rFonts w:ascii="仿宋" w:hAnsi="仿宋"/>
        </w:rPr>
      </w:pPr>
      <w:r>
        <w:rPr>
          <w:rFonts w:hint="eastAsia" w:ascii="仿宋" w:hAnsi="仿宋"/>
        </w:rPr>
        <w:t>表4-</w:t>
      </w:r>
      <w:r>
        <w:rPr>
          <w:rFonts w:ascii="仿宋" w:hAnsi="仿宋"/>
        </w:rPr>
        <w:t>3</w:t>
      </w:r>
    </w:p>
    <w:p>
      <w:pPr>
        <w:pStyle w:val="53"/>
        <w:ind w:firstLine="602"/>
        <w:rPr>
          <w:rFonts w:ascii="仿宋" w:hAnsi="仿宋"/>
          <w:sz w:val="30"/>
          <w:szCs w:val="30"/>
        </w:rPr>
      </w:pPr>
      <w:r>
        <w:rPr>
          <w:rFonts w:ascii="仿宋" w:hAnsi="仿宋"/>
          <w:sz w:val="30"/>
          <w:szCs w:val="30"/>
        </w:rPr>
        <w:t>C101</w:t>
      </w:r>
      <w:r>
        <w:rPr>
          <w:rFonts w:hint="eastAsia" w:ascii="仿宋" w:hAnsi="仿宋"/>
          <w:sz w:val="30"/>
          <w:szCs w:val="30"/>
        </w:rPr>
        <w:t>造林绿化项目覆盖区域</w:t>
      </w:r>
    </w:p>
    <w:p>
      <w:pPr>
        <w:pStyle w:val="32"/>
        <w:ind w:firstLine="600"/>
        <w:rPr>
          <w:rFonts w:ascii="仿宋" w:hAnsi="仿宋"/>
          <w:sz w:val="30"/>
          <w:szCs w:val="30"/>
        </w:rPr>
      </w:pPr>
      <w:r>
        <w:rPr>
          <w:rFonts w:hint="eastAsia" w:ascii="仿宋" w:hAnsi="仿宋"/>
          <w:sz w:val="30"/>
          <w:szCs w:val="30"/>
          <w:lang w:bidi="zh-CN"/>
        </w:rPr>
        <w:t>该指标</w:t>
      </w:r>
      <w:r>
        <w:rPr>
          <w:rFonts w:hint="eastAsia" w:ascii="仿宋" w:hAnsi="仿宋" w:cs="宋体"/>
          <w:color w:val="000000"/>
          <w:kern w:val="0"/>
          <w:sz w:val="30"/>
          <w:szCs w:val="30"/>
        </w:rPr>
        <w:t>反映造林绿化项目覆盖区域情况</w:t>
      </w:r>
      <w:r>
        <w:rPr>
          <w:rFonts w:hint="eastAsia" w:ascii="仿宋" w:hAnsi="仿宋"/>
          <w:sz w:val="30"/>
          <w:szCs w:val="30"/>
          <w:lang w:bidi="zh-CN"/>
        </w:rPr>
        <w:t>。</w:t>
      </w:r>
      <w:r>
        <w:rPr>
          <w:rFonts w:hint="eastAsia" w:ascii="仿宋" w:hAnsi="仿宋"/>
          <w:sz w:val="30"/>
          <w:szCs w:val="30"/>
        </w:rPr>
        <w:t>权重</w:t>
      </w:r>
      <w:r>
        <w:rPr>
          <w:rFonts w:ascii="仿宋" w:hAnsi="仿宋"/>
          <w:sz w:val="30"/>
          <w:szCs w:val="30"/>
        </w:rPr>
        <w:t>8分，得分</w:t>
      </w:r>
      <w:r>
        <w:rPr>
          <w:rFonts w:hint="eastAsia" w:ascii="仿宋" w:hAnsi="仿宋"/>
          <w:sz w:val="30"/>
          <w:szCs w:val="30"/>
        </w:rPr>
        <w:t>8</w:t>
      </w:r>
      <w:r>
        <w:rPr>
          <w:rFonts w:ascii="仿宋" w:hAnsi="仿宋"/>
          <w:sz w:val="30"/>
          <w:szCs w:val="30"/>
        </w:rPr>
        <w:t>分</w:t>
      </w:r>
      <w:r>
        <w:rPr>
          <w:rFonts w:hint="eastAsia" w:ascii="仿宋" w:hAnsi="仿宋"/>
          <w:sz w:val="30"/>
          <w:szCs w:val="30"/>
        </w:rPr>
        <w:t>。根据单位提供《津南区 2019 年造林绿化工作实施方案》、</w:t>
      </w:r>
      <w:r>
        <w:rPr>
          <w:rFonts w:hint="eastAsia" w:ascii="仿宋" w:hAnsi="仿宋"/>
          <w:bCs/>
          <w:sz w:val="30"/>
          <w:szCs w:val="30"/>
        </w:rPr>
        <w:t>《津南区 2019 年造林绿化工程可行性研究报告</w:t>
      </w:r>
      <w:r>
        <w:rPr>
          <w:rFonts w:ascii="仿宋" w:hAnsi="仿宋"/>
          <w:bCs/>
          <w:sz w:val="30"/>
          <w:szCs w:val="30"/>
        </w:rPr>
        <w:t>》</w:t>
      </w:r>
      <w:r>
        <w:rPr>
          <w:rFonts w:hint="eastAsia" w:ascii="仿宋" w:hAnsi="仿宋"/>
          <w:bCs/>
          <w:sz w:val="30"/>
          <w:szCs w:val="30"/>
        </w:rPr>
        <w:t>以及《津南区发展改革委关于“津南区2019年造林绿化工程”项目可行性研究报告的批复》进行</w:t>
      </w:r>
      <w:r>
        <w:rPr>
          <w:rFonts w:ascii="仿宋" w:hAnsi="仿宋"/>
          <w:sz w:val="30"/>
          <w:szCs w:val="30"/>
        </w:rPr>
        <w:t>评价</w:t>
      </w:r>
      <w:r>
        <w:rPr>
          <w:rFonts w:hint="eastAsia" w:ascii="仿宋" w:hAnsi="仿宋"/>
          <w:sz w:val="30"/>
          <w:szCs w:val="30"/>
        </w:rPr>
        <w:t>，</w:t>
      </w:r>
      <w:r>
        <w:rPr>
          <w:rFonts w:ascii="仿宋" w:hAnsi="仿宋"/>
          <w:sz w:val="30"/>
          <w:szCs w:val="30"/>
        </w:rPr>
        <w:t>20</w:t>
      </w:r>
      <w:r>
        <w:rPr>
          <w:rFonts w:hint="eastAsia" w:ascii="仿宋" w:hAnsi="仿宋"/>
          <w:sz w:val="30"/>
          <w:szCs w:val="30"/>
        </w:rPr>
        <w:t>20</w:t>
      </w:r>
      <w:r>
        <w:rPr>
          <w:rFonts w:ascii="仿宋" w:hAnsi="仿宋"/>
          <w:sz w:val="30"/>
          <w:szCs w:val="30"/>
        </w:rPr>
        <w:t>年完成了</w:t>
      </w:r>
      <w:r>
        <w:rPr>
          <w:rFonts w:hint="eastAsia" w:ascii="仿宋" w:hAnsi="仿宋"/>
          <w:sz w:val="30"/>
          <w:szCs w:val="30"/>
        </w:rPr>
        <w:t>津南区造林绿化任务为 2.72 万亩，其中新造林 1.87 万亩，提升改造 0.85 万亩。涉及辛庄镇、双桥河镇、葛沽镇、八里台镇、北闸口镇、小站镇、津南开发区等7个镇及区域。根据指标评价规则，该指标得8分。</w:t>
      </w:r>
    </w:p>
    <w:p>
      <w:pPr>
        <w:pStyle w:val="53"/>
        <w:ind w:firstLine="602"/>
        <w:rPr>
          <w:rFonts w:ascii="仿宋" w:hAnsi="仿宋"/>
          <w:sz w:val="30"/>
          <w:szCs w:val="30"/>
        </w:rPr>
      </w:pPr>
      <w:r>
        <w:rPr>
          <w:rFonts w:ascii="仿宋" w:hAnsi="仿宋"/>
          <w:sz w:val="30"/>
          <w:szCs w:val="30"/>
        </w:rPr>
        <w:t>C201</w:t>
      </w:r>
      <w:r>
        <w:rPr>
          <w:rFonts w:hint="eastAsia" w:ascii="仿宋" w:hAnsi="仿宋"/>
          <w:sz w:val="30"/>
          <w:szCs w:val="30"/>
        </w:rPr>
        <w:t>造林绿化项目竣工验收通过率</w:t>
      </w:r>
    </w:p>
    <w:p>
      <w:pPr>
        <w:pStyle w:val="53"/>
        <w:ind w:firstLine="600"/>
        <w:rPr>
          <w:rFonts w:ascii="仿宋" w:hAnsi="仿宋"/>
          <w:b w:val="0"/>
          <w:sz w:val="30"/>
          <w:szCs w:val="30"/>
        </w:rPr>
      </w:pPr>
      <w:r>
        <w:rPr>
          <w:rFonts w:hint="eastAsia" w:ascii="仿宋" w:hAnsi="仿宋"/>
          <w:b w:val="0"/>
          <w:sz w:val="30"/>
          <w:szCs w:val="30"/>
          <w:lang w:bidi="zh-CN"/>
        </w:rPr>
        <w:t>该指标反映造林绿化项目竣工验收情况。</w:t>
      </w:r>
      <w:r>
        <w:rPr>
          <w:rFonts w:hint="eastAsia" w:ascii="仿宋" w:hAnsi="仿宋"/>
          <w:b w:val="0"/>
          <w:sz w:val="30"/>
          <w:szCs w:val="30"/>
        </w:rPr>
        <w:t>权重</w:t>
      </w:r>
      <w:r>
        <w:rPr>
          <w:rFonts w:ascii="仿宋" w:hAnsi="仿宋"/>
          <w:b w:val="0"/>
          <w:sz w:val="30"/>
          <w:szCs w:val="30"/>
        </w:rPr>
        <w:t>8分，</w:t>
      </w:r>
      <w:r>
        <w:rPr>
          <w:rFonts w:hint="eastAsia" w:ascii="仿宋" w:hAnsi="仿宋"/>
          <w:b w:val="0"/>
          <w:sz w:val="30"/>
          <w:szCs w:val="30"/>
        </w:rPr>
        <w:t>得分</w:t>
      </w:r>
      <w:r>
        <w:rPr>
          <w:rFonts w:ascii="仿宋" w:hAnsi="仿宋"/>
          <w:b w:val="0"/>
          <w:sz w:val="30"/>
          <w:szCs w:val="30"/>
        </w:rPr>
        <w:t>8</w:t>
      </w:r>
      <w:r>
        <w:rPr>
          <w:rFonts w:hint="eastAsia" w:ascii="仿宋" w:hAnsi="仿宋"/>
          <w:b w:val="0"/>
          <w:sz w:val="30"/>
          <w:szCs w:val="30"/>
        </w:rPr>
        <w:t>分。依据该项目的竣工验收报告与财务数据评价，2019年度造林绿化工程均完成竣工及验收。根据指标评价规则，本项目绿化及造林工程竣工验收通过率为100%，该指标得8分。</w:t>
      </w:r>
    </w:p>
    <w:p>
      <w:pPr>
        <w:pStyle w:val="53"/>
        <w:ind w:firstLine="602"/>
        <w:rPr>
          <w:rFonts w:ascii="仿宋" w:hAnsi="仿宋"/>
          <w:sz w:val="30"/>
          <w:szCs w:val="30"/>
        </w:rPr>
      </w:pPr>
      <w:r>
        <w:rPr>
          <w:rFonts w:ascii="仿宋" w:hAnsi="仿宋"/>
          <w:sz w:val="30"/>
          <w:szCs w:val="30"/>
        </w:rPr>
        <w:t>C301</w:t>
      </w:r>
      <w:r>
        <w:rPr>
          <w:rFonts w:hint="eastAsia" w:ascii="仿宋" w:hAnsi="仿宋"/>
          <w:sz w:val="30"/>
          <w:szCs w:val="30"/>
        </w:rPr>
        <w:t>造林绿化项目完工及时性</w:t>
      </w:r>
    </w:p>
    <w:p>
      <w:pPr>
        <w:pStyle w:val="53"/>
        <w:ind w:firstLine="600"/>
        <w:rPr>
          <w:rFonts w:ascii="仿宋" w:hAnsi="仿宋"/>
          <w:b w:val="0"/>
          <w:sz w:val="30"/>
          <w:szCs w:val="30"/>
        </w:rPr>
      </w:pPr>
      <w:r>
        <w:rPr>
          <w:rFonts w:hint="eastAsia" w:ascii="仿宋" w:hAnsi="仿宋"/>
          <w:b w:val="0"/>
          <w:sz w:val="30"/>
          <w:szCs w:val="30"/>
          <w:lang w:bidi="zh-CN"/>
        </w:rPr>
        <w:t>该指标反映造林绿化项目完工及时情况。</w:t>
      </w:r>
      <w:r>
        <w:rPr>
          <w:rFonts w:hint="eastAsia" w:ascii="仿宋" w:hAnsi="仿宋"/>
          <w:b w:val="0"/>
          <w:sz w:val="30"/>
          <w:szCs w:val="30"/>
        </w:rPr>
        <w:t>权重</w:t>
      </w:r>
      <w:r>
        <w:rPr>
          <w:rFonts w:ascii="仿宋" w:hAnsi="仿宋"/>
          <w:b w:val="0"/>
          <w:sz w:val="30"/>
          <w:szCs w:val="30"/>
        </w:rPr>
        <w:t>7分</w:t>
      </w:r>
      <w:r>
        <w:rPr>
          <w:rFonts w:hint="eastAsia" w:ascii="仿宋" w:hAnsi="仿宋"/>
          <w:b w:val="0"/>
          <w:sz w:val="30"/>
          <w:szCs w:val="30"/>
        </w:rPr>
        <w:t>，得分</w:t>
      </w:r>
      <w:r>
        <w:rPr>
          <w:rFonts w:ascii="仿宋" w:hAnsi="仿宋"/>
          <w:b w:val="0"/>
          <w:sz w:val="30"/>
          <w:szCs w:val="30"/>
        </w:rPr>
        <w:t>7</w:t>
      </w:r>
      <w:r>
        <w:rPr>
          <w:rFonts w:hint="eastAsia" w:ascii="仿宋" w:hAnsi="仿宋"/>
          <w:b w:val="0"/>
          <w:sz w:val="30"/>
          <w:szCs w:val="30"/>
        </w:rPr>
        <w:t>分。</w:t>
      </w:r>
      <w:r>
        <w:rPr>
          <w:rFonts w:ascii="仿宋" w:hAnsi="仿宋"/>
          <w:b w:val="0"/>
          <w:sz w:val="30"/>
          <w:szCs w:val="30"/>
        </w:rPr>
        <w:t>依据</w:t>
      </w:r>
      <w:r>
        <w:rPr>
          <w:rFonts w:hint="eastAsia" w:ascii="仿宋" w:hAnsi="仿宋"/>
          <w:b w:val="0"/>
          <w:sz w:val="30"/>
          <w:szCs w:val="30"/>
        </w:rPr>
        <w:t>单位提供的竣工验收报告、</w:t>
      </w:r>
      <w:r>
        <w:rPr>
          <w:rFonts w:hint="eastAsia" w:ascii="仿宋" w:hAnsi="仿宋"/>
          <w:b w:val="0"/>
          <w:sz w:val="30"/>
          <w:szCs w:val="30"/>
          <w:lang w:bidi="zh-CN"/>
        </w:rPr>
        <w:t>财务数据及相关票据评价，财务支付数据及相关数据反映单位本年收入27351.623705万元，支出27351.623705万元，</w:t>
      </w:r>
      <w:r>
        <w:rPr>
          <w:rFonts w:hint="eastAsia" w:ascii="仿宋" w:hAnsi="仿宋"/>
          <w:b w:val="0"/>
          <w:sz w:val="30"/>
          <w:szCs w:val="30"/>
        </w:rPr>
        <w:t>所有工程均于当年完成竣工及验收。</w:t>
      </w:r>
      <w:r>
        <w:rPr>
          <w:rFonts w:hint="eastAsia" w:ascii="仿宋" w:hAnsi="仿宋"/>
          <w:b w:val="0"/>
          <w:sz w:val="30"/>
          <w:szCs w:val="30"/>
          <w:lang w:bidi="zh-CN"/>
        </w:rPr>
        <w:t>综合分析，预算资金发放及时性达到要求，</w:t>
      </w:r>
      <w:r>
        <w:rPr>
          <w:rFonts w:hint="eastAsia" w:ascii="仿宋" w:hAnsi="仿宋"/>
          <w:b w:val="0"/>
          <w:sz w:val="30"/>
          <w:szCs w:val="30"/>
        </w:rPr>
        <w:t>根据指标评价规则，该指标得</w:t>
      </w:r>
      <w:r>
        <w:rPr>
          <w:rFonts w:ascii="仿宋" w:hAnsi="仿宋"/>
          <w:b w:val="0"/>
          <w:sz w:val="30"/>
          <w:szCs w:val="30"/>
        </w:rPr>
        <w:t>7</w:t>
      </w:r>
      <w:r>
        <w:rPr>
          <w:rFonts w:hint="eastAsia" w:ascii="仿宋" w:hAnsi="仿宋"/>
          <w:b w:val="0"/>
          <w:sz w:val="30"/>
          <w:szCs w:val="30"/>
        </w:rPr>
        <w:t>分。</w:t>
      </w:r>
    </w:p>
    <w:p>
      <w:pPr>
        <w:pStyle w:val="53"/>
        <w:ind w:firstLine="602"/>
        <w:rPr>
          <w:rFonts w:ascii="仿宋" w:hAnsi="仿宋"/>
          <w:sz w:val="30"/>
          <w:szCs w:val="30"/>
        </w:rPr>
      </w:pPr>
      <w:r>
        <w:rPr>
          <w:rFonts w:ascii="仿宋" w:hAnsi="仿宋"/>
          <w:sz w:val="30"/>
          <w:szCs w:val="30"/>
        </w:rPr>
        <w:t>C401</w:t>
      </w:r>
      <w:r>
        <w:rPr>
          <w:rFonts w:hint="eastAsia" w:ascii="仿宋" w:hAnsi="仿宋"/>
          <w:sz w:val="30"/>
          <w:szCs w:val="30"/>
        </w:rPr>
        <w:t>造林绿化项目费用标准</w:t>
      </w:r>
    </w:p>
    <w:p>
      <w:pPr>
        <w:spacing w:line="480" w:lineRule="exact"/>
        <w:ind w:firstLine="600"/>
        <w:rPr>
          <w:rFonts w:ascii="仿宋" w:hAnsi="仿宋"/>
          <w:sz w:val="32"/>
          <w:szCs w:val="32"/>
          <w:lang w:bidi="zh-CN"/>
        </w:rPr>
      </w:pPr>
      <w:r>
        <w:rPr>
          <w:rFonts w:hint="eastAsia" w:ascii="仿宋" w:hAnsi="仿宋" w:cs="仿宋"/>
          <w:sz w:val="30"/>
          <w:szCs w:val="30"/>
          <w:lang w:bidi="zh-CN"/>
        </w:rPr>
        <w:t>该指标反映造林绿化项目费用标准情况。</w:t>
      </w:r>
      <w:r>
        <w:rPr>
          <w:rFonts w:hint="eastAsia" w:ascii="仿宋" w:hAnsi="仿宋" w:cs="仿宋"/>
          <w:sz w:val="30"/>
          <w:szCs w:val="30"/>
        </w:rPr>
        <w:t>权重7分，得分7分。</w:t>
      </w:r>
      <w:r>
        <w:rPr>
          <w:rFonts w:hint="eastAsia" w:ascii="仿宋" w:hAnsi="仿宋" w:cs="仿宋"/>
          <w:sz w:val="30"/>
          <w:szCs w:val="30"/>
          <w:lang w:bidi="zh-CN"/>
        </w:rPr>
        <w:t>根据财务数据分析，该项目严格执行造林绿化工作实施方案标准。挖填土方费22元/立方米、种植土回填64元/立方米、乔木408元/株、龙柏273元/株、白蜡平均7144元/株、国槐平均6237元/株、沥青混凝土路250元/平方米、木栈道1247元/平方米、观景台1115元/平方米、成品生态厕所30万元/个、雕塑小品7000元/个。根据指标评价规则，该指标得7分。</w:t>
      </w:r>
    </w:p>
    <w:p>
      <w:pPr>
        <w:pStyle w:val="28"/>
        <w:rPr>
          <w:szCs w:val="32"/>
        </w:rPr>
      </w:pPr>
      <w:bookmarkStart w:id="84" w:name="_Toc91632832"/>
      <w:r>
        <w:rPr>
          <w:rFonts w:hint="eastAsia"/>
          <w:szCs w:val="32"/>
        </w:rPr>
        <w:t>（四）项目效益情况</w:t>
      </w:r>
      <w:bookmarkEnd w:id="83"/>
      <w:bookmarkEnd w:id="84"/>
    </w:p>
    <w:p>
      <w:pPr>
        <w:pStyle w:val="32"/>
        <w:ind w:firstLine="600"/>
        <w:rPr>
          <w:rFonts w:ascii="仿宋" w:hAnsi="仿宋"/>
          <w:sz w:val="30"/>
          <w:szCs w:val="30"/>
        </w:rPr>
      </w:pPr>
      <w:r>
        <w:rPr>
          <w:rFonts w:ascii="仿宋" w:hAnsi="仿宋"/>
          <w:sz w:val="30"/>
          <w:szCs w:val="30"/>
        </w:rPr>
        <w:t>项目</w:t>
      </w:r>
      <w:r>
        <w:rPr>
          <w:rFonts w:hint="eastAsia" w:ascii="仿宋" w:hAnsi="仿宋"/>
          <w:sz w:val="30"/>
          <w:szCs w:val="30"/>
        </w:rPr>
        <w:t>效益</w:t>
      </w:r>
      <w:r>
        <w:rPr>
          <w:rFonts w:ascii="仿宋" w:hAnsi="仿宋"/>
          <w:sz w:val="30"/>
          <w:szCs w:val="30"/>
        </w:rPr>
        <w:t>指标共分2个三级指标，权重共 20 分，实际得分</w:t>
      </w:r>
      <w:r>
        <w:rPr>
          <w:rFonts w:hint="eastAsia" w:ascii="仿宋" w:hAnsi="仿宋"/>
          <w:sz w:val="30"/>
          <w:szCs w:val="30"/>
        </w:rPr>
        <w:t>20</w:t>
      </w:r>
      <w:r>
        <w:rPr>
          <w:rFonts w:ascii="仿宋" w:hAnsi="仿宋"/>
          <w:sz w:val="30"/>
          <w:szCs w:val="30"/>
        </w:rPr>
        <w:t>分，得分率为</w:t>
      </w:r>
      <w:r>
        <w:rPr>
          <w:rFonts w:hint="eastAsia" w:ascii="仿宋" w:hAnsi="仿宋"/>
          <w:sz w:val="30"/>
          <w:szCs w:val="30"/>
        </w:rPr>
        <w:t>100</w:t>
      </w:r>
      <w:r>
        <w:rPr>
          <w:rFonts w:ascii="仿宋" w:hAnsi="仿宋"/>
          <w:sz w:val="30"/>
          <w:szCs w:val="30"/>
        </w:rPr>
        <w:t>%，各指标得分见表 4-4。</w:t>
      </w:r>
    </w:p>
    <w:tbl>
      <w:tblPr>
        <w:tblStyle w:val="1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84"/>
        <w:gridCol w:w="1147"/>
        <w:gridCol w:w="1134"/>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84" w:type="dxa"/>
            <w:shd w:val="clear" w:color="auto" w:fill="D8D8D8" w:themeFill="background1" w:themeFillShade="D9"/>
          </w:tcPr>
          <w:p>
            <w:pPr>
              <w:pStyle w:val="54"/>
              <w:jc w:val="center"/>
              <w:rPr>
                <w:rFonts w:ascii="仿宋" w:hAnsi="仿宋"/>
                <w:b/>
                <w:bCs/>
              </w:rPr>
            </w:pPr>
            <w:r>
              <w:rPr>
                <w:rFonts w:hint="eastAsia" w:ascii="仿宋" w:hAnsi="仿宋"/>
                <w:b/>
                <w:bCs/>
              </w:rPr>
              <w:t>三级指标</w:t>
            </w:r>
          </w:p>
        </w:tc>
        <w:tc>
          <w:tcPr>
            <w:tcW w:w="1147" w:type="dxa"/>
            <w:shd w:val="clear" w:color="auto" w:fill="D8D8D8" w:themeFill="background1" w:themeFillShade="D9"/>
          </w:tcPr>
          <w:p>
            <w:pPr>
              <w:pStyle w:val="54"/>
              <w:jc w:val="center"/>
              <w:rPr>
                <w:rFonts w:ascii="仿宋" w:hAnsi="仿宋"/>
                <w:b/>
                <w:bCs/>
              </w:rPr>
            </w:pPr>
            <w:r>
              <w:rPr>
                <w:rFonts w:hint="eastAsia" w:ascii="仿宋" w:hAnsi="仿宋"/>
                <w:b/>
                <w:bCs/>
              </w:rPr>
              <w:t>权重</w:t>
            </w:r>
          </w:p>
        </w:tc>
        <w:tc>
          <w:tcPr>
            <w:tcW w:w="1134" w:type="dxa"/>
            <w:shd w:val="clear" w:color="auto" w:fill="D8D8D8" w:themeFill="background1" w:themeFillShade="D9"/>
          </w:tcPr>
          <w:p>
            <w:pPr>
              <w:pStyle w:val="54"/>
              <w:jc w:val="center"/>
              <w:rPr>
                <w:rFonts w:ascii="仿宋" w:hAnsi="仿宋"/>
                <w:b/>
                <w:bCs/>
              </w:rPr>
            </w:pPr>
            <w:r>
              <w:rPr>
                <w:rFonts w:hint="eastAsia" w:ascii="仿宋" w:hAnsi="仿宋"/>
                <w:b/>
                <w:bCs/>
              </w:rPr>
              <w:t>得分</w:t>
            </w:r>
          </w:p>
        </w:tc>
        <w:tc>
          <w:tcPr>
            <w:tcW w:w="2694" w:type="dxa"/>
            <w:shd w:val="clear" w:color="auto" w:fill="D8D8D8" w:themeFill="background1" w:themeFillShade="D9"/>
          </w:tcPr>
          <w:p>
            <w:pPr>
              <w:pStyle w:val="54"/>
              <w:jc w:val="center"/>
              <w:rPr>
                <w:rFonts w:ascii="仿宋" w:hAnsi="仿宋"/>
                <w:b/>
                <w:bCs/>
              </w:rPr>
            </w:pPr>
            <w:r>
              <w:rPr>
                <w:rFonts w:hint="eastAsia" w:ascii="仿宋" w:hAnsi="仿宋"/>
                <w:b/>
                <w:bCs/>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84" w:type="dxa"/>
            <w:vAlign w:val="center"/>
          </w:tcPr>
          <w:p>
            <w:pPr>
              <w:pStyle w:val="54"/>
              <w:rPr>
                <w:rFonts w:ascii="仿宋" w:hAnsi="仿宋"/>
                <w:szCs w:val="21"/>
              </w:rPr>
            </w:pPr>
            <w:r>
              <w:rPr>
                <w:rFonts w:hint="eastAsia" w:ascii="仿宋" w:hAnsi="仿宋"/>
                <w:szCs w:val="21"/>
              </w:rPr>
              <w:t>D</w:t>
            </w:r>
            <w:r>
              <w:rPr>
                <w:rFonts w:ascii="仿宋" w:hAnsi="仿宋"/>
                <w:szCs w:val="21"/>
              </w:rPr>
              <w:t>101</w:t>
            </w:r>
            <w:r>
              <w:rPr>
                <w:rFonts w:hint="eastAsia" w:ascii="仿宋" w:hAnsi="仿宋"/>
                <w:szCs w:val="21"/>
              </w:rPr>
              <w:t>改善区域生态环境，提高百姓生活水平</w:t>
            </w:r>
          </w:p>
        </w:tc>
        <w:tc>
          <w:tcPr>
            <w:tcW w:w="1147" w:type="dxa"/>
            <w:vAlign w:val="center"/>
          </w:tcPr>
          <w:p>
            <w:pPr>
              <w:pStyle w:val="54"/>
              <w:jc w:val="center"/>
              <w:rPr>
                <w:rFonts w:ascii="仿宋" w:hAnsi="仿宋"/>
                <w:szCs w:val="21"/>
              </w:rPr>
            </w:pPr>
            <w:r>
              <w:rPr>
                <w:rFonts w:ascii="仿宋" w:hAnsi="仿宋"/>
                <w:szCs w:val="21"/>
              </w:rPr>
              <w:t>10</w:t>
            </w:r>
          </w:p>
        </w:tc>
        <w:tc>
          <w:tcPr>
            <w:tcW w:w="1134" w:type="dxa"/>
            <w:vAlign w:val="center"/>
          </w:tcPr>
          <w:p>
            <w:pPr>
              <w:pStyle w:val="54"/>
              <w:jc w:val="center"/>
              <w:rPr>
                <w:rFonts w:ascii="仿宋" w:hAnsi="仿宋"/>
                <w:szCs w:val="21"/>
              </w:rPr>
            </w:pPr>
            <w:r>
              <w:rPr>
                <w:rFonts w:ascii="仿宋" w:hAnsi="仿宋"/>
                <w:szCs w:val="21"/>
              </w:rPr>
              <w:t>10</w:t>
            </w:r>
          </w:p>
        </w:tc>
        <w:tc>
          <w:tcPr>
            <w:tcW w:w="2694" w:type="dxa"/>
            <w:vAlign w:val="center"/>
          </w:tcPr>
          <w:p>
            <w:pPr>
              <w:pStyle w:val="54"/>
              <w:jc w:val="center"/>
              <w:rPr>
                <w:rFonts w:ascii="仿宋" w:hAnsi="仿宋"/>
                <w:szCs w:val="21"/>
              </w:rPr>
            </w:pPr>
            <w:r>
              <w:rPr>
                <w:rFonts w:hint="eastAsia" w:ascii="仿宋" w:hAnsi="仿宋"/>
                <w:szCs w:val="21"/>
              </w:rPr>
              <w:t>10</w:t>
            </w:r>
            <w:r>
              <w:rPr>
                <w:rFonts w:ascii="仿宋" w:hAnsi="仿宋"/>
                <w:szCs w:val="21"/>
              </w:rPr>
              <w:t>0</w:t>
            </w:r>
            <w:r>
              <w:rPr>
                <w:rFonts w:hint="eastAsia" w:ascii="仿宋" w:hAnsi="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84" w:type="dxa"/>
            <w:vAlign w:val="center"/>
          </w:tcPr>
          <w:p>
            <w:pPr>
              <w:pStyle w:val="53"/>
              <w:ind w:firstLine="0" w:firstLineChars="0"/>
              <w:rPr>
                <w:rFonts w:ascii="仿宋" w:hAnsi="仿宋"/>
                <w:szCs w:val="21"/>
              </w:rPr>
            </w:pPr>
            <w:r>
              <w:rPr>
                <w:rFonts w:hint="eastAsia" w:ascii="仿宋" w:hAnsi="仿宋"/>
                <w:b w:val="0"/>
                <w:bCs/>
                <w:sz w:val="21"/>
                <w:szCs w:val="21"/>
              </w:rPr>
              <w:t>D</w:t>
            </w:r>
            <w:r>
              <w:rPr>
                <w:rFonts w:ascii="仿宋" w:hAnsi="仿宋"/>
                <w:b w:val="0"/>
                <w:bCs/>
                <w:sz w:val="21"/>
                <w:szCs w:val="21"/>
              </w:rPr>
              <w:t>1</w:t>
            </w:r>
            <w:r>
              <w:rPr>
                <w:rFonts w:hint="eastAsia" w:ascii="仿宋" w:hAnsi="仿宋"/>
                <w:b w:val="0"/>
                <w:bCs/>
                <w:sz w:val="21"/>
                <w:szCs w:val="21"/>
              </w:rPr>
              <w:t>0</w:t>
            </w:r>
            <w:r>
              <w:rPr>
                <w:rFonts w:ascii="仿宋" w:hAnsi="仿宋"/>
                <w:b w:val="0"/>
                <w:bCs/>
                <w:sz w:val="21"/>
                <w:szCs w:val="21"/>
              </w:rPr>
              <w:t>2</w:t>
            </w:r>
            <w:r>
              <w:rPr>
                <w:rFonts w:hint="eastAsia" w:ascii="仿宋" w:hAnsi="仿宋"/>
                <w:b w:val="0"/>
                <w:bCs/>
                <w:sz w:val="21"/>
                <w:szCs w:val="21"/>
              </w:rPr>
              <w:t>提升区域发展环境</w:t>
            </w:r>
          </w:p>
        </w:tc>
        <w:tc>
          <w:tcPr>
            <w:tcW w:w="1147" w:type="dxa"/>
            <w:vAlign w:val="center"/>
          </w:tcPr>
          <w:p>
            <w:pPr>
              <w:pStyle w:val="54"/>
              <w:jc w:val="center"/>
              <w:rPr>
                <w:rFonts w:ascii="仿宋" w:hAnsi="仿宋"/>
                <w:szCs w:val="21"/>
              </w:rPr>
            </w:pPr>
            <w:r>
              <w:rPr>
                <w:rFonts w:ascii="仿宋" w:hAnsi="仿宋"/>
                <w:szCs w:val="21"/>
              </w:rPr>
              <w:t>10</w:t>
            </w:r>
          </w:p>
        </w:tc>
        <w:tc>
          <w:tcPr>
            <w:tcW w:w="1134" w:type="dxa"/>
            <w:vAlign w:val="center"/>
          </w:tcPr>
          <w:p>
            <w:pPr>
              <w:pStyle w:val="54"/>
              <w:jc w:val="center"/>
              <w:rPr>
                <w:rFonts w:ascii="仿宋" w:hAnsi="仿宋"/>
                <w:szCs w:val="21"/>
              </w:rPr>
            </w:pPr>
            <w:r>
              <w:rPr>
                <w:rFonts w:hint="eastAsia" w:ascii="仿宋" w:hAnsi="仿宋"/>
                <w:szCs w:val="21"/>
              </w:rPr>
              <w:t>10</w:t>
            </w:r>
          </w:p>
        </w:tc>
        <w:tc>
          <w:tcPr>
            <w:tcW w:w="2694" w:type="dxa"/>
            <w:vAlign w:val="center"/>
          </w:tcPr>
          <w:p>
            <w:pPr>
              <w:pStyle w:val="54"/>
              <w:jc w:val="center"/>
              <w:rPr>
                <w:rFonts w:ascii="仿宋" w:hAnsi="仿宋"/>
                <w:szCs w:val="21"/>
              </w:rPr>
            </w:pPr>
            <w:r>
              <w:rPr>
                <w:rFonts w:hint="eastAsia" w:ascii="仿宋" w:hAnsi="仿宋"/>
                <w:szCs w:val="21"/>
              </w:rPr>
              <w:t>10</w:t>
            </w:r>
            <w:r>
              <w:rPr>
                <w:rFonts w:ascii="仿宋" w:hAnsi="仿宋"/>
                <w:szCs w:val="21"/>
              </w:rPr>
              <w:t>0</w:t>
            </w:r>
            <w:r>
              <w:rPr>
                <w:rFonts w:hint="eastAsia" w:ascii="仿宋" w:hAnsi="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84" w:type="dxa"/>
          </w:tcPr>
          <w:p>
            <w:pPr>
              <w:pStyle w:val="54"/>
              <w:jc w:val="center"/>
              <w:rPr>
                <w:rFonts w:ascii="仿宋" w:hAnsi="仿宋"/>
                <w:b/>
                <w:bCs/>
              </w:rPr>
            </w:pPr>
            <w:r>
              <w:rPr>
                <w:rFonts w:hint="eastAsia" w:ascii="仿宋" w:hAnsi="仿宋"/>
                <w:b/>
                <w:bCs/>
              </w:rPr>
              <w:t>合计</w:t>
            </w:r>
          </w:p>
        </w:tc>
        <w:tc>
          <w:tcPr>
            <w:tcW w:w="1147" w:type="dxa"/>
          </w:tcPr>
          <w:p>
            <w:pPr>
              <w:pStyle w:val="54"/>
              <w:jc w:val="center"/>
              <w:rPr>
                <w:rFonts w:ascii="仿宋" w:hAnsi="仿宋"/>
                <w:b/>
                <w:bCs/>
              </w:rPr>
            </w:pPr>
            <w:r>
              <w:rPr>
                <w:rFonts w:ascii="仿宋" w:hAnsi="仿宋"/>
                <w:b/>
                <w:bCs/>
              </w:rPr>
              <w:t>20</w:t>
            </w:r>
          </w:p>
        </w:tc>
        <w:tc>
          <w:tcPr>
            <w:tcW w:w="1134" w:type="dxa"/>
          </w:tcPr>
          <w:p>
            <w:pPr>
              <w:pStyle w:val="54"/>
              <w:jc w:val="center"/>
              <w:rPr>
                <w:rFonts w:ascii="仿宋" w:hAnsi="仿宋"/>
                <w:b/>
                <w:bCs/>
              </w:rPr>
            </w:pPr>
            <w:r>
              <w:rPr>
                <w:rFonts w:hint="eastAsia" w:ascii="仿宋" w:hAnsi="仿宋"/>
                <w:b/>
                <w:bCs/>
              </w:rPr>
              <w:t>20</w:t>
            </w:r>
          </w:p>
        </w:tc>
        <w:tc>
          <w:tcPr>
            <w:tcW w:w="2694" w:type="dxa"/>
          </w:tcPr>
          <w:p>
            <w:pPr>
              <w:pStyle w:val="54"/>
              <w:jc w:val="center"/>
              <w:rPr>
                <w:rFonts w:ascii="仿宋" w:hAnsi="仿宋"/>
                <w:b/>
                <w:bCs/>
              </w:rPr>
            </w:pPr>
            <w:r>
              <w:rPr>
                <w:rFonts w:hint="eastAsia" w:ascii="仿宋" w:hAnsi="仿宋"/>
                <w:b/>
                <w:bCs/>
              </w:rPr>
              <w:t>100</w:t>
            </w:r>
            <w:r>
              <w:rPr>
                <w:rFonts w:ascii="仿宋" w:hAnsi="仿宋"/>
                <w:b/>
                <w:bCs/>
              </w:rPr>
              <w:t>%</w:t>
            </w:r>
          </w:p>
        </w:tc>
      </w:tr>
    </w:tbl>
    <w:p>
      <w:pPr>
        <w:pStyle w:val="36"/>
        <w:ind w:firstLine="480"/>
        <w:rPr>
          <w:rFonts w:ascii="仿宋" w:hAnsi="仿宋"/>
        </w:rPr>
      </w:pPr>
      <w:r>
        <w:rPr>
          <w:rFonts w:hint="eastAsia" w:ascii="仿宋" w:hAnsi="仿宋"/>
        </w:rPr>
        <w:t>表4-</w:t>
      </w:r>
      <w:r>
        <w:rPr>
          <w:rFonts w:ascii="仿宋" w:hAnsi="仿宋"/>
        </w:rPr>
        <w:t>4</w:t>
      </w:r>
    </w:p>
    <w:p>
      <w:pPr>
        <w:pStyle w:val="53"/>
        <w:ind w:firstLine="602"/>
        <w:rPr>
          <w:rFonts w:ascii="仿宋" w:hAnsi="仿宋"/>
          <w:sz w:val="30"/>
          <w:szCs w:val="30"/>
        </w:rPr>
      </w:pPr>
      <w:r>
        <w:rPr>
          <w:rFonts w:hint="eastAsia" w:ascii="仿宋" w:hAnsi="仿宋"/>
          <w:sz w:val="30"/>
          <w:szCs w:val="30"/>
        </w:rPr>
        <w:t>D</w:t>
      </w:r>
      <w:r>
        <w:rPr>
          <w:rFonts w:ascii="仿宋" w:hAnsi="仿宋"/>
          <w:sz w:val="30"/>
          <w:szCs w:val="30"/>
        </w:rPr>
        <w:t>101</w:t>
      </w:r>
      <w:r>
        <w:rPr>
          <w:rFonts w:hint="eastAsia" w:ascii="仿宋" w:hAnsi="仿宋"/>
          <w:sz w:val="30"/>
          <w:szCs w:val="30"/>
        </w:rPr>
        <w:t>改善区域生态环境，提高百姓生活水平</w:t>
      </w:r>
    </w:p>
    <w:p>
      <w:pPr>
        <w:pStyle w:val="32"/>
        <w:ind w:firstLine="600"/>
        <w:rPr>
          <w:rFonts w:ascii="仿宋" w:hAnsi="仿宋"/>
          <w:sz w:val="30"/>
          <w:szCs w:val="30"/>
          <w:lang w:bidi="zh-CN"/>
        </w:rPr>
      </w:pPr>
      <w:r>
        <w:rPr>
          <w:rFonts w:hint="eastAsia" w:ascii="仿宋" w:hAnsi="仿宋"/>
          <w:sz w:val="30"/>
          <w:szCs w:val="30"/>
          <w:lang w:bidi="zh-CN"/>
        </w:rPr>
        <w:t>该指标反映推进津南区绿色生态屏障建设，改善区域生态环境、人居环境情况。权重</w:t>
      </w:r>
      <w:r>
        <w:rPr>
          <w:rFonts w:ascii="仿宋" w:hAnsi="仿宋"/>
          <w:sz w:val="30"/>
          <w:szCs w:val="30"/>
          <w:lang w:bidi="zh-CN"/>
        </w:rPr>
        <w:t>10分</w:t>
      </w:r>
      <w:r>
        <w:rPr>
          <w:rFonts w:hint="eastAsia" w:ascii="仿宋" w:hAnsi="仿宋"/>
          <w:sz w:val="30"/>
          <w:szCs w:val="30"/>
          <w:lang w:bidi="zh-CN"/>
        </w:rPr>
        <w:t>，得10分。津南区划入双城中间地带管控范围的区域面积 330 平方公里，约占双城中间地带规划管控范围总面积的 45%。造林绿化工程实施后将提升津南区整体绿化率 2.1%，使实施区域遭到破坏的生态系统得到修补，提升区域绿化率和绿化质量，加快津南区绿色生态屏障建设，推进双城中间地带规划管控建设绿色生态屏障的总体进度。项目通过提升城镇周边绿化水平，为区域人口营造良好的大气、水体环境，有效阻滞雾霾与沙尘等污染；基础设施的加快建设，能够为百姓出行与生活提供更多便利条件，改善百姓生活环境，从而提高居民生活水平和生活质量。</w:t>
      </w:r>
    </w:p>
    <w:p>
      <w:pPr>
        <w:pStyle w:val="32"/>
        <w:ind w:firstLine="600"/>
        <w:rPr>
          <w:rFonts w:ascii="仿宋" w:hAnsi="仿宋"/>
          <w:sz w:val="30"/>
          <w:szCs w:val="30"/>
        </w:rPr>
      </w:pPr>
      <w:r>
        <w:rPr>
          <w:rFonts w:hint="eastAsia" w:ascii="仿宋" w:hAnsi="仿宋"/>
          <w:sz w:val="30"/>
          <w:szCs w:val="30"/>
          <w:lang w:bidi="zh-CN"/>
        </w:rPr>
        <w:t>综合分析，根据指标评价规则，</w:t>
      </w:r>
      <w:r>
        <w:rPr>
          <w:rFonts w:hint="eastAsia" w:ascii="仿宋" w:hAnsi="仿宋"/>
          <w:sz w:val="30"/>
          <w:szCs w:val="30"/>
        </w:rPr>
        <w:t>该指标</w:t>
      </w:r>
      <w:r>
        <w:rPr>
          <w:rFonts w:hint="eastAsia" w:ascii="仿宋" w:hAnsi="仿宋"/>
          <w:sz w:val="30"/>
          <w:szCs w:val="30"/>
          <w:lang w:bidi="zh-CN"/>
        </w:rPr>
        <w:t>得</w:t>
      </w:r>
      <w:r>
        <w:rPr>
          <w:rFonts w:hint="eastAsia" w:ascii="仿宋" w:hAnsi="仿宋"/>
          <w:sz w:val="30"/>
          <w:szCs w:val="30"/>
        </w:rPr>
        <w:t>1</w:t>
      </w:r>
      <w:r>
        <w:rPr>
          <w:rFonts w:ascii="仿宋" w:hAnsi="仿宋"/>
          <w:sz w:val="30"/>
          <w:szCs w:val="30"/>
        </w:rPr>
        <w:t>0</w:t>
      </w:r>
      <w:r>
        <w:rPr>
          <w:rFonts w:hint="eastAsia" w:ascii="仿宋" w:hAnsi="仿宋"/>
          <w:sz w:val="30"/>
          <w:szCs w:val="30"/>
        </w:rPr>
        <w:t>分。</w:t>
      </w:r>
    </w:p>
    <w:p>
      <w:pPr>
        <w:pStyle w:val="53"/>
        <w:ind w:firstLine="602"/>
        <w:rPr>
          <w:rFonts w:ascii="仿宋" w:hAnsi="仿宋"/>
          <w:sz w:val="30"/>
          <w:szCs w:val="30"/>
        </w:rPr>
      </w:pPr>
      <w:r>
        <w:rPr>
          <w:rFonts w:hint="eastAsia" w:ascii="仿宋" w:hAnsi="仿宋"/>
          <w:sz w:val="30"/>
          <w:szCs w:val="30"/>
        </w:rPr>
        <w:t>D</w:t>
      </w:r>
      <w:r>
        <w:rPr>
          <w:rFonts w:ascii="仿宋" w:hAnsi="仿宋"/>
          <w:sz w:val="30"/>
          <w:szCs w:val="30"/>
        </w:rPr>
        <w:t>201</w:t>
      </w:r>
      <w:r>
        <w:rPr>
          <w:rFonts w:hint="eastAsia" w:ascii="仿宋" w:hAnsi="仿宋"/>
          <w:sz w:val="30"/>
          <w:szCs w:val="30"/>
        </w:rPr>
        <w:t>提升区域发展环境</w:t>
      </w:r>
    </w:p>
    <w:p>
      <w:pPr>
        <w:pStyle w:val="53"/>
        <w:ind w:firstLine="600"/>
        <w:rPr>
          <w:rFonts w:ascii="仿宋" w:hAnsi="仿宋" w:cs="仿宋"/>
          <w:b w:val="0"/>
          <w:sz w:val="32"/>
          <w:szCs w:val="32"/>
          <w:lang w:bidi="zh-CN"/>
        </w:rPr>
      </w:pPr>
      <w:r>
        <w:rPr>
          <w:rFonts w:hint="eastAsia" w:ascii="仿宋" w:hAnsi="仿宋" w:cs="仿宋"/>
          <w:b w:val="0"/>
          <w:sz w:val="30"/>
          <w:szCs w:val="30"/>
          <w:lang w:bidi="zh-CN"/>
        </w:rPr>
        <w:t>该指标反映通过项目的实施，对提升津南区区域发展环境的影响情况</w:t>
      </w:r>
      <w:r>
        <w:rPr>
          <w:rFonts w:hint="eastAsia" w:ascii="仿宋" w:hAnsi="仿宋" w:cs="仿宋"/>
          <w:b w:val="0"/>
          <w:bCs/>
          <w:sz w:val="30"/>
          <w:szCs w:val="30"/>
        </w:rPr>
        <w:t>。权重</w:t>
      </w:r>
      <w:r>
        <w:rPr>
          <w:rFonts w:ascii="仿宋" w:hAnsi="仿宋" w:cs="仿宋"/>
          <w:b w:val="0"/>
          <w:bCs/>
          <w:sz w:val="30"/>
          <w:szCs w:val="30"/>
        </w:rPr>
        <w:t>10</w:t>
      </w:r>
      <w:r>
        <w:rPr>
          <w:rFonts w:hint="eastAsia" w:ascii="仿宋" w:hAnsi="仿宋" w:cs="仿宋"/>
          <w:b w:val="0"/>
          <w:bCs/>
          <w:sz w:val="30"/>
          <w:szCs w:val="30"/>
        </w:rPr>
        <w:t>分，得</w:t>
      </w:r>
      <w:r>
        <w:rPr>
          <w:rFonts w:ascii="仿宋" w:hAnsi="仿宋" w:cs="仿宋"/>
          <w:b w:val="0"/>
          <w:bCs/>
          <w:sz w:val="30"/>
          <w:szCs w:val="30"/>
        </w:rPr>
        <w:t>5</w:t>
      </w:r>
      <w:r>
        <w:rPr>
          <w:rFonts w:hint="eastAsia" w:ascii="仿宋" w:hAnsi="仿宋" w:cs="仿宋"/>
          <w:b w:val="0"/>
          <w:bCs/>
          <w:sz w:val="30"/>
          <w:szCs w:val="30"/>
        </w:rPr>
        <w:t>分。项目的实施可促进区域基础设施的加快建设。项目建设时期，需要咨询、勘查、设计、施工等人员投入项目建设，能够增加一定就业机会。项目建成后，绿植需要专业维护人员定期对绿化设施实施包括淋水、开窝培土、修剪、施肥、除草、修剪抹芽、病虫害防治、扶正、补苗等内容在内的维护；基础设施、河道等需要相关部门责专人定期检查与维护，以保持其功能的正常发挥，可为社会提供一定就业机会。此外，环境提升有助于改善投资环境，对于旅游业、房地产业、建筑业、商业等的发展都将起到一定推动作用，投资活动的活跃，更多投资者落户必将带来产业规模扩张，同时也提供更多就业可能。</w:t>
      </w:r>
      <w:r>
        <w:rPr>
          <w:rFonts w:hint="eastAsia" w:ascii="仿宋" w:hAnsi="仿宋" w:cs="仿宋"/>
          <w:b w:val="0"/>
          <w:sz w:val="30"/>
          <w:szCs w:val="30"/>
          <w:lang w:bidi="zh-CN"/>
        </w:rPr>
        <w:t>根据指标评价规则，该指标得10分。</w:t>
      </w:r>
    </w:p>
    <w:p>
      <w:pPr>
        <w:pStyle w:val="28"/>
        <w:rPr>
          <w:szCs w:val="32"/>
        </w:rPr>
      </w:pPr>
      <w:bookmarkStart w:id="85" w:name="_Toc91632833"/>
      <w:r>
        <w:rPr>
          <w:rFonts w:hint="eastAsia"/>
          <w:szCs w:val="32"/>
        </w:rPr>
        <w:t>（五）项目满意度指标情况</w:t>
      </w:r>
      <w:bookmarkEnd w:id="85"/>
    </w:p>
    <w:p>
      <w:pPr>
        <w:pStyle w:val="32"/>
        <w:ind w:firstLine="600"/>
        <w:jc w:val="both"/>
        <w:rPr>
          <w:rFonts w:ascii="仿宋" w:hAnsi="仿宋"/>
          <w:sz w:val="30"/>
          <w:szCs w:val="30"/>
        </w:rPr>
      </w:pPr>
      <w:r>
        <w:rPr>
          <w:rFonts w:ascii="仿宋" w:hAnsi="仿宋"/>
          <w:sz w:val="30"/>
          <w:szCs w:val="30"/>
        </w:rPr>
        <w:t>项目</w:t>
      </w:r>
      <w:r>
        <w:rPr>
          <w:rFonts w:hint="eastAsia" w:ascii="仿宋" w:hAnsi="仿宋"/>
          <w:sz w:val="30"/>
          <w:szCs w:val="30"/>
        </w:rPr>
        <w:t>满意度</w:t>
      </w:r>
      <w:r>
        <w:rPr>
          <w:rFonts w:ascii="仿宋" w:hAnsi="仿宋"/>
          <w:sz w:val="30"/>
          <w:szCs w:val="30"/>
        </w:rPr>
        <w:t>指标</w:t>
      </w:r>
      <w:r>
        <w:rPr>
          <w:rFonts w:hint="eastAsia" w:ascii="仿宋" w:hAnsi="仿宋"/>
          <w:sz w:val="30"/>
          <w:szCs w:val="30"/>
        </w:rPr>
        <w:t>为周边居民对项目的满意度</w:t>
      </w:r>
      <w:r>
        <w:rPr>
          <w:rFonts w:ascii="仿宋" w:hAnsi="仿宋"/>
          <w:sz w:val="30"/>
          <w:szCs w:val="30"/>
        </w:rPr>
        <w:t>，权重共</w:t>
      </w:r>
      <w:r>
        <w:rPr>
          <w:rFonts w:hint="eastAsia" w:ascii="仿宋" w:hAnsi="仿宋"/>
          <w:sz w:val="30"/>
          <w:szCs w:val="30"/>
        </w:rPr>
        <w:t>1</w:t>
      </w:r>
      <w:r>
        <w:rPr>
          <w:rFonts w:ascii="仿宋" w:hAnsi="仿宋"/>
          <w:sz w:val="30"/>
          <w:szCs w:val="30"/>
        </w:rPr>
        <w:t>0分，实际得分</w:t>
      </w:r>
      <w:r>
        <w:rPr>
          <w:rFonts w:hint="eastAsia" w:ascii="仿宋" w:hAnsi="仿宋"/>
          <w:sz w:val="30"/>
          <w:szCs w:val="30"/>
        </w:rPr>
        <w:t>7.88</w:t>
      </w:r>
      <w:r>
        <w:rPr>
          <w:rFonts w:ascii="仿宋" w:hAnsi="仿宋"/>
          <w:sz w:val="30"/>
          <w:szCs w:val="30"/>
        </w:rPr>
        <w:t>分，得分率为</w:t>
      </w:r>
      <w:r>
        <w:rPr>
          <w:rFonts w:hint="eastAsia" w:ascii="仿宋" w:hAnsi="仿宋"/>
          <w:sz w:val="30"/>
          <w:szCs w:val="30"/>
        </w:rPr>
        <w:t>78.8</w:t>
      </w:r>
      <w:r>
        <w:rPr>
          <w:rFonts w:ascii="仿宋" w:hAnsi="仿宋"/>
          <w:sz w:val="30"/>
          <w:szCs w:val="30"/>
        </w:rPr>
        <w:t>%，各指标得分见表 4-</w:t>
      </w:r>
      <w:r>
        <w:rPr>
          <w:rFonts w:hint="eastAsia" w:ascii="仿宋" w:hAnsi="仿宋"/>
          <w:sz w:val="30"/>
          <w:szCs w:val="30"/>
        </w:rPr>
        <w:t>5</w:t>
      </w:r>
      <w:r>
        <w:rPr>
          <w:rFonts w:ascii="仿宋" w:hAnsi="仿宋"/>
          <w:sz w:val="30"/>
          <w:szCs w:val="30"/>
        </w:rPr>
        <w:t>。</w:t>
      </w:r>
    </w:p>
    <w:tbl>
      <w:tblPr>
        <w:tblStyle w:val="19"/>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70"/>
        <w:gridCol w:w="1028"/>
        <w:gridCol w:w="1180"/>
        <w:gridCol w:w="1028"/>
        <w:gridCol w:w="1028"/>
        <w:gridCol w:w="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3270" w:type="dxa"/>
            <w:shd w:val="clear" w:color="auto" w:fill="D8D8D8" w:themeFill="background1" w:themeFillShade="D9"/>
          </w:tcPr>
          <w:p>
            <w:pPr>
              <w:pStyle w:val="54"/>
              <w:jc w:val="center"/>
              <w:rPr>
                <w:rFonts w:ascii="仿宋" w:hAnsi="仿宋"/>
                <w:szCs w:val="21"/>
              </w:rPr>
            </w:pPr>
            <w:r>
              <w:rPr>
                <w:rFonts w:hint="eastAsia" w:ascii="仿宋" w:hAnsi="仿宋"/>
                <w:b/>
                <w:bCs/>
              </w:rPr>
              <w:t>三级指标</w:t>
            </w:r>
          </w:p>
        </w:tc>
        <w:tc>
          <w:tcPr>
            <w:tcW w:w="1028" w:type="dxa"/>
            <w:shd w:val="clear" w:color="auto" w:fill="D8D8D8" w:themeFill="background1" w:themeFillShade="D9"/>
          </w:tcPr>
          <w:p>
            <w:pPr>
              <w:pStyle w:val="54"/>
              <w:jc w:val="center"/>
              <w:rPr>
                <w:rFonts w:ascii="仿宋" w:hAnsi="仿宋"/>
                <w:b/>
                <w:bCs/>
              </w:rPr>
            </w:pPr>
            <w:r>
              <w:rPr>
                <w:rFonts w:hint="eastAsia" w:ascii="仿宋" w:hAnsi="仿宋"/>
                <w:b/>
                <w:bCs/>
              </w:rPr>
              <w:t>目标值</w:t>
            </w:r>
          </w:p>
        </w:tc>
        <w:tc>
          <w:tcPr>
            <w:tcW w:w="1180" w:type="dxa"/>
            <w:shd w:val="clear" w:color="auto" w:fill="D8D8D8" w:themeFill="background1" w:themeFillShade="D9"/>
          </w:tcPr>
          <w:p>
            <w:pPr>
              <w:pStyle w:val="54"/>
              <w:jc w:val="center"/>
              <w:rPr>
                <w:rFonts w:ascii="仿宋" w:hAnsi="仿宋"/>
                <w:b/>
                <w:bCs/>
              </w:rPr>
            </w:pPr>
            <w:r>
              <w:rPr>
                <w:rFonts w:hint="eastAsia" w:ascii="仿宋" w:hAnsi="仿宋"/>
                <w:b/>
                <w:bCs/>
              </w:rPr>
              <w:t>完成值</w:t>
            </w:r>
          </w:p>
        </w:tc>
        <w:tc>
          <w:tcPr>
            <w:tcW w:w="1028" w:type="dxa"/>
            <w:shd w:val="clear" w:color="auto" w:fill="D8D8D8" w:themeFill="background1" w:themeFillShade="D9"/>
          </w:tcPr>
          <w:p>
            <w:pPr>
              <w:pStyle w:val="54"/>
              <w:jc w:val="center"/>
              <w:rPr>
                <w:rFonts w:ascii="仿宋" w:hAnsi="仿宋"/>
                <w:b/>
                <w:bCs/>
              </w:rPr>
            </w:pPr>
            <w:r>
              <w:rPr>
                <w:rFonts w:hint="eastAsia" w:ascii="仿宋" w:hAnsi="仿宋"/>
                <w:b/>
                <w:bCs/>
              </w:rPr>
              <w:t>权重</w:t>
            </w:r>
          </w:p>
        </w:tc>
        <w:tc>
          <w:tcPr>
            <w:tcW w:w="1028" w:type="dxa"/>
            <w:shd w:val="clear" w:color="auto" w:fill="D8D8D8" w:themeFill="background1" w:themeFillShade="D9"/>
          </w:tcPr>
          <w:p>
            <w:pPr>
              <w:pStyle w:val="54"/>
              <w:jc w:val="center"/>
              <w:rPr>
                <w:rFonts w:ascii="仿宋" w:hAnsi="仿宋"/>
                <w:b/>
                <w:bCs/>
              </w:rPr>
            </w:pPr>
            <w:r>
              <w:rPr>
                <w:rFonts w:hint="eastAsia" w:ascii="仿宋" w:hAnsi="仿宋"/>
                <w:b/>
                <w:bCs/>
              </w:rPr>
              <w:t>得分</w:t>
            </w:r>
          </w:p>
        </w:tc>
        <w:tc>
          <w:tcPr>
            <w:tcW w:w="966" w:type="dxa"/>
            <w:shd w:val="clear" w:color="auto" w:fill="D8D8D8" w:themeFill="background1" w:themeFillShade="D9"/>
          </w:tcPr>
          <w:p>
            <w:pPr>
              <w:pStyle w:val="54"/>
              <w:jc w:val="center"/>
              <w:rPr>
                <w:rFonts w:ascii="仿宋" w:hAnsi="仿宋"/>
                <w:b/>
                <w:bCs/>
              </w:rPr>
            </w:pPr>
            <w:r>
              <w:rPr>
                <w:rFonts w:hint="eastAsia" w:ascii="仿宋" w:hAnsi="仿宋"/>
                <w:b/>
                <w:bCs/>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3270" w:type="dxa"/>
            <w:vAlign w:val="center"/>
          </w:tcPr>
          <w:p>
            <w:pPr>
              <w:pStyle w:val="54"/>
              <w:rPr>
                <w:rFonts w:ascii="仿宋" w:hAnsi="仿宋"/>
                <w:szCs w:val="21"/>
              </w:rPr>
            </w:pPr>
            <w:r>
              <w:rPr>
                <w:rFonts w:hint="eastAsia" w:ascii="仿宋" w:hAnsi="仿宋"/>
                <w:szCs w:val="21"/>
              </w:rPr>
              <w:t>E101</w:t>
            </w:r>
            <w:r>
              <w:rPr>
                <w:rFonts w:hint="eastAsia" w:ascii="仿宋" w:hAnsi="仿宋" w:cs="宋体"/>
                <w:color w:val="000000"/>
                <w:kern w:val="0"/>
                <w:szCs w:val="21"/>
              </w:rPr>
              <w:t>周边居民满意度</w:t>
            </w:r>
          </w:p>
        </w:tc>
        <w:tc>
          <w:tcPr>
            <w:tcW w:w="1028" w:type="dxa"/>
            <w:vAlign w:val="center"/>
          </w:tcPr>
          <w:p>
            <w:pPr>
              <w:pStyle w:val="54"/>
              <w:jc w:val="center"/>
              <w:rPr>
                <w:rFonts w:ascii="仿宋" w:hAnsi="仿宋"/>
                <w:szCs w:val="21"/>
              </w:rPr>
            </w:pPr>
            <w:r>
              <w:rPr>
                <w:rFonts w:hint="eastAsia" w:ascii="仿宋" w:hAnsi="仿宋"/>
                <w:szCs w:val="21"/>
              </w:rPr>
              <w:t>≥9</w:t>
            </w:r>
            <w:r>
              <w:rPr>
                <w:rFonts w:ascii="仿宋" w:hAnsi="仿宋"/>
                <w:szCs w:val="21"/>
              </w:rPr>
              <w:t>0</w:t>
            </w:r>
            <w:r>
              <w:rPr>
                <w:rFonts w:hint="eastAsia" w:ascii="仿宋" w:hAnsi="仿宋"/>
                <w:szCs w:val="21"/>
              </w:rPr>
              <w:t>%</w:t>
            </w:r>
          </w:p>
        </w:tc>
        <w:tc>
          <w:tcPr>
            <w:tcW w:w="1180" w:type="dxa"/>
            <w:vAlign w:val="center"/>
          </w:tcPr>
          <w:p>
            <w:pPr>
              <w:pStyle w:val="54"/>
              <w:jc w:val="center"/>
              <w:rPr>
                <w:rFonts w:ascii="仿宋" w:hAnsi="仿宋"/>
                <w:szCs w:val="21"/>
              </w:rPr>
            </w:pPr>
            <w:r>
              <w:rPr>
                <w:rFonts w:hint="eastAsia" w:ascii="仿宋" w:hAnsi="仿宋"/>
                <w:szCs w:val="21"/>
              </w:rPr>
              <w:t>71</w:t>
            </w:r>
            <w:r>
              <w:rPr>
                <w:rFonts w:ascii="仿宋" w:hAnsi="仿宋"/>
                <w:szCs w:val="21"/>
              </w:rPr>
              <w:t>%</w:t>
            </w:r>
          </w:p>
        </w:tc>
        <w:tc>
          <w:tcPr>
            <w:tcW w:w="1028" w:type="dxa"/>
            <w:vAlign w:val="center"/>
          </w:tcPr>
          <w:p>
            <w:pPr>
              <w:pStyle w:val="54"/>
              <w:jc w:val="center"/>
              <w:rPr>
                <w:rFonts w:ascii="仿宋" w:hAnsi="仿宋"/>
                <w:szCs w:val="21"/>
              </w:rPr>
            </w:pPr>
            <w:r>
              <w:rPr>
                <w:rFonts w:hint="eastAsia" w:ascii="仿宋" w:hAnsi="仿宋"/>
                <w:szCs w:val="21"/>
              </w:rPr>
              <w:t>1</w:t>
            </w:r>
            <w:r>
              <w:rPr>
                <w:rFonts w:ascii="仿宋" w:hAnsi="仿宋"/>
                <w:szCs w:val="21"/>
              </w:rPr>
              <w:t>0</w:t>
            </w:r>
          </w:p>
        </w:tc>
        <w:tc>
          <w:tcPr>
            <w:tcW w:w="1028" w:type="dxa"/>
            <w:vAlign w:val="center"/>
          </w:tcPr>
          <w:p>
            <w:pPr>
              <w:pStyle w:val="54"/>
              <w:jc w:val="center"/>
              <w:rPr>
                <w:rFonts w:ascii="仿宋" w:hAnsi="仿宋"/>
                <w:szCs w:val="21"/>
              </w:rPr>
            </w:pPr>
            <w:r>
              <w:rPr>
                <w:rFonts w:hint="eastAsia" w:ascii="仿宋" w:hAnsi="仿宋"/>
                <w:szCs w:val="21"/>
              </w:rPr>
              <w:t>7.88</w:t>
            </w:r>
          </w:p>
        </w:tc>
        <w:tc>
          <w:tcPr>
            <w:tcW w:w="966" w:type="dxa"/>
            <w:vAlign w:val="center"/>
          </w:tcPr>
          <w:p>
            <w:pPr>
              <w:pStyle w:val="54"/>
              <w:jc w:val="center"/>
              <w:rPr>
                <w:rFonts w:ascii="仿宋" w:hAnsi="仿宋"/>
                <w:szCs w:val="21"/>
              </w:rPr>
            </w:pPr>
            <w:r>
              <w:rPr>
                <w:rFonts w:hint="eastAsia" w:ascii="仿宋" w:hAnsi="仿宋"/>
                <w:szCs w:val="21"/>
              </w:rPr>
              <w:t>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5478" w:type="dxa"/>
            <w:gridSpan w:val="3"/>
          </w:tcPr>
          <w:p>
            <w:pPr>
              <w:pStyle w:val="54"/>
              <w:jc w:val="center"/>
              <w:rPr>
                <w:rFonts w:ascii="仿宋" w:hAnsi="仿宋"/>
                <w:b/>
                <w:bCs/>
              </w:rPr>
            </w:pPr>
            <w:r>
              <w:rPr>
                <w:rFonts w:hint="eastAsia" w:ascii="仿宋" w:hAnsi="仿宋"/>
                <w:b/>
                <w:bCs/>
              </w:rPr>
              <w:t>合计</w:t>
            </w:r>
          </w:p>
        </w:tc>
        <w:tc>
          <w:tcPr>
            <w:tcW w:w="1028" w:type="dxa"/>
          </w:tcPr>
          <w:p>
            <w:pPr>
              <w:pStyle w:val="54"/>
              <w:jc w:val="center"/>
              <w:rPr>
                <w:rFonts w:ascii="仿宋" w:hAnsi="仿宋"/>
                <w:b/>
                <w:bCs/>
              </w:rPr>
            </w:pPr>
            <w:r>
              <w:rPr>
                <w:rFonts w:hint="eastAsia" w:ascii="仿宋" w:hAnsi="仿宋"/>
                <w:b/>
                <w:bCs/>
              </w:rPr>
              <w:t>1</w:t>
            </w:r>
            <w:r>
              <w:rPr>
                <w:rFonts w:ascii="仿宋" w:hAnsi="仿宋"/>
                <w:b/>
                <w:bCs/>
              </w:rPr>
              <w:t>0</w:t>
            </w:r>
          </w:p>
        </w:tc>
        <w:tc>
          <w:tcPr>
            <w:tcW w:w="1028" w:type="dxa"/>
          </w:tcPr>
          <w:p>
            <w:pPr>
              <w:pStyle w:val="54"/>
              <w:jc w:val="center"/>
              <w:rPr>
                <w:rFonts w:ascii="仿宋" w:hAnsi="仿宋"/>
                <w:b/>
                <w:bCs/>
              </w:rPr>
            </w:pPr>
            <w:r>
              <w:rPr>
                <w:rFonts w:hint="eastAsia" w:ascii="仿宋" w:hAnsi="仿宋"/>
                <w:b/>
                <w:bCs/>
              </w:rPr>
              <w:t>7.88</w:t>
            </w:r>
          </w:p>
        </w:tc>
        <w:tc>
          <w:tcPr>
            <w:tcW w:w="966" w:type="dxa"/>
          </w:tcPr>
          <w:p>
            <w:pPr>
              <w:pStyle w:val="54"/>
              <w:jc w:val="center"/>
              <w:rPr>
                <w:rFonts w:ascii="仿宋" w:hAnsi="仿宋"/>
                <w:b/>
                <w:bCs/>
              </w:rPr>
            </w:pPr>
            <w:r>
              <w:rPr>
                <w:rFonts w:hint="eastAsia" w:ascii="仿宋" w:hAnsi="仿宋"/>
                <w:b/>
                <w:bCs/>
              </w:rPr>
              <w:t>78.8</w:t>
            </w:r>
            <w:r>
              <w:rPr>
                <w:rFonts w:ascii="仿宋" w:hAnsi="仿宋"/>
                <w:b/>
                <w:bCs/>
              </w:rPr>
              <w:t>%</w:t>
            </w:r>
          </w:p>
        </w:tc>
      </w:tr>
    </w:tbl>
    <w:p>
      <w:pPr>
        <w:pStyle w:val="53"/>
        <w:ind w:firstLine="562"/>
        <w:rPr>
          <w:rFonts w:ascii="仿宋" w:hAnsi="仿宋"/>
          <w:szCs w:val="28"/>
        </w:rPr>
      </w:pPr>
    </w:p>
    <w:p>
      <w:pPr>
        <w:pStyle w:val="53"/>
        <w:ind w:firstLine="602"/>
        <w:rPr>
          <w:rFonts w:ascii="仿宋" w:hAnsi="仿宋"/>
          <w:sz w:val="30"/>
          <w:szCs w:val="30"/>
        </w:rPr>
      </w:pPr>
      <w:r>
        <w:rPr>
          <w:rFonts w:ascii="仿宋" w:hAnsi="仿宋"/>
          <w:sz w:val="30"/>
          <w:szCs w:val="30"/>
        </w:rPr>
        <w:t>E101</w:t>
      </w:r>
      <w:r>
        <w:rPr>
          <w:rFonts w:hint="eastAsia" w:ascii="仿宋" w:hAnsi="仿宋"/>
          <w:sz w:val="30"/>
          <w:szCs w:val="30"/>
        </w:rPr>
        <w:t>周边居民满意度</w:t>
      </w:r>
    </w:p>
    <w:p>
      <w:pPr>
        <w:pStyle w:val="32"/>
        <w:ind w:firstLine="600"/>
        <w:rPr>
          <w:rFonts w:ascii="仿宋" w:hAnsi="仿宋"/>
          <w:sz w:val="30"/>
          <w:szCs w:val="30"/>
        </w:rPr>
      </w:pPr>
      <w:r>
        <w:rPr>
          <w:rFonts w:hint="eastAsia" w:ascii="仿宋" w:hAnsi="仿宋"/>
          <w:sz w:val="30"/>
          <w:szCs w:val="30"/>
        </w:rPr>
        <w:t>该指标反映周边居民对项目的满意度情况。权重分</w:t>
      </w:r>
      <w:r>
        <w:rPr>
          <w:rFonts w:ascii="仿宋" w:hAnsi="仿宋"/>
          <w:sz w:val="30"/>
          <w:szCs w:val="30"/>
        </w:rPr>
        <w:t>10分，实际得分</w:t>
      </w:r>
      <w:r>
        <w:rPr>
          <w:rFonts w:hint="eastAsia" w:ascii="仿宋" w:hAnsi="仿宋"/>
          <w:sz w:val="30"/>
          <w:szCs w:val="30"/>
        </w:rPr>
        <w:t>7.88</w:t>
      </w:r>
      <w:r>
        <w:rPr>
          <w:rFonts w:ascii="仿宋" w:hAnsi="仿宋"/>
          <w:sz w:val="30"/>
          <w:szCs w:val="30"/>
        </w:rPr>
        <w:t>分。</w:t>
      </w:r>
      <w:r>
        <w:rPr>
          <w:rFonts w:hint="eastAsia" w:ascii="仿宋" w:hAnsi="仿宋"/>
          <w:sz w:val="30"/>
          <w:szCs w:val="30"/>
        </w:rPr>
        <w:t>具体依据为：具体依据为：评价小组通过发放问卷调查的方式对50位周边居民展开问卷调查，问卷中满意度问题涉及“对于人居环境改善后的现状是否满意、施工建设是否较大影响居民正常生活、对于近年的生态环境（空气、水等）改善情况是否满意”，调查结果得出，满意度均为71%。周边居民反映项目实施后对周边绿化环境、生态环境和人居环境的改善较为满意，但是在项目施工过程中，施工周期较长，夜间施工对居民生活有一定影响，高峰时段造成交通拥堵，施工过程中造成扬尘等环境污染情况。综合分析，根据指标评价规则，该指标扣2.12分，得7.88分。</w:t>
      </w:r>
    </w:p>
    <w:p>
      <w:pPr>
        <w:pStyle w:val="53"/>
        <w:ind w:firstLine="562"/>
        <w:rPr>
          <w:rFonts w:ascii="仿宋" w:hAnsi="仿宋"/>
          <w:szCs w:val="28"/>
        </w:rPr>
      </w:pPr>
    </w:p>
    <w:p>
      <w:pPr>
        <w:pStyle w:val="28"/>
        <w:rPr>
          <w:sz w:val="28"/>
          <w:szCs w:val="28"/>
        </w:rPr>
        <w:sectPr>
          <w:pgSz w:w="11906" w:h="16838"/>
          <w:pgMar w:top="1440" w:right="1800" w:bottom="1440" w:left="1800" w:header="0" w:footer="454" w:gutter="0"/>
          <w:pgNumType w:fmt="decimal"/>
          <w:cols w:space="425" w:num="1"/>
          <w:docGrid w:type="lines" w:linePitch="326" w:charSpace="0"/>
        </w:sectPr>
      </w:pPr>
    </w:p>
    <w:p>
      <w:pPr>
        <w:pStyle w:val="32"/>
        <w:ind w:firstLine="0" w:firstLineChars="0"/>
        <w:rPr>
          <w:rFonts w:ascii="仿宋" w:hAnsi="仿宋"/>
          <w:szCs w:val="28"/>
        </w:rPr>
        <w:sectPr>
          <w:type w:val="continuous"/>
          <w:pgSz w:w="11906" w:h="16838"/>
          <w:pgMar w:top="1440" w:right="1800" w:bottom="1440" w:left="1800" w:header="851" w:footer="992" w:gutter="0"/>
          <w:pgNumType w:fmt="decimal"/>
          <w:cols w:space="425" w:num="1"/>
          <w:docGrid w:type="lines" w:linePitch="326" w:charSpace="0"/>
        </w:sectPr>
      </w:pPr>
    </w:p>
    <w:p>
      <w:pPr>
        <w:pStyle w:val="30"/>
      </w:pPr>
      <w:bookmarkStart w:id="86" w:name="_Toc91632834"/>
      <w:bookmarkStart w:id="87" w:name="_Toc65078832"/>
      <w:r>
        <w:rPr>
          <w:rFonts w:hint="eastAsia"/>
        </w:rPr>
        <w:t>五、</w:t>
      </w:r>
      <w:bookmarkStart w:id="88" w:name="_Toc55652904"/>
      <w:bookmarkStart w:id="89" w:name="_Toc59411820"/>
      <w:r>
        <w:t>主要经验及做法、存在的问题及原因分析</w:t>
      </w:r>
      <w:bookmarkEnd w:id="86"/>
      <w:bookmarkEnd w:id="87"/>
    </w:p>
    <w:bookmarkEnd w:id="88"/>
    <w:bookmarkEnd w:id="89"/>
    <w:p>
      <w:pPr>
        <w:pStyle w:val="28"/>
        <w:rPr>
          <w:szCs w:val="32"/>
        </w:rPr>
      </w:pPr>
      <w:bookmarkStart w:id="90" w:name="_Toc91632835"/>
      <w:bookmarkStart w:id="91" w:name="_Toc65078833"/>
      <w:r>
        <w:rPr>
          <w:rFonts w:hint="eastAsia"/>
          <w:szCs w:val="32"/>
        </w:rPr>
        <w:t>（一）</w:t>
      </w:r>
      <w:r>
        <w:rPr>
          <w:szCs w:val="32"/>
        </w:rPr>
        <w:t>主要经验及做法</w:t>
      </w:r>
      <w:bookmarkEnd w:id="90"/>
      <w:bookmarkEnd w:id="91"/>
    </w:p>
    <w:p>
      <w:pPr>
        <w:pStyle w:val="32"/>
        <w:ind w:firstLine="600"/>
        <w:rPr>
          <w:rFonts w:ascii="仿宋" w:hAnsi="仿宋"/>
          <w:sz w:val="30"/>
          <w:szCs w:val="30"/>
        </w:rPr>
      </w:pPr>
      <w:r>
        <w:rPr>
          <w:rFonts w:hint="eastAsia" w:ascii="仿宋" w:hAnsi="仿宋"/>
          <w:sz w:val="30"/>
          <w:szCs w:val="30"/>
        </w:rPr>
        <w:t>加强滨海新区与中心城区中间地带规划管控、建设绿色生态屏障，实现滨海新区与中心城区“两城夹绿”，是贯彻习近平新时代中国特色社会主义思想、落实国家推进生态文明建设要求和京津冀协同发展重大国家战略的重要举措，是加快建设生态宜居的现代化天津、推动天津高质量发展的实际行动。为做好滨海新区与中心城区中间地带绿色生态屏障建设工作，严格规划管控，天津市人民代表大会常务委员会</w:t>
      </w:r>
    </w:p>
    <w:p>
      <w:pPr>
        <w:pStyle w:val="32"/>
        <w:ind w:firstLine="600"/>
        <w:rPr>
          <w:rFonts w:ascii="仿宋" w:hAnsi="仿宋"/>
          <w:sz w:val="30"/>
          <w:szCs w:val="30"/>
        </w:rPr>
      </w:pPr>
      <w:r>
        <w:rPr>
          <w:rFonts w:hint="eastAsia" w:ascii="仿宋" w:hAnsi="仿宋"/>
          <w:sz w:val="30"/>
          <w:szCs w:val="30"/>
        </w:rPr>
        <w:t>作出《关于加强滨海新区与中心城区中间地带规划管控建设绿色生态屏障的决定》。2018年10月31日，天津市政府下发《天津市加强滨海新区和中心城区中间地带规划管控建设绿色生态屏障实施细则》对天津市滨海新区和中心城区中间地带规划管控地区（即生态屏障区）各级管控区范围、建设要求进行了明确规定。双城中间地带规划管控范围包含宁河区、东丽区、津南区、西青区、滨海新区，总面积 736 平方公里。</w:t>
      </w:r>
    </w:p>
    <w:p>
      <w:pPr>
        <w:pStyle w:val="32"/>
        <w:ind w:firstLine="600"/>
        <w:rPr>
          <w:rFonts w:ascii="仿宋" w:hAnsi="仿宋"/>
          <w:sz w:val="30"/>
          <w:szCs w:val="30"/>
        </w:rPr>
      </w:pPr>
      <w:r>
        <w:rPr>
          <w:rFonts w:hint="eastAsia" w:ascii="仿宋" w:hAnsi="仿宋"/>
          <w:sz w:val="30"/>
          <w:szCs w:val="30"/>
        </w:rPr>
        <w:t>津南区作为连接中心城区与滨海新区的重要节点，是绿色生态屏障区的主要区域，总面积达 330 平方公里，约占双城中间地带规划管控范围面积的 45%。其中一级管控区约 205 平方公里、二级管控区约75平方公里、三级管控区约 50 平方公里。为了积极推进绿色生态屏障的有效建设，津南区委区政府按照规划引导、分步实施的原则，提出津南区绿化造林工程。2019年，津南区造林绿化任务为 2.72 万亩，其中新造林 1.87 万亩，提升改造 0.85 万亩。津南区生态屏障区涉及下辖咸水沽镇、北闸口镇、辛庄镇、八里台镇、小站镇、葛沽镇、双桥河镇等7 个镇和津南开发区。</w:t>
      </w:r>
    </w:p>
    <w:p>
      <w:pPr>
        <w:pStyle w:val="32"/>
        <w:ind w:firstLine="600"/>
        <w:rPr>
          <w:rFonts w:ascii="仿宋" w:hAnsi="仿宋"/>
          <w:sz w:val="30"/>
          <w:szCs w:val="30"/>
        </w:rPr>
      </w:pPr>
      <w:r>
        <w:rPr>
          <w:rFonts w:hint="eastAsia" w:ascii="仿宋" w:hAnsi="仿宋"/>
          <w:sz w:val="30"/>
          <w:szCs w:val="30"/>
        </w:rPr>
        <w:t>项目实施后能够使实施区域遭到破坏的生态系统得到修补，提升区域绿化率和绿化质量，人口居住环境，加强城镇基础设施建设，促进城镇整体建设水平提升，符合市政府文件要求，加快津南区绿色生态屏障建设，并推进双城中间地带规划管控建设绿色生态屏障的总体进度。通过植树造林，使实施区域受到破坏的生态环境得以修复和延续发展，对于动植物繁衍声息、生物多样性维护具有重要意义。同时，项目通过提升城镇周边绿化水平，能够改善百姓生活环境，并逐步改变百姓生活方式，传播绿色发展理念，使越来越多的人口意识到生态保护的重要性，从而维系自然修复和城镇建设成果，促进人与自然和谐共生。</w:t>
      </w:r>
    </w:p>
    <w:p>
      <w:pPr>
        <w:pStyle w:val="28"/>
        <w:rPr>
          <w:szCs w:val="32"/>
        </w:rPr>
      </w:pPr>
      <w:bookmarkStart w:id="92" w:name="_Toc65078834"/>
      <w:bookmarkStart w:id="93" w:name="_Toc91632836"/>
      <w:r>
        <w:rPr>
          <w:rFonts w:hint="eastAsia"/>
          <w:szCs w:val="32"/>
        </w:rPr>
        <w:t>（二）存在的问题</w:t>
      </w:r>
      <w:bookmarkEnd w:id="92"/>
      <w:r>
        <w:rPr>
          <w:rFonts w:hint="eastAsia"/>
          <w:szCs w:val="32"/>
        </w:rPr>
        <w:t>及原因分析</w:t>
      </w:r>
      <w:bookmarkEnd w:id="93"/>
    </w:p>
    <w:p>
      <w:pPr>
        <w:pStyle w:val="53"/>
        <w:ind w:firstLine="602"/>
        <w:rPr>
          <w:rFonts w:ascii="仿宋" w:hAnsi="仿宋"/>
          <w:sz w:val="30"/>
          <w:szCs w:val="30"/>
        </w:rPr>
      </w:pPr>
      <w:r>
        <w:rPr>
          <w:rFonts w:hint="eastAsia" w:ascii="仿宋" w:hAnsi="仿宋"/>
          <w:sz w:val="30"/>
          <w:szCs w:val="30"/>
        </w:rPr>
        <w:t>1</w:t>
      </w:r>
      <w:r>
        <w:rPr>
          <w:rFonts w:ascii="仿宋" w:hAnsi="仿宋"/>
          <w:sz w:val="30"/>
          <w:szCs w:val="30"/>
        </w:rPr>
        <w:t>.</w:t>
      </w:r>
      <w:r>
        <w:rPr>
          <w:rFonts w:hint="eastAsia" w:ascii="仿宋" w:hAnsi="仿宋"/>
          <w:sz w:val="30"/>
          <w:szCs w:val="30"/>
        </w:rPr>
        <w:t>绩效管理工作有待加强</w:t>
      </w:r>
    </w:p>
    <w:p>
      <w:pPr>
        <w:pStyle w:val="32"/>
        <w:ind w:firstLine="600"/>
        <w:rPr>
          <w:rFonts w:ascii="仿宋" w:hAnsi="仿宋"/>
          <w:color w:val="333333"/>
          <w:sz w:val="30"/>
          <w:szCs w:val="30"/>
        </w:rPr>
      </w:pPr>
      <w:r>
        <w:rPr>
          <w:rFonts w:hint="eastAsia" w:ascii="仿宋" w:hAnsi="仿宋"/>
          <w:sz w:val="30"/>
          <w:szCs w:val="30"/>
          <w:lang w:bidi="zh-CN"/>
        </w:rPr>
        <w:t>项目绩效目标是全面推进预算绩效管理的重要内容，是衡量项目完成情况的重要标准，良好的项目绩效目标，可以有效的推进项目开展和落实。但津南区农业农村委并未根据项目计划及时</w:t>
      </w:r>
      <w:r>
        <w:rPr>
          <w:rFonts w:ascii="仿宋" w:hAnsi="仿宋"/>
          <w:sz w:val="30"/>
          <w:szCs w:val="30"/>
          <w:lang w:bidi="zh-CN"/>
        </w:rPr>
        <w:t>开展绩效目标表填报工作，从而导致</w:t>
      </w:r>
      <w:r>
        <w:rPr>
          <w:rFonts w:hint="eastAsia" w:ascii="仿宋" w:hAnsi="仿宋"/>
          <w:sz w:val="30"/>
          <w:szCs w:val="30"/>
          <w:lang w:bidi="zh-CN"/>
        </w:rPr>
        <w:t>该项目</w:t>
      </w:r>
      <w:r>
        <w:rPr>
          <w:rFonts w:ascii="仿宋" w:hAnsi="仿宋"/>
          <w:sz w:val="30"/>
          <w:szCs w:val="30"/>
          <w:lang w:bidi="zh-CN"/>
        </w:rPr>
        <w:t>绩效</w:t>
      </w:r>
      <w:r>
        <w:rPr>
          <w:rFonts w:hint="eastAsia" w:ascii="仿宋" w:hAnsi="仿宋"/>
          <w:sz w:val="30"/>
          <w:szCs w:val="30"/>
          <w:lang w:bidi="zh-CN"/>
        </w:rPr>
        <w:t>运行监控及</w:t>
      </w:r>
      <w:r>
        <w:rPr>
          <w:rFonts w:ascii="仿宋" w:hAnsi="仿宋"/>
          <w:sz w:val="30"/>
          <w:szCs w:val="30"/>
          <w:lang w:bidi="zh-CN"/>
        </w:rPr>
        <w:t>自评工作无法进行</w:t>
      </w:r>
      <w:r>
        <w:rPr>
          <w:rFonts w:hint="eastAsia" w:ascii="仿宋" w:hAnsi="仿宋"/>
          <w:color w:val="333333"/>
          <w:sz w:val="30"/>
          <w:szCs w:val="30"/>
        </w:rPr>
        <w:t>。</w:t>
      </w:r>
    </w:p>
    <w:p>
      <w:pPr>
        <w:pStyle w:val="32"/>
        <w:ind w:firstLine="602"/>
        <w:rPr>
          <w:rFonts w:ascii="仿宋" w:hAnsi="仿宋"/>
          <w:b/>
          <w:sz w:val="30"/>
          <w:szCs w:val="30"/>
        </w:rPr>
      </w:pPr>
      <w:r>
        <w:rPr>
          <w:rFonts w:hint="eastAsia" w:ascii="仿宋" w:hAnsi="仿宋"/>
          <w:b/>
          <w:sz w:val="30"/>
          <w:szCs w:val="30"/>
        </w:rPr>
        <w:t>2.施工过程监管力度有待提高</w:t>
      </w:r>
    </w:p>
    <w:p>
      <w:pPr>
        <w:pStyle w:val="32"/>
        <w:ind w:firstLine="600"/>
        <w:rPr>
          <w:rFonts w:ascii="仿宋" w:hAnsi="仿宋"/>
          <w:sz w:val="30"/>
          <w:szCs w:val="30"/>
        </w:rPr>
      </w:pPr>
      <w:r>
        <w:rPr>
          <w:rFonts w:hint="eastAsia" w:ascii="仿宋" w:hAnsi="仿宋"/>
          <w:sz w:val="30"/>
          <w:szCs w:val="30"/>
        </w:rPr>
        <w:t>项目建设工期为15个月，施工周期较较长且施工区域面积较大。在施工过程中对居民生活有一定影响，特别是夜间施工，存在扰民的情况。高峰时段施工时易造成交通拥堵，施工过程中存在扬尘等环境污染的情况。</w:t>
      </w:r>
    </w:p>
    <w:p>
      <w:pPr>
        <w:pStyle w:val="30"/>
      </w:pPr>
      <w:bookmarkStart w:id="94" w:name="_Toc65078836"/>
      <w:bookmarkStart w:id="95" w:name="_Toc91632837"/>
      <w:r>
        <w:rPr>
          <w:rFonts w:hint="eastAsia"/>
        </w:rPr>
        <w:t>六、有关建议</w:t>
      </w:r>
      <w:bookmarkEnd w:id="94"/>
      <w:bookmarkEnd w:id="95"/>
    </w:p>
    <w:p>
      <w:pPr>
        <w:pStyle w:val="53"/>
        <w:ind w:firstLine="602"/>
        <w:rPr>
          <w:rFonts w:ascii="仿宋" w:hAnsi="仿宋"/>
          <w:sz w:val="30"/>
          <w:szCs w:val="30"/>
        </w:rPr>
      </w:pPr>
      <w:r>
        <w:rPr>
          <w:rFonts w:hint="eastAsia" w:ascii="仿宋" w:hAnsi="仿宋"/>
          <w:sz w:val="30"/>
          <w:szCs w:val="30"/>
        </w:rPr>
        <w:t>（一）加强项目绩效工作管理</w:t>
      </w:r>
    </w:p>
    <w:p>
      <w:pPr>
        <w:pStyle w:val="53"/>
        <w:ind w:firstLine="600"/>
        <w:rPr>
          <w:rFonts w:ascii="仿宋" w:hAnsi="仿宋"/>
          <w:b w:val="0"/>
          <w:sz w:val="30"/>
          <w:szCs w:val="30"/>
        </w:rPr>
      </w:pPr>
      <w:r>
        <w:rPr>
          <w:rFonts w:hint="eastAsia" w:ascii="仿宋" w:hAnsi="仿宋"/>
          <w:b w:val="0"/>
          <w:sz w:val="30"/>
          <w:szCs w:val="30"/>
        </w:rPr>
        <w:t>依据《中共中央国务院关于全面实施预算绩效管理的意见》（中发〔2018〕34 号）、《项目支出绩效评价管理办法》（财预〔2020〕10 号）和天津市财政局关于印发《天津市市级财政项目支出绩效评价管理办法》的通知（〔2020〕12号）等文件的相关要求，项目支出绩效目标是预算安排的前置条件，是预算绩效管理的主要依据之一。单位作为绩效目标编制和实施的责任主体，要提高绩效目标编制的规范性、完整性与预算资金的匹配性，在申请年度部门预算时，同步编制《项目支出预算绩效目标申报表》。项目支出绩效目标应填写完整，清晰反映部门使用财政资金开展项目的预期产出和效果，并以相应的绩效指标和标准予以细化、量化。</w:t>
      </w:r>
    </w:p>
    <w:p>
      <w:pPr>
        <w:pStyle w:val="53"/>
        <w:ind w:firstLine="600"/>
        <w:rPr>
          <w:rFonts w:ascii="仿宋" w:hAnsi="仿宋"/>
          <w:b w:val="0"/>
          <w:sz w:val="30"/>
          <w:szCs w:val="30"/>
        </w:rPr>
      </w:pPr>
      <w:r>
        <w:rPr>
          <w:rFonts w:hint="eastAsia" w:ascii="仿宋" w:hAnsi="仿宋"/>
          <w:b w:val="0"/>
          <w:sz w:val="30"/>
          <w:szCs w:val="30"/>
        </w:rPr>
        <w:t>津南区农业农村委员会应定期展开绩效管理工作培训，深化理解绩效管理工作必要性，贯彻落实财政绩效管理工作，规范绩效填报工作。绩效目标是对单位利用预算资金在本项目预期达到的产出和效果的具体描述，目标内容要能清晰反映预算资金预期开展的具体工作和预期产生的效益结果，文字尽量简明扼要，能反映该项工作的基本内容，绩效指标数量做到与绩效目标项对应，从而全面有效的反映项目的开展情况，全面有效的项目支出绩效指标也是开展运行监控、自评的重要工具，其自评的结果更是单位领导及财政局预算管理部门对于绩效结果应用的重要抓手。我们也建议津南区财政局，应加强项目支出绩效目标的申报与审核，建立健全相应的管理办法及制度文件，严格要求各预算单位认真开展和落实绩效目标申报工作，明确预算绩效主体，落实预算绩效内容。</w:t>
      </w:r>
    </w:p>
    <w:p>
      <w:pPr>
        <w:pStyle w:val="53"/>
        <w:numPr>
          <w:ilvl w:val="0"/>
          <w:numId w:val="2"/>
        </w:numPr>
        <w:ind w:firstLine="602"/>
        <w:rPr>
          <w:rFonts w:ascii="仿宋" w:hAnsi="仿宋"/>
          <w:sz w:val="30"/>
          <w:szCs w:val="30"/>
        </w:rPr>
      </w:pPr>
      <w:r>
        <w:rPr>
          <w:rFonts w:hint="eastAsia" w:ascii="仿宋" w:hAnsi="仿宋"/>
          <w:sz w:val="30"/>
          <w:szCs w:val="30"/>
        </w:rPr>
        <w:t>提高施工监管力度</w:t>
      </w:r>
    </w:p>
    <w:p>
      <w:pPr>
        <w:pStyle w:val="53"/>
        <w:ind w:firstLine="600"/>
        <w:rPr>
          <w:rFonts w:ascii="仿宋" w:hAnsi="仿宋"/>
          <w:b w:val="0"/>
          <w:sz w:val="30"/>
          <w:szCs w:val="30"/>
        </w:rPr>
      </w:pPr>
      <w:r>
        <w:rPr>
          <w:rFonts w:hint="eastAsia" w:ascii="仿宋" w:hAnsi="仿宋"/>
          <w:b w:val="0"/>
          <w:sz w:val="30"/>
          <w:szCs w:val="30"/>
        </w:rPr>
        <w:t>对于施工周期较长、涉及区域面积较大的项目，在施工过程中，建设单位应合理安排施工计划，充分考虑项目建设期间可能会与当地百姓有接触。尽量减少夜间施工，合理安排运输时间，避免高峰时段占道堵塞交通，加强对施工人员的管理，避免与当地百姓发生矛盾或对当地百姓造成滋扰。同时做好项目文明施工，保持施工场地整洁、卫生。不仅要着重做好现场的场容管理工作，而且还要相应做好现场材料、设备、安全、技术、保卫、消防和生活卫生等方面的管理工作。</w:t>
      </w:r>
    </w:p>
    <w:p>
      <w:pPr>
        <w:pStyle w:val="30"/>
      </w:pPr>
      <w:bookmarkStart w:id="96" w:name="_Toc65078837"/>
      <w:bookmarkStart w:id="97" w:name="_Toc91632838"/>
      <w:r>
        <w:rPr>
          <w:rFonts w:hint="eastAsia"/>
        </w:rPr>
        <w:t>七、其他需要说明的问题</w:t>
      </w:r>
      <w:bookmarkEnd w:id="96"/>
      <w:bookmarkEnd w:id="97"/>
    </w:p>
    <w:p>
      <w:pPr>
        <w:pStyle w:val="46"/>
        <w:spacing w:line="480" w:lineRule="exact"/>
        <w:ind w:firstLine="640"/>
        <w:rPr>
          <w:rFonts w:ascii="仿宋" w:hAnsi="仿宋" w:eastAsia="仿宋"/>
          <w:sz w:val="32"/>
        </w:rPr>
      </w:pPr>
      <w:r>
        <w:rPr>
          <w:rFonts w:hint="eastAsia" w:ascii="仿宋" w:hAnsi="仿宋" w:eastAsia="仿宋"/>
          <w:sz w:val="32"/>
        </w:rPr>
        <w:t>无。</w:t>
      </w:r>
    </w:p>
    <w:p>
      <w:pPr>
        <w:ind w:firstLine="480"/>
        <w:rPr>
          <w:rFonts w:ascii="仿宋" w:hAnsi="仿宋"/>
        </w:rPr>
        <w:sectPr>
          <w:headerReference r:id="rId16" w:type="first"/>
          <w:footerReference r:id="rId18" w:type="first"/>
          <w:headerReference r:id="rId14" w:type="default"/>
          <w:headerReference r:id="rId15" w:type="even"/>
          <w:footerReference r:id="rId17" w:type="even"/>
          <w:pgSz w:w="11906" w:h="16838"/>
          <w:pgMar w:top="1440" w:right="1800" w:bottom="1440" w:left="1800" w:header="851" w:footer="992" w:gutter="0"/>
          <w:pgNumType w:fmt="decimal"/>
          <w:cols w:space="425" w:num="1"/>
          <w:docGrid w:type="lines" w:linePitch="312" w:charSpace="0"/>
        </w:sectPr>
      </w:pPr>
    </w:p>
    <w:p>
      <w:pPr>
        <w:pStyle w:val="30"/>
      </w:pPr>
      <w:bookmarkStart w:id="98" w:name="_Toc91632839"/>
      <w:r>
        <w:rPr>
          <w:rFonts w:hint="eastAsia"/>
        </w:rPr>
        <w:t>八、评价指标体系</w:t>
      </w:r>
      <w:bookmarkEnd w:id="98"/>
    </w:p>
    <w:p>
      <w:pPr>
        <w:spacing w:line="480" w:lineRule="exact"/>
        <w:ind w:firstLine="640"/>
        <w:rPr>
          <w:rFonts w:ascii="仿宋" w:hAnsi="仿宋"/>
          <w:sz w:val="32"/>
          <w:szCs w:val="32"/>
        </w:rPr>
      </w:pPr>
      <w:r>
        <w:rPr>
          <w:rFonts w:hint="eastAsia" w:ascii="仿宋" w:hAnsi="仿宋"/>
          <w:sz w:val="32"/>
          <w:szCs w:val="32"/>
        </w:rPr>
        <w:t>附件：天津市津南区农业农村委员会2019年度造林绿化资金项目绩效评价指标体系</w:t>
      </w:r>
    </w:p>
    <w:p>
      <w:pPr>
        <w:spacing w:line="480" w:lineRule="exact"/>
        <w:ind w:firstLine="640"/>
        <w:rPr>
          <w:rFonts w:ascii="仿宋" w:hAnsi="仿宋"/>
          <w:sz w:val="32"/>
          <w:szCs w:val="32"/>
        </w:rPr>
      </w:pPr>
    </w:p>
    <w:sectPr>
      <w:pgSz w:w="11906" w:h="16838"/>
      <w:pgMar w:top="1440" w:right="1800" w:bottom="1440" w:left="1800" w:header="851" w:footer="992" w:gutter="0"/>
      <w:pgNumType w:fmt="decimal"/>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center"/>
    </w:pPr>
  </w:p>
  <w:p>
    <w:pPr>
      <w:pStyle w:val="13"/>
      <w:ind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80" w:firstLine="0" w:firstLineChars="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7C7359"/>
    <w:multiLevelType w:val="singleLevel"/>
    <w:tmpl w:val="A07C7359"/>
    <w:lvl w:ilvl="0" w:tentative="0">
      <w:start w:val="3"/>
      <w:numFmt w:val="chineseCounting"/>
      <w:suff w:val="nothing"/>
      <w:lvlText w:val="%1、"/>
      <w:lvlJc w:val="left"/>
      <w:rPr>
        <w:rFonts w:hint="eastAsia"/>
      </w:rPr>
    </w:lvl>
  </w:abstractNum>
  <w:abstractNum w:abstractNumId="1">
    <w:nsid w:val="3CA562F3"/>
    <w:multiLevelType w:val="singleLevel"/>
    <w:tmpl w:val="3CA562F3"/>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120"/>
  <w:drawingGridVerticalSpacing w:val="16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B94"/>
    <w:rsid w:val="000035F0"/>
    <w:rsid w:val="00006A46"/>
    <w:rsid w:val="0001033E"/>
    <w:rsid w:val="00010A24"/>
    <w:rsid w:val="000118C0"/>
    <w:rsid w:val="00012963"/>
    <w:rsid w:val="00014B3C"/>
    <w:rsid w:val="00015182"/>
    <w:rsid w:val="0001743C"/>
    <w:rsid w:val="00021F0A"/>
    <w:rsid w:val="00023867"/>
    <w:rsid w:val="00025103"/>
    <w:rsid w:val="00031BC7"/>
    <w:rsid w:val="00032165"/>
    <w:rsid w:val="00032BF3"/>
    <w:rsid w:val="00032F39"/>
    <w:rsid w:val="000345EA"/>
    <w:rsid w:val="00036186"/>
    <w:rsid w:val="00042098"/>
    <w:rsid w:val="00042145"/>
    <w:rsid w:val="00047BE2"/>
    <w:rsid w:val="00060219"/>
    <w:rsid w:val="00071C74"/>
    <w:rsid w:val="00072830"/>
    <w:rsid w:val="00077352"/>
    <w:rsid w:val="00077F08"/>
    <w:rsid w:val="00097E67"/>
    <w:rsid w:val="000A0945"/>
    <w:rsid w:val="000A6154"/>
    <w:rsid w:val="000A6288"/>
    <w:rsid w:val="000A77A8"/>
    <w:rsid w:val="000B0B41"/>
    <w:rsid w:val="000B270A"/>
    <w:rsid w:val="000B5052"/>
    <w:rsid w:val="000B786B"/>
    <w:rsid w:val="000B7E65"/>
    <w:rsid w:val="000C105C"/>
    <w:rsid w:val="000C3698"/>
    <w:rsid w:val="000C41AF"/>
    <w:rsid w:val="000D122D"/>
    <w:rsid w:val="000D308C"/>
    <w:rsid w:val="000D4F3F"/>
    <w:rsid w:val="000D5BD7"/>
    <w:rsid w:val="000E047F"/>
    <w:rsid w:val="000E4C8E"/>
    <w:rsid w:val="000E524B"/>
    <w:rsid w:val="000E7D95"/>
    <w:rsid w:val="000F363D"/>
    <w:rsid w:val="000F6ABF"/>
    <w:rsid w:val="001004AD"/>
    <w:rsid w:val="001013AB"/>
    <w:rsid w:val="00101F16"/>
    <w:rsid w:val="00102C68"/>
    <w:rsid w:val="0010344C"/>
    <w:rsid w:val="001059C9"/>
    <w:rsid w:val="00111CBA"/>
    <w:rsid w:val="00113CB6"/>
    <w:rsid w:val="001144C6"/>
    <w:rsid w:val="00114AB9"/>
    <w:rsid w:val="0012504F"/>
    <w:rsid w:val="00125733"/>
    <w:rsid w:val="00126DE7"/>
    <w:rsid w:val="00143245"/>
    <w:rsid w:val="00147944"/>
    <w:rsid w:val="00147B10"/>
    <w:rsid w:val="0015312B"/>
    <w:rsid w:val="00154BBA"/>
    <w:rsid w:val="00155C82"/>
    <w:rsid w:val="00163C93"/>
    <w:rsid w:val="0016452D"/>
    <w:rsid w:val="00166B5F"/>
    <w:rsid w:val="001678E8"/>
    <w:rsid w:val="00177410"/>
    <w:rsid w:val="0017788D"/>
    <w:rsid w:val="001818ED"/>
    <w:rsid w:val="00183EAD"/>
    <w:rsid w:val="0018536F"/>
    <w:rsid w:val="0018674C"/>
    <w:rsid w:val="00187379"/>
    <w:rsid w:val="001917F9"/>
    <w:rsid w:val="001925AF"/>
    <w:rsid w:val="00192793"/>
    <w:rsid w:val="00194FE8"/>
    <w:rsid w:val="001A25A3"/>
    <w:rsid w:val="001A7F90"/>
    <w:rsid w:val="001C0DDA"/>
    <w:rsid w:val="001C2D6F"/>
    <w:rsid w:val="001C3E3F"/>
    <w:rsid w:val="001C51E8"/>
    <w:rsid w:val="001D08B5"/>
    <w:rsid w:val="001D20CD"/>
    <w:rsid w:val="001D3885"/>
    <w:rsid w:val="001D453F"/>
    <w:rsid w:val="001D4676"/>
    <w:rsid w:val="001D53D2"/>
    <w:rsid w:val="001D7732"/>
    <w:rsid w:val="001E24C0"/>
    <w:rsid w:val="001E335B"/>
    <w:rsid w:val="001E618E"/>
    <w:rsid w:val="001F0C94"/>
    <w:rsid w:val="001F57B0"/>
    <w:rsid w:val="0020188E"/>
    <w:rsid w:val="00201BC0"/>
    <w:rsid w:val="00202896"/>
    <w:rsid w:val="00203DFB"/>
    <w:rsid w:val="00204F49"/>
    <w:rsid w:val="0020505D"/>
    <w:rsid w:val="00211FA8"/>
    <w:rsid w:val="0021229D"/>
    <w:rsid w:val="0021371F"/>
    <w:rsid w:val="00213A18"/>
    <w:rsid w:val="00213A23"/>
    <w:rsid w:val="0021584B"/>
    <w:rsid w:val="0021631A"/>
    <w:rsid w:val="00216FA1"/>
    <w:rsid w:val="00221428"/>
    <w:rsid w:val="00222598"/>
    <w:rsid w:val="00224A18"/>
    <w:rsid w:val="00224D00"/>
    <w:rsid w:val="00226351"/>
    <w:rsid w:val="002277CE"/>
    <w:rsid w:val="00230DB3"/>
    <w:rsid w:val="00232794"/>
    <w:rsid w:val="00233617"/>
    <w:rsid w:val="00233A15"/>
    <w:rsid w:val="0023473B"/>
    <w:rsid w:val="00244730"/>
    <w:rsid w:val="0024489E"/>
    <w:rsid w:val="00245D72"/>
    <w:rsid w:val="0024672F"/>
    <w:rsid w:val="0025214F"/>
    <w:rsid w:val="0026370E"/>
    <w:rsid w:val="00265A7D"/>
    <w:rsid w:val="002678A4"/>
    <w:rsid w:val="00271BC0"/>
    <w:rsid w:val="002757A7"/>
    <w:rsid w:val="00280B06"/>
    <w:rsid w:val="002872BF"/>
    <w:rsid w:val="002A0B92"/>
    <w:rsid w:val="002A0BD5"/>
    <w:rsid w:val="002A3043"/>
    <w:rsid w:val="002A51B1"/>
    <w:rsid w:val="002A5ED1"/>
    <w:rsid w:val="002A7EBB"/>
    <w:rsid w:val="002B2705"/>
    <w:rsid w:val="002C6E59"/>
    <w:rsid w:val="002C704C"/>
    <w:rsid w:val="002D4256"/>
    <w:rsid w:val="002D572D"/>
    <w:rsid w:val="002D584C"/>
    <w:rsid w:val="002E1BCB"/>
    <w:rsid w:val="002F211C"/>
    <w:rsid w:val="002F7D41"/>
    <w:rsid w:val="00303DEA"/>
    <w:rsid w:val="003064BE"/>
    <w:rsid w:val="00306EA6"/>
    <w:rsid w:val="00310915"/>
    <w:rsid w:val="00311045"/>
    <w:rsid w:val="003112A4"/>
    <w:rsid w:val="00311C67"/>
    <w:rsid w:val="00316D96"/>
    <w:rsid w:val="00323E58"/>
    <w:rsid w:val="0033187D"/>
    <w:rsid w:val="0033612C"/>
    <w:rsid w:val="00337FD3"/>
    <w:rsid w:val="003435CB"/>
    <w:rsid w:val="00344728"/>
    <w:rsid w:val="003453F9"/>
    <w:rsid w:val="003523EC"/>
    <w:rsid w:val="0035773E"/>
    <w:rsid w:val="003618F0"/>
    <w:rsid w:val="00364790"/>
    <w:rsid w:val="0036689B"/>
    <w:rsid w:val="00370497"/>
    <w:rsid w:val="00371B6E"/>
    <w:rsid w:val="003764DD"/>
    <w:rsid w:val="00376EA3"/>
    <w:rsid w:val="00380E46"/>
    <w:rsid w:val="00383AC4"/>
    <w:rsid w:val="0038479D"/>
    <w:rsid w:val="0038539E"/>
    <w:rsid w:val="00385EEF"/>
    <w:rsid w:val="00390006"/>
    <w:rsid w:val="00390967"/>
    <w:rsid w:val="00391CCA"/>
    <w:rsid w:val="00395ABD"/>
    <w:rsid w:val="00395AD0"/>
    <w:rsid w:val="003A748B"/>
    <w:rsid w:val="003A7DEB"/>
    <w:rsid w:val="003B0D7B"/>
    <w:rsid w:val="003B2926"/>
    <w:rsid w:val="003B42A0"/>
    <w:rsid w:val="003B5334"/>
    <w:rsid w:val="003B7A97"/>
    <w:rsid w:val="003D1E4A"/>
    <w:rsid w:val="003D3710"/>
    <w:rsid w:val="003D449F"/>
    <w:rsid w:val="003D4E34"/>
    <w:rsid w:val="003E1E96"/>
    <w:rsid w:val="003E2579"/>
    <w:rsid w:val="003E6DA5"/>
    <w:rsid w:val="003E72B1"/>
    <w:rsid w:val="003F25D1"/>
    <w:rsid w:val="00401F62"/>
    <w:rsid w:val="00403C87"/>
    <w:rsid w:val="004041E2"/>
    <w:rsid w:val="00404D61"/>
    <w:rsid w:val="00407B65"/>
    <w:rsid w:val="00412B1D"/>
    <w:rsid w:val="00420B9A"/>
    <w:rsid w:val="0042351D"/>
    <w:rsid w:val="00423787"/>
    <w:rsid w:val="00423DCD"/>
    <w:rsid w:val="00425DD2"/>
    <w:rsid w:val="00426068"/>
    <w:rsid w:val="00427A28"/>
    <w:rsid w:val="004302C6"/>
    <w:rsid w:val="00436F48"/>
    <w:rsid w:val="00441480"/>
    <w:rsid w:val="004459DE"/>
    <w:rsid w:val="0045085F"/>
    <w:rsid w:val="00457501"/>
    <w:rsid w:val="004708D6"/>
    <w:rsid w:val="00476750"/>
    <w:rsid w:val="004814C1"/>
    <w:rsid w:val="00482DA4"/>
    <w:rsid w:val="004A1C00"/>
    <w:rsid w:val="004A2D13"/>
    <w:rsid w:val="004A6457"/>
    <w:rsid w:val="004A771A"/>
    <w:rsid w:val="004A7B8B"/>
    <w:rsid w:val="004B0170"/>
    <w:rsid w:val="004B0278"/>
    <w:rsid w:val="004B0B86"/>
    <w:rsid w:val="004B38B8"/>
    <w:rsid w:val="004B4F2A"/>
    <w:rsid w:val="004C51EA"/>
    <w:rsid w:val="004C7A09"/>
    <w:rsid w:val="004D0C03"/>
    <w:rsid w:val="004D238C"/>
    <w:rsid w:val="004D27EE"/>
    <w:rsid w:val="004D3527"/>
    <w:rsid w:val="004E08AA"/>
    <w:rsid w:val="004E19EB"/>
    <w:rsid w:val="004E211D"/>
    <w:rsid w:val="004E2949"/>
    <w:rsid w:val="004E391C"/>
    <w:rsid w:val="004E3DE6"/>
    <w:rsid w:val="004E6EDC"/>
    <w:rsid w:val="004E76D0"/>
    <w:rsid w:val="004E7C6A"/>
    <w:rsid w:val="004E7D53"/>
    <w:rsid w:val="004F4475"/>
    <w:rsid w:val="004F63D7"/>
    <w:rsid w:val="004F6AF9"/>
    <w:rsid w:val="005022D9"/>
    <w:rsid w:val="005112E3"/>
    <w:rsid w:val="005115E9"/>
    <w:rsid w:val="005120CD"/>
    <w:rsid w:val="00514BD7"/>
    <w:rsid w:val="00517F69"/>
    <w:rsid w:val="00520D57"/>
    <w:rsid w:val="0052134F"/>
    <w:rsid w:val="00521F1A"/>
    <w:rsid w:val="00530DC4"/>
    <w:rsid w:val="005321E9"/>
    <w:rsid w:val="00537395"/>
    <w:rsid w:val="0055150F"/>
    <w:rsid w:val="00557E80"/>
    <w:rsid w:val="00562C29"/>
    <w:rsid w:val="00564388"/>
    <w:rsid w:val="00566196"/>
    <w:rsid w:val="005715EC"/>
    <w:rsid w:val="00573E7F"/>
    <w:rsid w:val="00573F8F"/>
    <w:rsid w:val="005770D8"/>
    <w:rsid w:val="00581DFC"/>
    <w:rsid w:val="00582268"/>
    <w:rsid w:val="0058414F"/>
    <w:rsid w:val="0058532A"/>
    <w:rsid w:val="00585F82"/>
    <w:rsid w:val="00586C2E"/>
    <w:rsid w:val="00592439"/>
    <w:rsid w:val="005A160A"/>
    <w:rsid w:val="005A23F8"/>
    <w:rsid w:val="005A5A58"/>
    <w:rsid w:val="005A69D0"/>
    <w:rsid w:val="005B439D"/>
    <w:rsid w:val="005B5A2F"/>
    <w:rsid w:val="005C0281"/>
    <w:rsid w:val="005C2835"/>
    <w:rsid w:val="005C449F"/>
    <w:rsid w:val="005C56C2"/>
    <w:rsid w:val="005C6FED"/>
    <w:rsid w:val="005D2419"/>
    <w:rsid w:val="005D25FB"/>
    <w:rsid w:val="005D7BAD"/>
    <w:rsid w:val="005E0EBA"/>
    <w:rsid w:val="005E721F"/>
    <w:rsid w:val="005E7E70"/>
    <w:rsid w:val="005F6716"/>
    <w:rsid w:val="0060348A"/>
    <w:rsid w:val="00603B50"/>
    <w:rsid w:val="00604797"/>
    <w:rsid w:val="00605FE1"/>
    <w:rsid w:val="006062E8"/>
    <w:rsid w:val="006073EB"/>
    <w:rsid w:val="00610DB5"/>
    <w:rsid w:val="00611B87"/>
    <w:rsid w:val="00612462"/>
    <w:rsid w:val="00612EA4"/>
    <w:rsid w:val="00613F2A"/>
    <w:rsid w:val="006176CA"/>
    <w:rsid w:val="00617747"/>
    <w:rsid w:val="00621FC7"/>
    <w:rsid w:val="006233DC"/>
    <w:rsid w:val="00624DE7"/>
    <w:rsid w:val="00636C26"/>
    <w:rsid w:val="0063731D"/>
    <w:rsid w:val="006440F9"/>
    <w:rsid w:val="00646C91"/>
    <w:rsid w:val="0064787C"/>
    <w:rsid w:val="0065068C"/>
    <w:rsid w:val="00652781"/>
    <w:rsid w:val="00662092"/>
    <w:rsid w:val="0066678F"/>
    <w:rsid w:val="00667346"/>
    <w:rsid w:val="00667C6B"/>
    <w:rsid w:val="00672B26"/>
    <w:rsid w:val="006743C3"/>
    <w:rsid w:val="00674FF2"/>
    <w:rsid w:val="006778A6"/>
    <w:rsid w:val="006865D5"/>
    <w:rsid w:val="00687F20"/>
    <w:rsid w:val="00691E4A"/>
    <w:rsid w:val="00693B00"/>
    <w:rsid w:val="00694024"/>
    <w:rsid w:val="006965C5"/>
    <w:rsid w:val="00696DED"/>
    <w:rsid w:val="006A477B"/>
    <w:rsid w:val="006A5C38"/>
    <w:rsid w:val="006A6A85"/>
    <w:rsid w:val="006A6BEF"/>
    <w:rsid w:val="006B227D"/>
    <w:rsid w:val="006B23E9"/>
    <w:rsid w:val="006B6132"/>
    <w:rsid w:val="006C05AF"/>
    <w:rsid w:val="006C34DE"/>
    <w:rsid w:val="006C5C4C"/>
    <w:rsid w:val="006D5A53"/>
    <w:rsid w:val="006D61F7"/>
    <w:rsid w:val="006E31AB"/>
    <w:rsid w:val="006E3BB3"/>
    <w:rsid w:val="006E7C19"/>
    <w:rsid w:val="0070024A"/>
    <w:rsid w:val="00704C65"/>
    <w:rsid w:val="00707539"/>
    <w:rsid w:val="00707940"/>
    <w:rsid w:val="0071249E"/>
    <w:rsid w:val="00714A39"/>
    <w:rsid w:val="00722B4B"/>
    <w:rsid w:val="00726D37"/>
    <w:rsid w:val="00732926"/>
    <w:rsid w:val="0074652C"/>
    <w:rsid w:val="0074712E"/>
    <w:rsid w:val="00747BA5"/>
    <w:rsid w:val="007560F1"/>
    <w:rsid w:val="00761A27"/>
    <w:rsid w:val="0076542E"/>
    <w:rsid w:val="0077006E"/>
    <w:rsid w:val="0077187A"/>
    <w:rsid w:val="00771ADB"/>
    <w:rsid w:val="00775452"/>
    <w:rsid w:val="0078264E"/>
    <w:rsid w:val="00793C27"/>
    <w:rsid w:val="007A2B74"/>
    <w:rsid w:val="007A2F1E"/>
    <w:rsid w:val="007A4F0D"/>
    <w:rsid w:val="007A6172"/>
    <w:rsid w:val="007A74D9"/>
    <w:rsid w:val="007B03CB"/>
    <w:rsid w:val="007B5667"/>
    <w:rsid w:val="007B6442"/>
    <w:rsid w:val="007C091C"/>
    <w:rsid w:val="007C16FF"/>
    <w:rsid w:val="007C3039"/>
    <w:rsid w:val="007D0B9A"/>
    <w:rsid w:val="007D7A07"/>
    <w:rsid w:val="007E32E2"/>
    <w:rsid w:val="007E36C5"/>
    <w:rsid w:val="007E61F5"/>
    <w:rsid w:val="007E6E87"/>
    <w:rsid w:val="007F177C"/>
    <w:rsid w:val="007F26BE"/>
    <w:rsid w:val="007F7B9F"/>
    <w:rsid w:val="008023DB"/>
    <w:rsid w:val="00802B49"/>
    <w:rsid w:val="00805816"/>
    <w:rsid w:val="00812A44"/>
    <w:rsid w:val="0081711C"/>
    <w:rsid w:val="008178EE"/>
    <w:rsid w:val="00823BAB"/>
    <w:rsid w:val="00824902"/>
    <w:rsid w:val="008331EE"/>
    <w:rsid w:val="0083580D"/>
    <w:rsid w:val="00837BBE"/>
    <w:rsid w:val="00840466"/>
    <w:rsid w:val="00844366"/>
    <w:rsid w:val="008443F7"/>
    <w:rsid w:val="00846D31"/>
    <w:rsid w:val="00860006"/>
    <w:rsid w:val="00863CE3"/>
    <w:rsid w:val="00865CD2"/>
    <w:rsid w:val="0086771D"/>
    <w:rsid w:val="00876749"/>
    <w:rsid w:val="00876B94"/>
    <w:rsid w:val="00877A9D"/>
    <w:rsid w:val="00877B12"/>
    <w:rsid w:val="0088232A"/>
    <w:rsid w:val="00883E69"/>
    <w:rsid w:val="008864E9"/>
    <w:rsid w:val="00891760"/>
    <w:rsid w:val="008918E9"/>
    <w:rsid w:val="00893E15"/>
    <w:rsid w:val="00894919"/>
    <w:rsid w:val="0089732B"/>
    <w:rsid w:val="008A0FD1"/>
    <w:rsid w:val="008A3DC3"/>
    <w:rsid w:val="008A41F4"/>
    <w:rsid w:val="008B10F5"/>
    <w:rsid w:val="008B4CB0"/>
    <w:rsid w:val="008C30E0"/>
    <w:rsid w:val="008C3767"/>
    <w:rsid w:val="008C45CA"/>
    <w:rsid w:val="008C5013"/>
    <w:rsid w:val="008C7912"/>
    <w:rsid w:val="008D0AC9"/>
    <w:rsid w:val="008D1D0F"/>
    <w:rsid w:val="008D4F4A"/>
    <w:rsid w:val="008D705F"/>
    <w:rsid w:val="008E607B"/>
    <w:rsid w:val="008E68CC"/>
    <w:rsid w:val="008F09E3"/>
    <w:rsid w:val="008F3297"/>
    <w:rsid w:val="008F4E77"/>
    <w:rsid w:val="008F777A"/>
    <w:rsid w:val="008F7A69"/>
    <w:rsid w:val="009012E2"/>
    <w:rsid w:val="00901461"/>
    <w:rsid w:val="00902925"/>
    <w:rsid w:val="009112DA"/>
    <w:rsid w:val="00913E98"/>
    <w:rsid w:val="00915328"/>
    <w:rsid w:val="00915740"/>
    <w:rsid w:val="0092494A"/>
    <w:rsid w:val="00927EB9"/>
    <w:rsid w:val="00932D90"/>
    <w:rsid w:val="00935073"/>
    <w:rsid w:val="009362D0"/>
    <w:rsid w:val="00940498"/>
    <w:rsid w:val="00940803"/>
    <w:rsid w:val="00943C22"/>
    <w:rsid w:val="00943CAB"/>
    <w:rsid w:val="009457CE"/>
    <w:rsid w:val="00946C16"/>
    <w:rsid w:val="00947733"/>
    <w:rsid w:val="00947A9A"/>
    <w:rsid w:val="009501DC"/>
    <w:rsid w:val="00954467"/>
    <w:rsid w:val="00960EB3"/>
    <w:rsid w:val="00960FC1"/>
    <w:rsid w:val="009612E6"/>
    <w:rsid w:val="00971926"/>
    <w:rsid w:val="009734D0"/>
    <w:rsid w:val="00974689"/>
    <w:rsid w:val="00976081"/>
    <w:rsid w:val="00976101"/>
    <w:rsid w:val="00981C68"/>
    <w:rsid w:val="00984320"/>
    <w:rsid w:val="0098555D"/>
    <w:rsid w:val="00987D00"/>
    <w:rsid w:val="00991688"/>
    <w:rsid w:val="0099280F"/>
    <w:rsid w:val="009A125E"/>
    <w:rsid w:val="009A4886"/>
    <w:rsid w:val="009B0E3B"/>
    <w:rsid w:val="009B24BF"/>
    <w:rsid w:val="009B5F4E"/>
    <w:rsid w:val="009D5512"/>
    <w:rsid w:val="009E7386"/>
    <w:rsid w:val="009E7FCE"/>
    <w:rsid w:val="009F46F7"/>
    <w:rsid w:val="00A02FFC"/>
    <w:rsid w:val="00A03470"/>
    <w:rsid w:val="00A04490"/>
    <w:rsid w:val="00A06B1C"/>
    <w:rsid w:val="00A2001B"/>
    <w:rsid w:val="00A30302"/>
    <w:rsid w:val="00A3406C"/>
    <w:rsid w:val="00A36315"/>
    <w:rsid w:val="00A40F2F"/>
    <w:rsid w:val="00A46EBE"/>
    <w:rsid w:val="00A50D8F"/>
    <w:rsid w:val="00A540C3"/>
    <w:rsid w:val="00A62DA8"/>
    <w:rsid w:val="00A77FB9"/>
    <w:rsid w:val="00A804D8"/>
    <w:rsid w:val="00A80C3F"/>
    <w:rsid w:val="00A8151C"/>
    <w:rsid w:val="00A81F0E"/>
    <w:rsid w:val="00A82C53"/>
    <w:rsid w:val="00A8543C"/>
    <w:rsid w:val="00A8582B"/>
    <w:rsid w:val="00A90FB9"/>
    <w:rsid w:val="00A91D3D"/>
    <w:rsid w:val="00A94281"/>
    <w:rsid w:val="00A94375"/>
    <w:rsid w:val="00A945AB"/>
    <w:rsid w:val="00AA0CC7"/>
    <w:rsid w:val="00AA3327"/>
    <w:rsid w:val="00AA3652"/>
    <w:rsid w:val="00AB09E5"/>
    <w:rsid w:val="00AC3092"/>
    <w:rsid w:val="00AC61B4"/>
    <w:rsid w:val="00AC6835"/>
    <w:rsid w:val="00AC74B0"/>
    <w:rsid w:val="00AD2102"/>
    <w:rsid w:val="00AD38A7"/>
    <w:rsid w:val="00AD38DD"/>
    <w:rsid w:val="00AD5AE7"/>
    <w:rsid w:val="00AE0427"/>
    <w:rsid w:val="00AE5292"/>
    <w:rsid w:val="00AE52AC"/>
    <w:rsid w:val="00AF23ED"/>
    <w:rsid w:val="00AF2639"/>
    <w:rsid w:val="00AF6041"/>
    <w:rsid w:val="00B049C5"/>
    <w:rsid w:val="00B04F64"/>
    <w:rsid w:val="00B0661C"/>
    <w:rsid w:val="00B068AF"/>
    <w:rsid w:val="00B0741C"/>
    <w:rsid w:val="00B07C3F"/>
    <w:rsid w:val="00B1737C"/>
    <w:rsid w:val="00B20257"/>
    <w:rsid w:val="00B23746"/>
    <w:rsid w:val="00B23CBD"/>
    <w:rsid w:val="00B252DF"/>
    <w:rsid w:val="00B26E09"/>
    <w:rsid w:val="00B271AE"/>
    <w:rsid w:val="00B27A01"/>
    <w:rsid w:val="00B3035C"/>
    <w:rsid w:val="00B30389"/>
    <w:rsid w:val="00B31196"/>
    <w:rsid w:val="00B443F9"/>
    <w:rsid w:val="00B546FE"/>
    <w:rsid w:val="00B54EB8"/>
    <w:rsid w:val="00B60009"/>
    <w:rsid w:val="00B6244F"/>
    <w:rsid w:val="00B624A4"/>
    <w:rsid w:val="00B62690"/>
    <w:rsid w:val="00B66C1A"/>
    <w:rsid w:val="00B670E8"/>
    <w:rsid w:val="00B67B28"/>
    <w:rsid w:val="00B76051"/>
    <w:rsid w:val="00B80F80"/>
    <w:rsid w:val="00B830C5"/>
    <w:rsid w:val="00B85069"/>
    <w:rsid w:val="00B87177"/>
    <w:rsid w:val="00B87EE9"/>
    <w:rsid w:val="00B90CF2"/>
    <w:rsid w:val="00B93F70"/>
    <w:rsid w:val="00B97E16"/>
    <w:rsid w:val="00BB3E4A"/>
    <w:rsid w:val="00BB59FC"/>
    <w:rsid w:val="00BB7D96"/>
    <w:rsid w:val="00BC193C"/>
    <w:rsid w:val="00BC4482"/>
    <w:rsid w:val="00BC6E93"/>
    <w:rsid w:val="00BD131D"/>
    <w:rsid w:val="00BD3E19"/>
    <w:rsid w:val="00BE11F1"/>
    <w:rsid w:val="00BE24ED"/>
    <w:rsid w:val="00BE7583"/>
    <w:rsid w:val="00BF3F26"/>
    <w:rsid w:val="00C004C2"/>
    <w:rsid w:val="00C00735"/>
    <w:rsid w:val="00C04406"/>
    <w:rsid w:val="00C061DB"/>
    <w:rsid w:val="00C07236"/>
    <w:rsid w:val="00C15509"/>
    <w:rsid w:val="00C156A5"/>
    <w:rsid w:val="00C203AA"/>
    <w:rsid w:val="00C21A6B"/>
    <w:rsid w:val="00C235CD"/>
    <w:rsid w:val="00C23A34"/>
    <w:rsid w:val="00C23BC3"/>
    <w:rsid w:val="00C23D01"/>
    <w:rsid w:val="00C30131"/>
    <w:rsid w:val="00C3100A"/>
    <w:rsid w:val="00C337B7"/>
    <w:rsid w:val="00C35091"/>
    <w:rsid w:val="00C356B5"/>
    <w:rsid w:val="00C3667A"/>
    <w:rsid w:val="00C415C5"/>
    <w:rsid w:val="00C42361"/>
    <w:rsid w:val="00C4291C"/>
    <w:rsid w:val="00C43BE5"/>
    <w:rsid w:val="00C44656"/>
    <w:rsid w:val="00C45BBD"/>
    <w:rsid w:val="00C46F14"/>
    <w:rsid w:val="00C50579"/>
    <w:rsid w:val="00C50AD5"/>
    <w:rsid w:val="00C5602B"/>
    <w:rsid w:val="00C57FC0"/>
    <w:rsid w:val="00C6323D"/>
    <w:rsid w:val="00C671E3"/>
    <w:rsid w:val="00C71351"/>
    <w:rsid w:val="00C71B72"/>
    <w:rsid w:val="00C746CC"/>
    <w:rsid w:val="00C74D57"/>
    <w:rsid w:val="00C760D7"/>
    <w:rsid w:val="00C80EF4"/>
    <w:rsid w:val="00C83AF7"/>
    <w:rsid w:val="00C84163"/>
    <w:rsid w:val="00C921E7"/>
    <w:rsid w:val="00C92D0D"/>
    <w:rsid w:val="00CA2E4C"/>
    <w:rsid w:val="00CA6F46"/>
    <w:rsid w:val="00CA71E3"/>
    <w:rsid w:val="00CB05A0"/>
    <w:rsid w:val="00CB07C5"/>
    <w:rsid w:val="00CB3ABF"/>
    <w:rsid w:val="00CB4633"/>
    <w:rsid w:val="00CC5686"/>
    <w:rsid w:val="00CD04BB"/>
    <w:rsid w:val="00CD6B8D"/>
    <w:rsid w:val="00CE1B8A"/>
    <w:rsid w:val="00CE2BE4"/>
    <w:rsid w:val="00CE6821"/>
    <w:rsid w:val="00CF6757"/>
    <w:rsid w:val="00D007C6"/>
    <w:rsid w:val="00D02C31"/>
    <w:rsid w:val="00D03D9E"/>
    <w:rsid w:val="00D11ABC"/>
    <w:rsid w:val="00D1423C"/>
    <w:rsid w:val="00D163CA"/>
    <w:rsid w:val="00D16525"/>
    <w:rsid w:val="00D17348"/>
    <w:rsid w:val="00D22B4A"/>
    <w:rsid w:val="00D26A8D"/>
    <w:rsid w:val="00D27853"/>
    <w:rsid w:val="00D36D3C"/>
    <w:rsid w:val="00D40DA0"/>
    <w:rsid w:val="00D42352"/>
    <w:rsid w:val="00D536D6"/>
    <w:rsid w:val="00D668A5"/>
    <w:rsid w:val="00D67B21"/>
    <w:rsid w:val="00D71F38"/>
    <w:rsid w:val="00D832BF"/>
    <w:rsid w:val="00D857AB"/>
    <w:rsid w:val="00D929EA"/>
    <w:rsid w:val="00D9491F"/>
    <w:rsid w:val="00D95AB6"/>
    <w:rsid w:val="00D97913"/>
    <w:rsid w:val="00DA224F"/>
    <w:rsid w:val="00DA2BF7"/>
    <w:rsid w:val="00DA517C"/>
    <w:rsid w:val="00DB0AF6"/>
    <w:rsid w:val="00DB152A"/>
    <w:rsid w:val="00DB19C9"/>
    <w:rsid w:val="00DB23F9"/>
    <w:rsid w:val="00DB2FAD"/>
    <w:rsid w:val="00DB43A7"/>
    <w:rsid w:val="00DB51A6"/>
    <w:rsid w:val="00DC16B9"/>
    <w:rsid w:val="00DC5641"/>
    <w:rsid w:val="00DC6A37"/>
    <w:rsid w:val="00DD59EC"/>
    <w:rsid w:val="00DE0489"/>
    <w:rsid w:val="00DE2154"/>
    <w:rsid w:val="00DE4947"/>
    <w:rsid w:val="00DE5842"/>
    <w:rsid w:val="00DF1931"/>
    <w:rsid w:val="00DF25BC"/>
    <w:rsid w:val="00DF6577"/>
    <w:rsid w:val="00E05276"/>
    <w:rsid w:val="00E07580"/>
    <w:rsid w:val="00E13A5D"/>
    <w:rsid w:val="00E151F0"/>
    <w:rsid w:val="00E1536F"/>
    <w:rsid w:val="00E228FA"/>
    <w:rsid w:val="00E24DCE"/>
    <w:rsid w:val="00E25084"/>
    <w:rsid w:val="00E26139"/>
    <w:rsid w:val="00E26E6E"/>
    <w:rsid w:val="00E3346D"/>
    <w:rsid w:val="00E3625E"/>
    <w:rsid w:val="00E44D95"/>
    <w:rsid w:val="00E45709"/>
    <w:rsid w:val="00E463F3"/>
    <w:rsid w:val="00E514BD"/>
    <w:rsid w:val="00E546DA"/>
    <w:rsid w:val="00E557E3"/>
    <w:rsid w:val="00E6255E"/>
    <w:rsid w:val="00E63BDC"/>
    <w:rsid w:val="00E64B6F"/>
    <w:rsid w:val="00E710A2"/>
    <w:rsid w:val="00E7234E"/>
    <w:rsid w:val="00E748EC"/>
    <w:rsid w:val="00E75316"/>
    <w:rsid w:val="00E76DC5"/>
    <w:rsid w:val="00E77C68"/>
    <w:rsid w:val="00E9102F"/>
    <w:rsid w:val="00E91897"/>
    <w:rsid w:val="00E97C89"/>
    <w:rsid w:val="00EA0840"/>
    <w:rsid w:val="00EA121D"/>
    <w:rsid w:val="00EA38F4"/>
    <w:rsid w:val="00EA4AD1"/>
    <w:rsid w:val="00EA52D4"/>
    <w:rsid w:val="00EA7948"/>
    <w:rsid w:val="00EB2E1B"/>
    <w:rsid w:val="00EB5522"/>
    <w:rsid w:val="00EB7071"/>
    <w:rsid w:val="00EC497C"/>
    <w:rsid w:val="00ED35F7"/>
    <w:rsid w:val="00EE0A3D"/>
    <w:rsid w:val="00EE2BCE"/>
    <w:rsid w:val="00EE6E79"/>
    <w:rsid w:val="00EE7918"/>
    <w:rsid w:val="00EF1A71"/>
    <w:rsid w:val="00F00D6B"/>
    <w:rsid w:val="00F02008"/>
    <w:rsid w:val="00F023C8"/>
    <w:rsid w:val="00F066DC"/>
    <w:rsid w:val="00F1035F"/>
    <w:rsid w:val="00F10A4C"/>
    <w:rsid w:val="00F1150E"/>
    <w:rsid w:val="00F118B2"/>
    <w:rsid w:val="00F15053"/>
    <w:rsid w:val="00F20F67"/>
    <w:rsid w:val="00F21B0C"/>
    <w:rsid w:val="00F21FCD"/>
    <w:rsid w:val="00F22A27"/>
    <w:rsid w:val="00F27DE2"/>
    <w:rsid w:val="00F330F0"/>
    <w:rsid w:val="00F34514"/>
    <w:rsid w:val="00F35AFB"/>
    <w:rsid w:val="00F40998"/>
    <w:rsid w:val="00F44140"/>
    <w:rsid w:val="00F4552A"/>
    <w:rsid w:val="00F50694"/>
    <w:rsid w:val="00F510FE"/>
    <w:rsid w:val="00F51404"/>
    <w:rsid w:val="00F56995"/>
    <w:rsid w:val="00F57C62"/>
    <w:rsid w:val="00F63D28"/>
    <w:rsid w:val="00F64623"/>
    <w:rsid w:val="00F6714C"/>
    <w:rsid w:val="00F6780E"/>
    <w:rsid w:val="00F7131C"/>
    <w:rsid w:val="00F75108"/>
    <w:rsid w:val="00F84C84"/>
    <w:rsid w:val="00F84F93"/>
    <w:rsid w:val="00FA5E3D"/>
    <w:rsid w:val="00FA6962"/>
    <w:rsid w:val="00FA7B14"/>
    <w:rsid w:val="00FC019D"/>
    <w:rsid w:val="00FC1DB9"/>
    <w:rsid w:val="00FC5FC1"/>
    <w:rsid w:val="00FC7D66"/>
    <w:rsid w:val="00FD107C"/>
    <w:rsid w:val="00FD58AC"/>
    <w:rsid w:val="00FE1C89"/>
    <w:rsid w:val="00FF1A2C"/>
    <w:rsid w:val="00FF1AA5"/>
    <w:rsid w:val="00FF2A23"/>
    <w:rsid w:val="00FF4E4E"/>
    <w:rsid w:val="00FF6E2C"/>
    <w:rsid w:val="041B3939"/>
    <w:rsid w:val="053E11EB"/>
    <w:rsid w:val="05717800"/>
    <w:rsid w:val="073531C3"/>
    <w:rsid w:val="0AA40C0C"/>
    <w:rsid w:val="0AF36030"/>
    <w:rsid w:val="0BC34E37"/>
    <w:rsid w:val="0DD81376"/>
    <w:rsid w:val="0DDE4BCF"/>
    <w:rsid w:val="0F692B97"/>
    <w:rsid w:val="1032723A"/>
    <w:rsid w:val="10596636"/>
    <w:rsid w:val="10932A9A"/>
    <w:rsid w:val="12AB1FCA"/>
    <w:rsid w:val="134B4FF2"/>
    <w:rsid w:val="1359157C"/>
    <w:rsid w:val="13895B46"/>
    <w:rsid w:val="13A94B59"/>
    <w:rsid w:val="14974155"/>
    <w:rsid w:val="15296EA6"/>
    <w:rsid w:val="157E468E"/>
    <w:rsid w:val="1844012A"/>
    <w:rsid w:val="190A3165"/>
    <w:rsid w:val="1CB522AF"/>
    <w:rsid w:val="1F687028"/>
    <w:rsid w:val="2082295A"/>
    <w:rsid w:val="21311040"/>
    <w:rsid w:val="22DD7D54"/>
    <w:rsid w:val="23F27987"/>
    <w:rsid w:val="240E3B60"/>
    <w:rsid w:val="266F337B"/>
    <w:rsid w:val="26C24131"/>
    <w:rsid w:val="288D78CB"/>
    <w:rsid w:val="297B663C"/>
    <w:rsid w:val="2A4B4AB4"/>
    <w:rsid w:val="2E6B3049"/>
    <w:rsid w:val="2FB0315E"/>
    <w:rsid w:val="309A3354"/>
    <w:rsid w:val="316D2056"/>
    <w:rsid w:val="32502C0B"/>
    <w:rsid w:val="35C0308E"/>
    <w:rsid w:val="3AB36C88"/>
    <w:rsid w:val="3E914127"/>
    <w:rsid w:val="42A8723A"/>
    <w:rsid w:val="4301302A"/>
    <w:rsid w:val="44851E61"/>
    <w:rsid w:val="44A5504F"/>
    <w:rsid w:val="44DE3430"/>
    <w:rsid w:val="477718F2"/>
    <w:rsid w:val="4C641CBA"/>
    <w:rsid w:val="4CDA3A8A"/>
    <w:rsid w:val="4CEC3F70"/>
    <w:rsid w:val="4D2C280E"/>
    <w:rsid w:val="4D4343AA"/>
    <w:rsid w:val="4D7867D2"/>
    <w:rsid w:val="4D9677D0"/>
    <w:rsid w:val="4EC33D55"/>
    <w:rsid w:val="523051DC"/>
    <w:rsid w:val="54BF5460"/>
    <w:rsid w:val="54E036F3"/>
    <w:rsid w:val="590D02A9"/>
    <w:rsid w:val="5AF059A1"/>
    <w:rsid w:val="5F325555"/>
    <w:rsid w:val="63962D91"/>
    <w:rsid w:val="65F271D4"/>
    <w:rsid w:val="67B44BA1"/>
    <w:rsid w:val="69C94714"/>
    <w:rsid w:val="6D1E6CB5"/>
    <w:rsid w:val="6EB6416E"/>
    <w:rsid w:val="6F106A13"/>
    <w:rsid w:val="713C1ECB"/>
    <w:rsid w:val="718A7126"/>
    <w:rsid w:val="73742538"/>
    <w:rsid w:val="74BA23E9"/>
    <w:rsid w:val="775D01FE"/>
    <w:rsid w:val="7A31156E"/>
    <w:rsid w:val="7AB7745D"/>
    <w:rsid w:val="7BE32C5D"/>
    <w:rsid w:val="7DBB4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pPr>
    <w:rPr>
      <w:rFonts w:eastAsia="仿宋" w:asciiTheme="minorHAnsi" w:hAnsiTheme="minorHAnsi" w:cstheme="minorBidi"/>
      <w:kern w:val="2"/>
      <w:sz w:val="24"/>
      <w:szCs w:val="22"/>
      <w:lang w:val="en-US" w:eastAsia="zh-CN" w:bidi="ar-SA"/>
    </w:rPr>
  </w:style>
  <w:style w:type="paragraph" w:styleId="3">
    <w:name w:val="heading 1"/>
    <w:basedOn w:val="1"/>
    <w:next w:val="1"/>
    <w:link w:val="22"/>
    <w:qFormat/>
    <w:uiPriority w:val="9"/>
    <w:pPr>
      <w:keepNext/>
      <w:keepLines/>
      <w:spacing w:before="340" w:after="330" w:line="578" w:lineRule="auto"/>
      <w:ind w:firstLine="0" w:firstLineChars="0"/>
      <w:jc w:val="center"/>
      <w:outlineLvl w:val="0"/>
    </w:pPr>
    <w:rPr>
      <w:b/>
      <w:bCs/>
      <w:kern w:val="44"/>
      <w:sz w:val="44"/>
      <w:szCs w:val="44"/>
    </w:rPr>
  </w:style>
  <w:style w:type="paragraph" w:styleId="4">
    <w:name w:val="heading 2"/>
    <w:basedOn w:val="1"/>
    <w:next w:val="1"/>
    <w:link w:val="23"/>
    <w:unhideWhenUsed/>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5">
    <w:name w:val="heading 3"/>
    <w:basedOn w:val="1"/>
    <w:next w:val="1"/>
    <w:link w:val="24"/>
    <w:unhideWhenUsed/>
    <w:qFormat/>
    <w:uiPriority w:val="9"/>
    <w:pPr>
      <w:keepNext/>
      <w:keepLines/>
      <w:spacing w:before="260" w:after="260"/>
      <w:ind w:firstLine="0" w:firstLineChars="0"/>
      <w:outlineLvl w:val="2"/>
    </w:pPr>
    <w:rPr>
      <w:b/>
      <w:bCs/>
      <w:sz w:val="30"/>
      <w:szCs w:val="32"/>
    </w:rPr>
  </w:style>
  <w:style w:type="paragraph" w:styleId="6">
    <w:name w:val="heading 4"/>
    <w:basedOn w:val="1"/>
    <w:next w:val="1"/>
    <w:link w:val="40"/>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5"/>
    <w:basedOn w:val="1"/>
    <w:next w:val="1"/>
    <w:link w:val="25"/>
    <w:unhideWhenUsed/>
    <w:qFormat/>
    <w:uiPriority w:val="9"/>
    <w:pPr>
      <w:keepNext/>
      <w:keepLines/>
      <w:spacing w:before="280" w:after="290" w:line="480" w:lineRule="auto"/>
      <w:ind w:firstLine="0" w:firstLineChars="0"/>
      <w:outlineLvl w:val="4"/>
    </w:pPr>
    <w:rPr>
      <w:b/>
      <w:bCs/>
      <w:szCs w:val="28"/>
    </w:rPr>
  </w:style>
  <w:style w:type="paragraph" w:styleId="8">
    <w:name w:val="heading 7"/>
    <w:basedOn w:val="1"/>
    <w:next w:val="1"/>
    <w:link w:val="43"/>
    <w:semiHidden/>
    <w:unhideWhenUsed/>
    <w:qFormat/>
    <w:uiPriority w:val="9"/>
    <w:pPr>
      <w:keepNext/>
      <w:keepLines/>
      <w:spacing w:before="240" w:after="64" w:line="320" w:lineRule="auto"/>
      <w:outlineLvl w:val="6"/>
    </w:pPr>
    <w:rPr>
      <w:b/>
      <w:bCs/>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rial Narrow" w:hAnsi="Arial Narrow" w:eastAsia="宋体" w:cs="Arial Narrow"/>
      <w:color w:val="000000"/>
      <w:sz w:val="24"/>
      <w:szCs w:val="24"/>
      <w:lang w:val="en-US" w:eastAsia="zh-CN" w:bidi="ar-SA"/>
    </w:rPr>
  </w:style>
  <w:style w:type="paragraph" w:styleId="9">
    <w:name w:val="Body Text"/>
    <w:basedOn w:val="1"/>
    <w:next w:val="1"/>
    <w:link w:val="49"/>
    <w:qFormat/>
    <w:uiPriority w:val="1"/>
    <w:pPr>
      <w:autoSpaceDE w:val="0"/>
      <w:autoSpaceDN w:val="0"/>
      <w:spacing w:line="240" w:lineRule="auto"/>
      <w:ind w:left="417" w:firstLine="0" w:firstLineChars="0"/>
    </w:pPr>
    <w:rPr>
      <w:rFonts w:ascii="仿宋" w:hAnsi="仿宋" w:cs="仿宋"/>
      <w:kern w:val="0"/>
      <w:sz w:val="30"/>
      <w:szCs w:val="30"/>
      <w:lang w:val="zh-CN" w:bidi="zh-CN"/>
    </w:rPr>
  </w:style>
  <w:style w:type="paragraph" w:styleId="10">
    <w:name w:val="Body Text Indent"/>
    <w:basedOn w:val="1"/>
    <w:link w:val="50"/>
    <w:semiHidden/>
    <w:unhideWhenUsed/>
    <w:qFormat/>
    <w:uiPriority w:val="99"/>
    <w:pPr>
      <w:spacing w:after="120"/>
      <w:ind w:left="420" w:leftChars="200"/>
    </w:pPr>
  </w:style>
  <w:style w:type="paragraph" w:styleId="11">
    <w:name w:val="toc 3"/>
    <w:basedOn w:val="1"/>
    <w:next w:val="1"/>
    <w:unhideWhenUsed/>
    <w:qFormat/>
    <w:uiPriority w:val="39"/>
    <w:pPr>
      <w:ind w:left="840" w:leftChars="400"/>
    </w:pPr>
  </w:style>
  <w:style w:type="paragraph" w:styleId="12">
    <w:name w:val="Balloon Text"/>
    <w:basedOn w:val="1"/>
    <w:link w:val="58"/>
    <w:semiHidden/>
    <w:unhideWhenUsed/>
    <w:qFormat/>
    <w:uiPriority w:val="99"/>
    <w:pPr>
      <w:spacing w:line="240" w:lineRule="auto"/>
    </w:pPr>
    <w:rPr>
      <w:sz w:val="18"/>
      <w:szCs w:val="18"/>
    </w:rPr>
  </w:style>
  <w:style w:type="paragraph" w:styleId="13">
    <w:name w:val="footer"/>
    <w:basedOn w:val="1"/>
    <w:link w:val="42"/>
    <w:unhideWhenUsed/>
    <w:qFormat/>
    <w:uiPriority w:val="99"/>
    <w:pPr>
      <w:tabs>
        <w:tab w:val="center" w:pos="4153"/>
        <w:tab w:val="right" w:pos="8306"/>
      </w:tabs>
      <w:snapToGrid w:val="0"/>
      <w:spacing w:line="240" w:lineRule="auto"/>
    </w:pPr>
    <w:rPr>
      <w:sz w:val="18"/>
      <w:szCs w:val="18"/>
    </w:rPr>
  </w:style>
  <w:style w:type="paragraph" w:styleId="14">
    <w:name w:val="header"/>
    <w:basedOn w:val="1"/>
    <w:link w:val="4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5">
    <w:name w:val="toc 1"/>
    <w:basedOn w:val="1"/>
    <w:next w:val="1"/>
    <w:unhideWhenUsed/>
    <w:qFormat/>
    <w:uiPriority w:val="39"/>
    <w:pPr>
      <w:tabs>
        <w:tab w:val="right" w:leader="dot" w:pos="8296"/>
      </w:tabs>
      <w:spacing w:line="400" w:lineRule="exact"/>
      <w:ind w:firstLine="0" w:firstLineChars="0"/>
      <w:jc w:val="center"/>
    </w:pPr>
    <w:rPr>
      <w:b/>
      <w:bCs/>
    </w:rPr>
  </w:style>
  <w:style w:type="paragraph" w:styleId="16">
    <w:name w:val="toc 2"/>
    <w:basedOn w:val="1"/>
    <w:next w:val="1"/>
    <w:unhideWhenUsed/>
    <w:qFormat/>
    <w:uiPriority w:val="39"/>
    <w:pPr>
      <w:tabs>
        <w:tab w:val="right" w:leader="dot" w:pos="8296"/>
      </w:tabs>
      <w:ind w:firstLine="566" w:firstLineChars="236"/>
    </w:pPr>
  </w:style>
  <w:style w:type="paragraph" w:styleId="17">
    <w:name w:val="Body Text First Indent 2"/>
    <w:basedOn w:val="10"/>
    <w:link w:val="51"/>
    <w:semiHidden/>
    <w:unhideWhenUsed/>
    <w:qFormat/>
    <w:uiPriority w:val="99"/>
    <w:pPr>
      <w:ind w:firstLine="420"/>
    </w:p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customStyle="1" w:styleId="22">
    <w:name w:val="标题 1 字符"/>
    <w:basedOn w:val="20"/>
    <w:link w:val="3"/>
    <w:qFormat/>
    <w:uiPriority w:val="9"/>
    <w:rPr>
      <w:rFonts w:eastAsia="仿宋"/>
      <w:b/>
      <w:bCs/>
      <w:kern w:val="44"/>
      <w:sz w:val="44"/>
      <w:szCs w:val="44"/>
    </w:rPr>
  </w:style>
  <w:style w:type="character" w:customStyle="1" w:styleId="23">
    <w:name w:val="标题 2 字符"/>
    <w:basedOn w:val="20"/>
    <w:link w:val="4"/>
    <w:qFormat/>
    <w:uiPriority w:val="9"/>
    <w:rPr>
      <w:rFonts w:eastAsia="仿宋" w:asciiTheme="majorHAnsi" w:hAnsiTheme="majorHAnsi" w:cstheme="majorBidi"/>
      <w:b/>
      <w:bCs/>
      <w:sz w:val="32"/>
      <w:szCs w:val="32"/>
    </w:rPr>
  </w:style>
  <w:style w:type="character" w:customStyle="1" w:styleId="24">
    <w:name w:val="标题 3 字符"/>
    <w:basedOn w:val="20"/>
    <w:link w:val="5"/>
    <w:qFormat/>
    <w:uiPriority w:val="9"/>
    <w:rPr>
      <w:rFonts w:eastAsia="仿宋"/>
      <w:b/>
      <w:bCs/>
      <w:sz w:val="30"/>
      <w:szCs w:val="32"/>
    </w:rPr>
  </w:style>
  <w:style w:type="character" w:customStyle="1" w:styleId="25">
    <w:name w:val="标题 5 字符"/>
    <w:basedOn w:val="20"/>
    <w:link w:val="7"/>
    <w:qFormat/>
    <w:uiPriority w:val="9"/>
    <w:rPr>
      <w:rFonts w:eastAsia="仿宋"/>
      <w:b/>
      <w:bCs/>
      <w:sz w:val="24"/>
      <w:szCs w:val="28"/>
    </w:rPr>
  </w:style>
  <w:style w:type="paragraph" w:styleId="26">
    <w:name w:val="List Paragraph"/>
    <w:basedOn w:val="1"/>
    <w:link w:val="27"/>
    <w:qFormat/>
    <w:uiPriority w:val="34"/>
    <w:pPr>
      <w:spacing w:line="480" w:lineRule="auto"/>
      <w:jc w:val="both"/>
    </w:pPr>
    <w:rPr>
      <w:szCs w:val="24"/>
    </w:rPr>
  </w:style>
  <w:style w:type="character" w:customStyle="1" w:styleId="27">
    <w:name w:val="列出段落 字符"/>
    <w:link w:val="26"/>
    <w:qFormat/>
    <w:uiPriority w:val="34"/>
    <w:rPr>
      <w:rFonts w:eastAsia="仿宋"/>
      <w:sz w:val="24"/>
      <w:szCs w:val="24"/>
    </w:rPr>
  </w:style>
  <w:style w:type="paragraph" w:customStyle="1" w:styleId="28">
    <w:name w:val="绩效标题2"/>
    <w:basedOn w:val="4"/>
    <w:link w:val="29"/>
    <w:qFormat/>
    <w:uiPriority w:val="0"/>
    <w:pPr>
      <w:spacing w:before="0" w:after="0" w:line="480" w:lineRule="atLeast"/>
      <w:jc w:val="both"/>
    </w:pPr>
    <w:rPr>
      <w:rFonts w:ascii="仿宋" w:hAnsi="仿宋"/>
      <w:bCs w:val="0"/>
      <w:szCs w:val="44"/>
    </w:rPr>
  </w:style>
  <w:style w:type="character" w:customStyle="1" w:styleId="29">
    <w:name w:val="绩效标题2 字符"/>
    <w:basedOn w:val="23"/>
    <w:link w:val="28"/>
    <w:qFormat/>
    <w:uiPriority w:val="0"/>
    <w:rPr>
      <w:rFonts w:ascii="仿宋" w:hAnsi="仿宋" w:eastAsia="仿宋" w:cstheme="majorBidi"/>
      <w:bCs w:val="0"/>
      <w:sz w:val="32"/>
      <w:szCs w:val="44"/>
    </w:rPr>
  </w:style>
  <w:style w:type="paragraph" w:customStyle="1" w:styleId="30">
    <w:name w:val="绩效标题1"/>
    <w:basedOn w:val="3"/>
    <w:link w:val="31"/>
    <w:qFormat/>
    <w:uiPriority w:val="0"/>
    <w:pPr>
      <w:spacing w:before="0" w:after="0" w:line="480" w:lineRule="atLeast"/>
      <w:jc w:val="left"/>
    </w:pPr>
    <w:rPr>
      <w:rFonts w:ascii="仿宋" w:hAnsi="仿宋" w:cs="Times New Roman"/>
      <w:sz w:val="36"/>
    </w:rPr>
  </w:style>
  <w:style w:type="character" w:customStyle="1" w:styleId="31">
    <w:name w:val="绩效标题1 字符"/>
    <w:basedOn w:val="22"/>
    <w:link w:val="30"/>
    <w:qFormat/>
    <w:uiPriority w:val="0"/>
    <w:rPr>
      <w:rFonts w:ascii="仿宋" w:hAnsi="仿宋" w:eastAsia="仿宋" w:cs="Times New Roman"/>
      <w:kern w:val="44"/>
      <w:sz w:val="36"/>
      <w:szCs w:val="44"/>
    </w:rPr>
  </w:style>
  <w:style w:type="paragraph" w:customStyle="1" w:styleId="32">
    <w:name w:val="绩效正文"/>
    <w:basedOn w:val="1"/>
    <w:link w:val="33"/>
    <w:qFormat/>
    <w:uiPriority w:val="0"/>
    <w:pPr>
      <w:spacing w:line="480" w:lineRule="exact"/>
      <w:textAlignment w:val="baseline"/>
    </w:pPr>
    <w:rPr>
      <w:rFonts w:ascii="Times New Roman" w:hAnsi="Times New Roman" w:cs="Times New Roman"/>
      <w:sz w:val="28"/>
      <w:szCs w:val="24"/>
    </w:rPr>
  </w:style>
  <w:style w:type="character" w:customStyle="1" w:styleId="33">
    <w:name w:val="绩效正文 字符"/>
    <w:basedOn w:val="20"/>
    <w:link w:val="32"/>
    <w:qFormat/>
    <w:uiPriority w:val="0"/>
    <w:rPr>
      <w:rFonts w:ascii="Times New Roman" w:hAnsi="Times New Roman" w:eastAsia="仿宋" w:cs="Times New Roman"/>
      <w:sz w:val="28"/>
      <w:szCs w:val="24"/>
    </w:rPr>
  </w:style>
  <w:style w:type="paragraph" w:customStyle="1" w:styleId="34">
    <w:name w:val="绩效标题3"/>
    <w:basedOn w:val="5"/>
    <w:link w:val="35"/>
    <w:qFormat/>
    <w:uiPriority w:val="0"/>
    <w:pPr>
      <w:spacing w:before="0" w:after="0" w:line="480" w:lineRule="atLeast"/>
    </w:pPr>
  </w:style>
  <w:style w:type="character" w:customStyle="1" w:styleId="35">
    <w:name w:val="绩效标题3 字符"/>
    <w:basedOn w:val="24"/>
    <w:link w:val="34"/>
    <w:qFormat/>
    <w:uiPriority w:val="0"/>
    <w:rPr>
      <w:rFonts w:eastAsia="仿宋"/>
      <w:sz w:val="30"/>
      <w:szCs w:val="32"/>
    </w:rPr>
  </w:style>
  <w:style w:type="paragraph" w:customStyle="1" w:styleId="36">
    <w:name w:val="图表标注"/>
    <w:basedOn w:val="1"/>
    <w:link w:val="37"/>
    <w:qFormat/>
    <w:uiPriority w:val="0"/>
    <w:pPr>
      <w:spacing w:line="480" w:lineRule="atLeast"/>
      <w:ind w:firstLine="0" w:firstLineChars="0"/>
      <w:jc w:val="center"/>
    </w:pPr>
    <w:rPr>
      <w:sz w:val="18"/>
    </w:rPr>
  </w:style>
  <w:style w:type="character" w:customStyle="1" w:styleId="37">
    <w:name w:val="图表标注 字符"/>
    <w:basedOn w:val="20"/>
    <w:link w:val="36"/>
    <w:qFormat/>
    <w:uiPriority w:val="0"/>
    <w:rPr>
      <w:rFonts w:eastAsia="仿宋"/>
      <w:sz w:val="18"/>
    </w:rPr>
  </w:style>
  <w:style w:type="paragraph" w:customStyle="1" w:styleId="38">
    <w:name w:val="绩效标题4"/>
    <w:basedOn w:val="6"/>
    <w:link w:val="39"/>
    <w:qFormat/>
    <w:uiPriority w:val="0"/>
    <w:pPr>
      <w:spacing w:line="480" w:lineRule="exact"/>
      <w:ind w:firstLine="0" w:firstLineChars="0"/>
      <w:jc w:val="both"/>
    </w:pPr>
    <w:rPr>
      <w:rFonts w:eastAsia="仿宋"/>
      <w:sz w:val="30"/>
    </w:rPr>
  </w:style>
  <w:style w:type="character" w:customStyle="1" w:styleId="39">
    <w:name w:val="绩效标题4 字符"/>
    <w:basedOn w:val="40"/>
    <w:link w:val="38"/>
    <w:qFormat/>
    <w:uiPriority w:val="0"/>
    <w:rPr>
      <w:rFonts w:eastAsia="仿宋" w:asciiTheme="majorHAnsi" w:hAnsiTheme="majorHAnsi" w:cstheme="majorBidi"/>
      <w:sz w:val="30"/>
      <w:szCs w:val="28"/>
    </w:rPr>
  </w:style>
  <w:style w:type="character" w:customStyle="1" w:styleId="40">
    <w:name w:val="标题 4 字符"/>
    <w:basedOn w:val="20"/>
    <w:link w:val="6"/>
    <w:semiHidden/>
    <w:qFormat/>
    <w:uiPriority w:val="9"/>
    <w:rPr>
      <w:rFonts w:asciiTheme="majorHAnsi" w:hAnsiTheme="majorHAnsi" w:eastAsiaTheme="majorEastAsia" w:cstheme="majorBidi"/>
      <w:b/>
      <w:bCs/>
      <w:sz w:val="28"/>
      <w:szCs w:val="28"/>
    </w:rPr>
  </w:style>
  <w:style w:type="character" w:customStyle="1" w:styleId="41">
    <w:name w:val="页眉 字符"/>
    <w:basedOn w:val="20"/>
    <w:link w:val="14"/>
    <w:qFormat/>
    <w:uiPriority w:val="99"/>
    <w:rPr>
      <w:rFonts w:eastAsia="仿宋"/>
      <w:sz w:val="18"/>
      <w:szCs w:val="18"/>
    </w:rPr>
  </w:style>
  <w:style w:type="character" w:customStyle="1" w:styleId="42">
    <w:name w:val="页脚 字符"/>
    <w:basedOn w:val="20"/>
    <w:link w:val="13"/>
    <w:qFormat/>
    <w:uiPriority w:val="99"/>
    <w:rPr>
      <w:rFonts w:eastAsia="仿宋"/>
      <w:sz w:val="18"/>
      <w:szCs w:val="18"/>
    </w:rPr>
  </w:style>
  <w:style w:type="character" w:customStyle="1" w:styleId="43">
    <w:name w:val="标题 7 字符"/>
    <w:basedOn w:val="20"/>
    <w:link w:val="8"/>
    <w:semiHidden/>
    <w:qFormat/>
    <w:uiPriority w:val="9"/>
    <w:rPr>
      <w:rFonts w:eastAsia="仿宋"/>
      <w:b/>
      <w:bCs/>
      <w:sz w:val="24"/>
      <w:szCs w:val="24"/>
    </w:rPr>
  </w:style>
  <w:style w:type="paragraph" w:customStyle="1" w:styleId="44">
    <w:name w:val="！正文"/>
    <w:basedOn w:val="1"/>
    <w:link w:val="45"/>
    <w:qFormat/>
    <w:uiPriority w:val="0"/>
    <w:pPr>
      <w:snapToGrid w:val="0"/>
      <w:spacing w:beforeLines="50" w:afterLines="50" w:line="400" w:lineRule="atLeast"/>
      <w:jc w:val="both"/>
      <w:textAlignment w:val="baseline"/>
    </w:pPr>
    <w:rPr>
      <w:rFonts w:ascii="Times New Roman" w:hAnsi="Times New Roman" w:eastAsia="宋体" w:cs="Times New Roman"/>
      <w:szCs w:val="24"/>
    </w:rPr>
  </w:style>
  <w:style w:type="character" w:customStyle="1" w:styleId="45">
    <w:name w:val="！正文 字符"/>
    <w:basedOn w:val="20"/>
    <w:link w:val="44"/>
    <w:qFormat/>
    <w:uiPriority w:val="0"/>
    <w:rPr>
      <w:rFonts w:ascii="Times New Roman" w:hAnsi="Times New Roman" w:eastAsia="宋体" w:cs="Times New Roman"/>
      <w:sz w:val="24"/>
      <w:szCs w:val="24"/>
    </w:rPr>
  </w:style>
  <w:style w:type="paragraph" w:styleId="46">
    <w:name w:val="No Spacing"/>
    <w:link w:val="47"/>
    <w:qFormat/>
    <w:uiPriority w:val="1"/>
    <w:pPr>
      <w:widowControl w:val="0"/>
      <w:ind w:firstLine="200" w:firstLineChars="200"/>
      <w:jc w:val="both"/>
    </w:pPr>
    <w:rPr>
      <w:rFonts w:ascii="Calibri" w:hAnsi="Calibri" w:eastAsia="Times New Roman" w:cs="Times New Roman"/>
      <w:kern w:val="2"/>
      <w:sz w:val="28"/>
      <w:szCs w:val="22"/>
      <w:lang w:val="en-US" w:eastAsia="zh-CN" w:bidi="ar-SA"/>
    </w:rPr>
  </w:style>
  <w:style w:type="character" w:customStyle="1" w:styleId="47">
    <w:name w:val="无间隔 字符"/>
    <w:link w:val="46"/>
    <w:qFormat/>
    <w:uiPriority w:val="1"/>
    <w:rPr>
      <w:rFonts w:ascii="Calibri" w:hAnsi="Calibri" w:eastAsia="Times New Roman" w:cs="Times New Roman"/>
      <w:sz w:val="28"/>
    </w:rPr>
  </w:style>
  <w:style w:type="paragraph" w:customStyle="1" w:styleId="48">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49">
    <w:name w:val="正文文本 字符"/>
    <w:basedOn w:val="20"/>
    <w:link w:val="9"/>
    <w:qFormat/>
    <w:uiPriority w:val="1"/>
    <w:rPr>
      <w:rFonts w:ascii="仿宋" w:hAnsi="仿宋" w:eastAsia="仿宋" w:cs="仿宋"/>
      <w:kern w:val="0"/>
      <w:sz w:val="30"/>
      <w:szCs w:val="30"/>
      <w:lang w:val="zh-CN" w:bidi="zh-CN"/>
    </w:rPr>
  </w:style>
  <w:style w:type="character" w:customStyle="1" w:styleId="50">
    <w:name w:val="正文文本缩进 字符"/>
    <w:basedOn w:val="20"/>
    <w:link w:val="10"/>
    <w:semiHidden/>
    <w:qFormat/>
    <w:uiPriority w:val="99"/>
    <w:rPr>
      <w:rFonts w:eastAsia="仿宋"/>
      <w:sz w:val="24"/>
    </w:rPr>
  </w:style>
  <w:style w:type="character" w:customStyle="1" w:styleId="51">
    <w:name w:val="正文首行缩进 2 字符"/>
    <w:basedOn w:val="50"/>
    <w:link w:val="17"/>
    <w:semiHidden/>
    <w:qFormat/>
    <w:uiPriority w:val="99"/>
    <w:rPr>
      <w:rFonts w:eastAsia="仿宋"/>
      <w:sz w:val="24"/>
    </w:rPr>
  </w:style>
  <w:style w:type="character" w:customStyle="1" w:styleId="52">
    <w:name w:val="正文首行缩进 字符2"/>
    <w:qFormat/>
    <w:locked/>
    <w:uiPriority w:val="99"/>
    <w:rPr>
      <w:rFonts w:ascii="Times New Roman" w:hAnsi="Times New Roman" w:eastAsia="宋体" w:cs="Times New Roman"/>
      <w:szCs w:val="24"/>
    </w:rPr>
  </w:style>
  <w:style w:type="paragraph" w:customStyle="1" w:styleId="53">
    <w:name w:val="绩效正文标题"/>
    <w:basedOn w:val="32"/>
    <w:link w:val="55"/>
    <w:qFormat/>
    <w:uiPriority w:val="0"/>
    <w:pPr>
      <w:ind w:firstLine="480"/>
      <w:jc w:val="both"/>
    </w:pPr>
    <w:rPr>
      <w:b/>
    </w:rPr>
  </w:style>
  <w:style w:type="paragraph" w:customStyle="1" w:styleId="54">
    <w:name w:val="表格样式"/>
    <w:basedOn w:val="1"/>
    <w:link w:val="56"/>
    <w:qFormat/>
    <w:uiPriority w:val="0"/>
    <w:pPr>
      <w:ind w:firstLine="0" w:firstLineChars="0"/>
      <w:jc w:val="both"/>
    </w:pPr>
    <w:rPr>
      <w:sz w:val="21"/>
    </w:rPr>
  </w:style>
  <w:style w:type="character" w:customStyle="1" w:styleId="55">
    <w:name w:val="绩效正文标题 字符"/>
    <w:basedOn w:val="33"/>
    <w:link w:val="53"/>
    <w:qFormat/>
    <w:uiPriority w:val="0"/>
    <w:rPr>
      <w:rFonts w:ascii="Times New Roman" w:hAnsi="Times New Roman" w:eastAsia="仿宋" w:cs="Times New Roman"/>
      <w:b/>
      <w:sz w:val="28"/>
      <w:szCs w:val="24"/>
    </w:rPr>
  </w:style>
  <w:style w:type="character" w:customStyle="1" w:styleId="56">
    <w:name w:val="表格样式 字符"/>
    <w:basedOn w:val="20"/>
    <w:link w:val="54"/>
    <w:qFormat/>
    <w:uiPriority w:val="0"/>
    <w:rPr>
      <w:rFonts w:eastAsia="仿宋"/>
    </w:rPr>
  </w:style>
  <w:style w:type="paragraph" w:customStyle="1" w:styleId="57">
    <w:name w:val="正文格式"/>
    <w:basedOn w:val="1"/>
    <w:qFormat/>
    <w:uiPriority w:val="0"/>
    <w:pPr>
      <w:spacing w:line="264" w:lineRule="auto"/>
    </w:pPr>
    <w:rPr>
      <w:sz w:val="22"/>
      <w:szCs w:val="28"/>
    </w:rPr>
  </w:style>
  <w:style w:type="character" w:customStyle="1" w:styleId="58">
    <w:name w:val="批注框文本 字符"/>
    <w:basedOn w:val="20"/>
    <w:link w:val="12"/>
    <w:semiHidden/>
    <w:qFormat/>
    <w:uiPriority w:val="99"/>
    <w:rPr>
      <w:rFonts w:eastAsia="仿宋"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88B906-381A-47C6-8E64-643BEED04E1E}">
  <ds:schemaRefs/>
</ds:datastoreItem>
</file>

<file path=docProps/app.xml><?xml version="1.0" encoding="utf-8"?>
<Properties xmlns="http://schemas.openxmlformats.org/officeDocument/2006/extended-properties" xmlns:vt="http://schemas.openxmlformats.org/officeDocument/2006/docPropsVTypes">
  <Template>Normal</Template>
  <Pages>34</Pages>
  <Words>3010</Words>
  <Characters>17162</Characters>
  <Lines>143</Lines>
  <Paragraphs>40</Paragraphs>
  <TotalTime>30</TotalTime>
  <ScaleCrop>false</ScaleCrop>
  <LinksUpToDate>false</LinksUpToDate>
  <CharactersWithSpaces>20132</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2021-02-24T08:55:00Z</dcterms:created>
  <dc:creator>忠晔 张</dc:creator>
  <cp:lastModifiedBy>大玮玮</cp:lastModifiedBy>
  <dcterms:modified xsi:type="dcterms:W3CDTF">2022-01-10T04:47:28Z</dcterms:modified>
  <cp:revision>694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F52201EA47234FEBB6A9DCACF6BCF1FD</vt:lpwstr>
  </property>
</Properties>
</file>