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685"/>
        </w:tabs>
        <w:spacing w:line="720" w:lineRule="auto"/>
        <w:jc w:val="left"/>
        <w:rPr>
          <w:rFonts w:ascii="黑体" w:hAnsi="黑体" w:eastAsia="黑体"/>
          <w:b/>
          <w:sz w:val="36"/>
        </w:rPr>
      </w:pPr>
    </w:p>
    <w:p>
      <w:pPr>
        <w:jc w:val="center"/>
        <w:rPr>
          <w:rFonts w:ascii="黑体" w:hAnsi="黑体" w:eastAsia="黑体"/>
          <w:b/>
          <w:sz w:val="36"/>
          <w:szCs w:val="36"/>
        </w:rPr>
      </w:pPr>
      <w:r>
        <w:rPr>
          <w:rFonts w:hint="eastAsia" w:ascii="黑体" w:hAnsi="黑体" w:eastAsia="黑体"/>
          <w:b/>
          <w:sz w:val="36"/>
          <w:szCs w:val="36"/>
        </w:rPr>
        <w:t>天津市津南区教育局</w:t>
      </w:r>
    </w:p>
    <w:p>
      <w:pPr>
        <w:jc w:val="center"/>
        <w:rPr>
          <w:rFonts w:ascii="Arial Narrow" w:hAnsi="Arial Narrow"/>
          <w:sz w:val="24"/>
          <w:highlight w:val="none"/>
        </w:rPr>
      </w:pPr>
      <w:r>
        <w:rPr>
          <w:rFonts w:hint="eastAsia" w:ascii="黑体" w:hAnsi="黑体" w:eastAsia="黑体"/>
          <w:b/>
          <w:sz w:val="36"/>
          <w:szCs w:val="36"/>
        </w:rPr>
        <w:t>2</w:t>
      </w:r>
      <w:r>
        <w:rPr>
          <w:rFonts w:ascii="黑体" w:hAnsi="黑体" w:eastAsia="黑体"/>
          <w:b/>
          <w:sz w:val="36"/>
          <w:szCs w:val="36"/>
        </w:rPr>
        <w:t>0</w:t>
      </w:r>
      <w:r>
        <w:rPr>
          <w:rFonts w:hint="eastAsia" w:ascii="黑体" w:hAnsi="黑体" w:eastAsia="黑体"/>
          <w:b/>
          <w:sz w:val="36"/>
          <w:szCs w:val="36"/>
        </w:rPr>
        <w:t>20年度普惠性民办幼儿园生均经费补助项目绩效评</w:t>
      </w:r>
      <w:bookmarkStart w:id="1" w:name="_GoBack"/>
      <w:r>
        <w:rPr>
          <w:rFonts w:hint="eastAsia" w:ascii="黑体" w:hAnsi="黑体" w:eastAsia="黑体"/>
          <w:b/>
          <w:sz w:val="36"/>
          <w:szCs w:val="36"/>
          <w:highlight w:val="none"/>
        </w:rPr>
        <w:t>价报告</w:t>
      </w:r>
    </w:p>
    <w:p>
      <w:pPr>
        <w:snapToGrid w:val="0"/>
        <w:spacing w:afterLines="100" w:line="240" w:lineRule="atLeast"/>
        <w:jc w:val="center"/>
        <w:rPr>
          <w:rFonts w:ascii="宋体" w:hAnsi="宋体"/>
          <w:szCs w:val="21"/>
          <w:highlight w:val="none"/>
        </w:rPr>
      </w:pPr>
      <w:r>
        <w:rPr>
          <w:rFonts w:ascii="宋体" w:hAnsi="宋体"/>
          <w:b/>
          <w:sz w:val="24"/>
          <w:szCs w:val="24"/>
          <w:highlight w:val="none"/>
        </w:rPr>
        <w:tab/>
      </w:r>
      <w:r>
        <w:rPr>
          <w:rFonts w:hint="eastAsia" w:ascii="宋体" w:hAnsi="宋体"/>
          <w:szCs w:val="21"/>
          <w:highlight w:val="none"/>
        </w:rPr>
        <w:t>津税普华鉴咨字[2021]第002号</w:t>
      </w:r>
    </w:p>
    <w:p>
      <w:pPr>
        <w:spacing w:before="240" w:after="240" w:line="560" w:lineRule="exact"/>
        <w:jc w:val="left"/>
        <w:rPr>
          <w:rFonts w:ascii="宋体" w:hAnsi="宋体"/>
          <w:b/>
          <w:bCs/>
          <w:sz w:val="24"/>
          <w:szCs w:val="24"/>
          <w:highlight w:val="none"/>
          <w:lang w:val="en-GB"/>
        </w:rPr>
      </w:pPr>
      <w:r>
        <w:rPr>
          <w:rFonts w:hint="eastAsia" w:ascii="宋体" w:hAnsi="宋体"/>
          <w:b/>
          <w:bCs/>
          <w:sz w:val="24"/>
          <w:szCs w:val="24"/>
          <w:highlight w:val="none"/>
          <w:lang w:val="en-GB"/>
        </w:rPr>
        <w:t>天津市</w:t>
      </w:r>
      <w:r>
        <w:rPr>
          <w:rFonts w:hint="eastAsia" w:ascii="宋体" w:hAnsi="宋体"/>
          <w:b/>
          <w:bCs/>
          <w:sz w:val="24"/>
          <w:szCs w:val="24"/>
          <w:highlight w:val="none"/>
        </w:rPr>
        <w:t>津南</w:t>
      </w:r>
      <w:r>
        <w:rPr>
          <w:rFonts w:hint="eastAsia" w:ascii="宋体" w:hAnsi="宋体"/>
          <w:b/>
          <w:bCs/>
          <w:sz w:val="24"/>
          <w:szCs w:val="24"/>
          <w:highlight w:val="none"/>
          <w:lang w:val="en-GB"/>
        </w:rPr>
        <w:t>区财政局</w:t>
      </w:r>
      <w:r>
        <w:rPr>
          <w:rFonts w:ascii="宋体" w:hAnsi="宋体"/>
          <w:b/>
          <w:bCs/>
          <w:sz w:val="24"/>
          <w:szCs w:val="24"/>
          <w:highlight w:val="none"/>
          <w:lang w:val="en-GB"/>
        </w:rPr>
        <w:t>：</w:t>
      </w:r>
    </w:p>
    <w:p>
      <w:pPr>
        <w:spacing w:line="560" w:lineRule="exact"/>
        <w:ind w:firstLine="470" w:firstLineChars="196"/>
        <w:rPr>
          <w:rFonts w:ascii="宋体" w:hAnsi="宋体"/>
          <w:bCs/>
          <w:sz w:val="24"/>
          <w:szCs w:val="24"/>
          <w:lang w:val="en-GB"/>
        </w:rPr>
      </w:pPr>
      <w:r>
        <w:rPr>
          <w:rFonts w:hint="eastAsia" w:ascii="宋体" w:hAnsi="宋体"/>
          <w:bCs/>
          <w:sz w:val="24"/>
          <w:szCs w:val="24"/>
          <w:highlight w:val="none"/>
          <w:lang w:val="en-GB"/>
        </w:rPr>
        <w:t>我们接受了委托，为规范和加强财政支出管理，强化支出责任，提高财政资金使用效益，根据市政府办公厅《转发市财政局拟定的天津市财政项目支出绩效</w:t>
      </w:r>
      <w:bookmarkEnd w:id="1"/>
      <w:r>
        <w:rPr>
          <w:rFonts w:hint="eastAsia" w:ascii="宋体" w:hAnsi="宋体"/>
          <w:bCs/>
          <w:sz w:val="24"/>
          <w:szCs w:val="24"/>
          <w:lang w:val="en-GB"/>
        </w:rPr>
        <w:t>评价管理办法的通知》（津政办发〔2012〕2号）精神的要求，由</w:t>
      </w:r>
      <w:r>
        <w:rPr>
          <w:rFonts w:hint="eastAsia" w:ascii="宋体" w:hAnsi="宋体"/>
          <w:sz w:val="24"/>
          <w:szCs w:val="24"/>
        </w:rPr>
        <w:t>普华津融（天津）税务师事务所有限公司</w:t>
      </w:r>
      <w:r>
        <w:rPr>
          <w:rFonts w:hint="eastAsia" w:ascii="宋体" w:hAnsi="宋体"/>
          <w:bCs/>
          <w:sz w:val="24"/>
          <w:szCs w:val="24"/>
          <w:lang w:val="en-GB"/>
        </w:rPr>
        <w:t>（以下简称“</w:t>
      </w:r>
      <w:r>
        <w:rPr>
          <w:rFonts w:hint="eastAsia" w:ascii="宋体" w:hAnsi="宋体"/>
          <w:sz w:val="24"/>
          <w:szCs w:val="24"/>
        </w:rPr>
        <w:t>普华津融</w:t>
      </w:r>
      <w:r>
        <w:rPr>
          <w:rFonts w:hint="eastAsia" w:ascii="宋体" w:hAnsi="宋体"/>
          <w:bCs/>
          <w:sz w:val="24"/>
          <w:szCs w:val="24"/>
          <w:lang w:val="en-GB"/>
        </w:rPr>
        <w:t>”）绩效评价组对天津市津南区教育局普惠性民办幼儿园生均经费补助项目进行了绩效评价，现将有关情况报告如下：</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一.基本概况</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天津市</w:t>
      </w:r>
      <w:r>
        <w:rPr>
          <w:rFonts w:hint="eastAsia" w:ascii="宋体" w:hAnsi="宋体"/>
          <w:bCs/>
          <w:sz w:val="24"/>
          <w:szCs w:val="24"/>
        </w:rPr>
        <w:t>津南</w:t>
      </w:r>
      <w:r>
        <w:rPr>
          <w:rFonts w:hint="eastAsia" w:ascii="宋体" w:hAnsi="宋体"/>
          <w:bCs/>
          <w:sz w:val="24"/>
          <w:szCs w:val="24"/>
          <w:lang w:val="en-GB"/>
        </w:rPr>
        <w:t>区教育局（以下简称“</w:t>
      </w:r>
      <w:r>
        <w:rPr>
          <w:rFonts w:hint="eastAsia" w:ascii="宋体" w:hAnsi="宋体"/>
          <w:bCs/>
          <w:sz w:val="24"/>
          <w:szCs w:val="24"/>
        </w:rPr>
        <w:t>津南</w:t>
      </w:r>
      <w:r>
        <w:rPr>
          <w:rFonts w:hint="eastAsia" w:ascii="宋体" w:hAnsi="宋体"/>
          <w:bCs/>
          <w:sz w:val="24"/>
          <w:szCs w:val="24"/>
          <w:lang w:val="en-GB"/>
        </w:rPr>
        <w:t>区教育局”）2020年度普惠性民办幼儿园生均经费补助项目依据</w:t>
      </w:r>
      <w:bookmarkStart w:id="0" w:name="_Hlk36104845"/>
      <w:r>
        <w:rPr>
          <w:rFonts w:hint="eastAsia" w:ascii="宋体" w:hAnsi="宋体"/>
          <w:bCs/>
          <w:sz w:val="24"/>
          <w:szCs w:val="24"/>
          <w:lang w:val="en-GB"/>
        </w:rPr>
        <w:t>天津市人民政府办公厅文件</w:t>
      </w:r>
      <w:bookmarkEnd w:id="0"/>
      <w:r>
        <w:rPr>
          <w:rFonts w:hint="eastAsia" w:ascii="宋体" w:hAnsi="宋体"/>
          <w:bCs/>
          <w:sz w:val="24"/>
          <w:szCs w:val="24"/>
          <w:lang w:val="en-GB"/>
        </w:rPr>
        <w:t>津政办发[2019]26号《天津市人民政府办公厅关于印发大力发展学前教育两年行动方案（2019-2020年）的通知》、津教政[2019]12号《市教委、市财政局关于印发天津市普惠性民办幼儿园生均经费补助项目和资金管理办法的通知》、津南教字[2019]88号《关于津南区2019年普惠性民办幼儿园等级评定结果的通知》、津南教字[2019]137号《关于津南区2019年第二批普惠性民办幼儿园等级评定结果的通知》、津南教字[2020]41号《2020年津南区普惠性民办幼儿园等级评定工作方案》、津南教字[2020]68号《关于津南区2020年普惠性民办幼儿园等级评定结果的通知》设立，项目设立过程符合相关要求。项目预算为3,208.18万元，其中：市财政局应拨付资金1,604.09万元，津南区财政局应拨付资金1,604.09万元；实际申请资金3,208.18万元，其中：市财政局拨付资金1,604.09万元，津南区财政局拨付资金1,604.09万元；支出3,208.18万元，无结余资金。津南区教育局申报了绩效目标表，评价组以《项目支出绩效目标表》为依据，确定项目的工作目标为：</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1</w:t>
      </w:r>
      <w:r>
        <w:rPr>
          <w:rFonts w:ascii="宋体" w:hAnsi="宋体"/>
          <w:bCs/>
          <w:sz w:val="24"/>
          <w:szCs w:val="24"/>
          <w:highlight w:val="none"/>
          <w:lang w:val="en-GB"/>
        </w:rPr>
        <w:t>.</w:t>
      </w:r>
      <w:r>
        <w:rPr>
          <w:rFonts w:hint="eastAsia" w:ascii="宋体" w:hAnsi="宋体"/>
          <w:bCs/>
          <w:sz w:val="24"/>
          <w:szCs w:val="24"/>
          <w:highlight w:val="none"/>
          <w:lang w:val="en-GB"/>
        </w:rPr>
        <w:t xml:space="preserve"> 建立普惠性民办园分等级补助机制，认定普惠性民办幼儿园43所，其中示范园16所、一级园11所、二级园2所、三级园11所、四级园3所，其中2020年认定普惠性民办园14所。</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2.对评定后的普惠性民办园按照示范园4400元、一级园4000元、二级园3600元、三级园3200元、四级园2800元的生均年补助标准给予补助完成。</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3.由教育局成幼课对补助资金进行监管确保资金使用效率和使用收益。</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二.绩效评价的组织实施情况</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（一）评价准备阶段。</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2020年9月初，绩效评价组赴天津市</w:t>
      </w:r>
      <w:r>
        <w:rPr>
          <w:rFonts w:hint="eastAsia" w:ascii="宋体" w:hAnsi="宋体"/>
          <w:bCs/>
          <w:sz w:val="24"/>
          <w:szCs w:val="24"/>
        </w:rPr>
        <w:t>津南</w:t>
      </w:r>
      <w:r>
        <w:rPr>
          <w:rFonts w:hint="eastAsia" w:ascii="宋体" w:hAnsi="宋体"/>
          <w:bCs/>
          <w:sz w:val="24"/>
          <w:szCs w:val="24"/>
          <w:lang w:val="en-GB"/>
        </w:rPr>
        <w:t>区教育局参加见面会，听取了</w:t>
      </w:r>
      <w:r>
        <w:rPr>
          <w:rFonts w:hint="eastAsia" w:ascii="宋体" w:hAnsi="宋体"/>
          <w:bCs/>
          <w:sz w:val="24"/>
          <w:szCs w:val="24"/>
        </w:rPr>
        <w:t>津南</w:t>
      </w:r>
      <w:r>
        <w:rPr>
          <w:rFonts w:hint="eastAsia" w:ascii="宋体" w:hAnsi="宋体"/>
          <w:bCs/>
          <w:sz w:val="24"/>
          <w:szCs w:val="24"/>
          <w:lang w:val="en-GB"/>
        </w:rPr>
        <w:t>区教育局普惠性民办幼儿园生均经费补助项目的申请立项、资金落实、业务管理、财务管理、项目产出、项目效益等方面的情况介绍，并对项目后续评价工作的基本原则及所需的各类资料文件提出了要求。随后评价组对</w:t>
      </w:r>
      <w:r>
        <w:rPr>
          <w:rFonts w:hint="eastAsia" w:ascii="宋体" w:hAnsi="宋体"/>
          <w:bCs/>
          <w:sz w:val="24"/>
          <w:szCs w:val="24"/>
        </w:rPr>
        <w:t>津南</w:t>
      </w:r>
      <w:r>
        <w:rPr>
          <w:rFonts w:hint="eastAsia" w:ascii="宋体" w:hAnsi="宋体"/>
          <w:bCs/>
          <w:sz w:val="24"/>
          <w:szCs w:val="24"/>
          <w:lang w:val="en-GB"/>
        </w:rPr>
        <w:t>区教育局普惠性民办幼儿园生均经费补助项目的自评工作开展了辅导，</w:t>
      </w:r>
      <w:r>
        <w:rPr>
          <w:rFonts w:hint="eastAsia" w:ascii="宋体" w:hAnsi="宋体"/>
          <w:bCs/>
          <w:sz w:val="24"/>
          <w:szCs w:val="24"/>
        </w:rPr>
        <w:t>津南</w:t>
      </w:r>
      <w:r>
        <w:rPr>
          <w:rFonts w:hint="eastAsia" w:ascii="宋体" w:hAnsi="宋体"/>
          <w:bCs/>
          <w:sz w:val="24"/>
          <w:szCs w:val="24"/>
          <w:lang w:val="en-GB"/>
        </w:rPr>
        <w:t>区教育局2020年普惠性民办幼儿园生均经费补助项目未申报项目自评材料。</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（二）评价工作实施阶段。</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1.正式进驻。评价组2020年9月6日到9月30日正式进驻天津市</w:t>
      </w:r>
      <w:r>
        <w:rPr>
          <w:rFonts w:hint="eastAsia" w:ascii="宋体" w:hAnsi="宋体"/>
          <w:bCs/>
          <w:sz w:val="24"/>
          <w:szCs w:val="24"/>
        </w:rPr>
        <w:t>津南</w:t>
      </w:r>
      <w:r>
        <w:rPr>
          <w:rFonts w:hint="eastAsia" w:ascii="宋体" w:hAnsi="宋体"/>
          <w:bCs/>
          <w:sz w:val="24"/>
          <w:szCs w:val="24"/>
          <w:lang w:val="en-GB"/>
        </w:rPr>
        <w:t>教育局实施评价工作。</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2.全面审查。评价组对普惠性民办幼儿园生均经费补助项目的文件依据、制度制定、制度执行、资金拨付、项目效益等方面进行了全面梳理。根据项目管理办法及相关通知的要求，确定了</w:t>
      </w:r>
      <w:r>
        <w:rPr>
          <w:rFonts w:hint="eastAsia" w:ascii="宋体" w:hAnsi="宋体"/>
          <w:bCs/>
          <w:sz w:val="24"/>
          <w:szCs w:val="24"/>
        </w:rPr>
        <w:t>津南</w:t>
      </w:r>
      <w:r>
        <w:rPr>
          <w:rFonts w:hint="eastAsia" w:ascii="宋体" w:hAnsi="宋体"/>
          <w:bCs/>
          <w:sz w:val="24"/>
          <w:szCs w:val="24"/>
          <w:lang w:val="en-GB"/>
        </w:rPr>
        <w:t>区教育局普惠性民办幼儿园生均经费补助项目的政策方向及经费资助范围；根据</w:t>
      </w:r>
      <w:r>
        <w:rPr>
          <w:rFonts w:hint="eastAsia" w:ascii="宋体" w:hAnsi="宋体"/>
          <w:bCs/>
          <w:sz w:val="24"/>
          <w:szCs w:val="24"/>
        </w:rPr>
        <w:t>津南</w:t>
      </w:r>
      <w:r>
        <w:rPr>
          <w:rFonts w:hint="eastAsia" w:ascii="宋体" w:hAnsi="宋体"/>
          <w:bCs/>
          <w:sz w:val="24"/>
          <w:szCs w:val="24"/>
          <w:lang w:val="en-GB"/>
        </w:rPr>
        <w:t>区教育局普惠性民办幼儿园生均经费补助项目实施的申请材料、津南区教育局普惠性民办幼儿园生均经费补助项目资金申请书、津南区财政局经费划拨等资料，对普惠性民办幼儿园生均经费补助项目的评定过程、付款进度等内容进行了整体评价。</w:t>
      </w:r>
    </w:p>
    <w:p>
      <w:pPr>
        <w:spacing w:line="560" w:lineRule="exact"/>
        <w:ind w:firstLine="470" w:firstLineChars="196"/>
        <w:rPr>
          <w:rFonts w:ascii="宋体" w:hAnsi="宋体"/>
          <w:bCs/>
          <w:sz w:val="24"/>
          <w:szCs w:val="24"/>
          <w:lang w:val="en-GB"/>
        </w:rPr>
      </w:pPr>
      <w:r>
        <w:rPr>
          <w:rFonts w:ascii="宋体" w:hAnsi="宋体"/>
          <w:bCs/>
          <w:sz w:val="24"/>
          <w:szCs w:val="24"/>
          <w:lang w:val="en-GB"/>
        </w:rPr>
        <w:t>3</w:t>
      </w:r>
      <w:r>
        <w:rPr>
          <w:rFonts w:hint="eastAsia" w:ascii="宋体" w:hAnsi="宋体"/>
          <w:bCs/>
          <w:sz w:val="24"/>
          <w:szCs w:val="24"/>
          <w:lang w:val="en-GB"/>
        </w:rPr>
        <w:t>.评价打分。按照绩效评价指标体系编制了工作底稿对各绩效指标进行了评分。</w:t>
      </w:r>
    </w:p>
    <w:p>
      <w:pPr>
        <w:spacing w:line="560" w:lineRule="exact"/>
        <w:ind w:firstLine="470" w:firstLineChars="196"/>
        <w:rPr>
          <w:rFonts w:ascii="宋体" w:hAnsi="宋体"/>
          <w:bCs/>
          <w:sz w:val="24"/>
          <w:szCs w:val="24"/>
          <w:lang w:val="en-GB"/>
        </w:rPr>
      </w:pPr>
      <w:r>
        <w:rPr>
          <w:rFonts w:ascii="宋体" w:hAnsi="宋体"/>
          <w:bCs/>
          <w:sz w:val="24"/>
          <w:szCs w:val="24"/>
          <w:lang w:val="en-GB"/>
        </w:rPr>
        <w:t>4</w:t>
      </w:r>
      <w:r>
        <w:rPr>
          <w:rFonts w:hint="eastAsia" w:ascii="宋体" w:hAnsi="宋体"/>
          <w:bCs/>
          <w:sz w:val="24"/>
          <w:szCs w:val="24"/>
          <w:lang w:val="en-GB"/>
        </w:rPr>
        <w:t>.编制报告。评价组根据核查和打分情况，起草绩效评价报告，全面梳理本项目取得的成效、存在问题及工作建议。并向</w:t>
      </w:r>
      <w:r>
        <w:rPr>
          <w:rFonts w:hint="eastAsia" w:ascii="宋体" w:hAnsi="宋体"/>
          <w:bCs/>
          <w:sz w:val="24"/>
          <w:szCs w:val="24"/>
        </w:rPr>
        <w:t>津南</w:t>
      </w:r>
      <w:r>
        <w:rPr>
          <w:rFonts w:hint="eastAsia" w:ascii="宋体" w:hAnsi="宋体"/>
          <w:bCs/>
          <w:sz w:val="24"/>
          <w:szCs w:val="24"/>
          <w:lang w:val="en-GB"/>
        </w:rPr>
        <w:t>区教育局征求意见后报送</w:t>
      </w:r>
      <w:r>
        <w:rPr>
          <w:rFonts w:hint="eastAsia" w:ascii="宋体" w:hAnsi="宋体"/>
          <w:bCs/>
          <w:sz w:val="24"/>
          <w:szCs w:val="24"/>
        </w:rPr>
        <w:t>津南</w:t>
      </w:r>
      <w:r>
        <w:rPr>
          <w:rFonts w:hint="eastAsia" w:ascii="宋体" w:hAnsi="宋体"/>
          <w:bCs/>
          <w:sz w:val="24"/>
          <w:szCs w:val="24"/>
          <w:lang w:val="en-GB"/>
        </w:rPr>
        <w:t>区财政局。</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三.绩效评价指标体系和评价方法</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（一）绩效评价指标体系。</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项目绩效评价指标体系由</w:t>
      </w:r>
      <w:r>
        <w:rPr>
          <w:rFonts w:hint="eastAsia" w:ascii="宋体" w:hAnsi="宋体"/>
          <w:bCs/>
          <w:color w:val="000000" w:themeColor="text1"/>
          <w:sz w:val="24"/>
          <w:szCs w:val="24"/>
          <w:highlight w:val="none"/>
          <w:lang w:val="en-GB"/>
        </w:rPr>
        <w:t>投入、过程、产出、效果及自评指标</w:t>
      </w:r>
      <w:r>
        <w:rPr>
          <w:rFonts w:hint="eastAsia" w:ascii="宋体" w:hAnsi="宋体"/>
          <w:bCs/>
          <w:color w:val="000000" w:themeColor="text1"/>
          <w:sz w:val="24"/>
          <w:szCs w:val="24"/>
          <w:highlight w:val="none"/>
        </w:rPr>
        <w:t>五</w:t>
      </w:r>
      <w:r>
        <w:rPr>
          <w:rFonts w:hint="eastAsia" w:ascii="宋体" w:hAnsi="宋体"/>
          <w:bCs/>
          <w:color w:val="000000" w:themeColor="text1"/>
          <w:sz w:val="24"/>
          <w:szCs w:val="24"/>
          <w:highlight w:val="none"/>
          <w:lang w:val="en-GB"/>
        </w:rPr>
        <w:t>部</w:t>
      </w:r>
      <w:r>
        <w:rPr>
          <w:rFonts w:hint="eastAsia" w:ascii="宋体" w:hAnsi="宋体"/>
          <w:bCs/>
          <w:sz w:val="24"/>
          <w:szCs w:val="24"/>
          <w:highlight w:val="none"/>
          <w:lang w:val="en-GB"/>
        </w:rPr>
        <w:t>分</w:t>
      </w:r>
      <w:r>
        <w:rPr>
          <w:rFonts w:hint="eastAsia" w:ascii="宋体" w:hAnsi="宋体"/>
          <w:bCs/>
          <w:sz w:val="24"/>
          <w:szCs w:val="24"/>
          <w:lang w:val="en-GB"/>
        </w:rPr>
        <w:t>指标构成。此体系满分100分，各项指标综合得分90分（含）以上为优；80分（含）至90为良；60分（含）至80分为中；60分以下为差。</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项目绩效评价指标体系及评分结果详见附件1。</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（二）评价方法。</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本次评价主要使用了比较法和抽查法。</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四.绩效目标的实现程度</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（一）绩效目标实现程度。</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1.项目完成情况</w:t>
      </w:r>
    </w:p>
    <w:p>
      <w:pPr>
        <w:spacing w:line="560" w:lineRule="exact"/>
        <w:ind w:firstLine="470" w:firstLineChars="196"/>
        <w:rPr>
          <w:rFonts w:hint="eastAsia" w:ascii="宋体" w:hAnsi="宋体"/>
          <w:bCs/>
          <w:sz w:val="24"/>
          <w:szCs w:val="24"/>
          <w:lang w:val="en-GB"/>
        </w:rPr>
      </w:pPr>
      <w:r>
        <w:rPr>
          <w:rFonts w:hint="eastAsia" w:ascii="宋体" w:hAnsi="宋体"/>
          <w:bCs/>
          <w:sz w:val="24"/>
          <w:szCs w:val="24"/>
          <w:lang w:val="en-GB"/>
        </w:rPr>
        <w:t>2020年普惠性民办幼儿园生均经费补助项目主要完成工作：</w:t>
      </w:r>
    </w:p>
    <w:p>
      <w:pPr>
        <w:numPr>
          <w:ilvl w:val="0"/>
          <w:numId w:val="1"/>
        </w:numPr>
        <w:spacing w:line="560" w:lineRule="exact"/>
        <w:ind w:firstLine="470" w:firstLineChars="196"/>
        <w:rPr>
          <w:rFonts w:hint="eastAsia" w:ascii="宋体" w:hAnsi="宋体"/>
          <w:bCs/>
          <w:sz w:val="24"/>
          <w:szCs w:val="24"/>
          <w:highlight w:val="none"/>
          <w:lang w:val="en-GB" w:eastAsia="zh-CN"/>
        </w:rPr>
      </w:pPr>
      <w:r>
        <w:rPr>
          <w:rFonts w:hint="eastAsia" w:ascii="宋体" w:hAnsi="宋体"/>
          <w:bCs/>
          <w:sz w:val="24"/>
          <w:szCs w:val="24"/>
          <w:highlight w:val="none"/>
          <w:lang w:val="en-GB"/>
        </w:rPr>
        <w:t>建立普惠性民办园分等级补助机制，认定普惠性民办幼儿园43所，其中示范园16所、一级园11所、二级园2所、三级园11所、四级园3所，其中2020年认定普惠性民办园14所</w:t>
      </w:r>
      <w:r>
        <w:rPr>
          <w:rFonts w:hint="eastAsia" w:ascii="宋体" w:hAnsi="宋体"/>
          <w:bCs/>
          <w:sz w:val="24"/>
          <w:szCs w:val="24"/>
          <w:highlight w:val="none"/>
          <w:lang w:val="en-GB" w:eastAsia="zh-CN"/>
        </w:rPr>
        <w:t>；</w:t>
      </w:r>
    </w:p>
    <w:p>
      <w:pPr>
        <w:numPr>
          <w:ilvl w:val="0"/>
          <w:numId w:val="1"/>
        </w:numPr>
        <w:spacing w:line="560" w:lineRule="exact"/>
        <w:ind w:firstLine="470" w:firstLineChars="196"/>
        <w:rPr>
          <w:rFonts w:ascii="宋体" w:hAnsi="宋体"/>
          <w:bCs/>
          <w:sz w:val="24"/>
          <w:szCs w:val="24"/>
          <w:lang w:val="en-GB"/>
        </w:rPr>
      </w:pPr>
      <w:r>
        <w:rPr>
          <w:rFonts w:hint="eastAsia" w:ascii="宋体" w:hAnsi="宋体"/>
          <w:bCs/>
          <w:sz w:val="24"/>
          <w:szCs w:val="24"/>
          <w:lang w:val="en-GB"/>
        </w:rPr>
        <w:t>对符合条件的普惠性民办园按照标准给予补助完成</w:t>
      </w:r>
      <w:r>
        <w:rPr>
          <w:rFonts w:hint="eastAsia" w:ascii="宋体" w:hAnsi="宋体"/>
          <w:bCs/>
          <w:sz w:val="24"/>
          <w:szCs w:val="24"/>
          <w:lang w:val="en-GB" w:eastAsia="zh-CN"/>
        </w:rPr>
        <w:t>；</w:t>
      </w:r>
    </w:p>
    <w:p>
      <w:pPr>
        <w:numPr>
          <w:ilvl w:val="0"/>
          <w:numId w:val="1"/>
        </w:numPr>
        <w:spacing w:line="560" w:lineRule="exact"/>
        <w:ind w:firstLine="470" w:firstLineChars="196"/>
        <w:rPr>
          <w:rFonts w:ascii="宋体" w:hAnsi="宋体"/>
          <w:bCs/>
          <w:sz w:val="24"/>
          <w:szCs w:val="24"/>
          <w:lang w:val="en-GB"/>
        </w:rPr>
      </w:pPr>
      <w:r>
        <w:rPr>
          <w:rFonts w:hint="eastAsia" w:ascii="宋体" w:hAnsi="宋体"/>
          <w:bCs/>
          <w:sz w:val="24"/>
          <w:szCs w:val="24"/>
          <w:lang w:val="en-GB"/>
        </w:rPr>
        <w:t>由教育局成幼课对补助资金进行监管确保资金使用效率和使用收益。</w:t>
      </w:r>
    </w:p>
    <w:p>
      <w:pPr>
        <w:numPr>
          <w:ilvl w:val="0"/>
          <w:numId w:val="0"/>
        </w:numPr>
        <w:spacing w:line="560" w:lineRule="exact"/>
        <w:ind w:firstLine="1200" w:firstLineChars="500"/>
        <w:rPr>
          <w:rFonts w:ascii="宋体" w:hAnsi="宋体"/>
          <w:bCs/>
          <w:sz w:val="24"/>
          <w:szCs w:val="24"/>
          <w:lang w:val="en-GB"/>
        </w:rPr>
      </w:pPr>
      <w:r>
        <w:rPr>
          <w:rFonts w:hint="eastAsia" w:ascii="宋体" w:hAnsi="宋体"/>
          <w:bCs/>
          <w:sz w:val="24"/>
          <w:szCs w:val="24"/>
          <w:lang w:val="en-GB"/>
        </w:rPr>
        <w:t>该项目已发放完成。</w:t>
      </w:r>
    </w:p>
    <w:p>
      <w:pPr>
        <w:spacing w:line="560" w:lineRule="exact"/>
        <w:ind w:firstLine="470" w:firstLineChars="196"/>
        <w:rPr>
          <w:rFonts w:ascii="宋体" w:hAnsi="宋体"/>
          <w:bCs/>
          <w:sz w:val="24"/>
          <w:szCs w:val="24"/>
        </w:rPr>
      </w:pPr>
      <w:r>
        <w:rPr>
          <w:rFonts w:hint="eastAsia" w:ascii="宋体" w:hAnsi="宋体"/>
          <w:bCs/>
          <w:sz w:val="24"/>
          <w:szCs w:val="24"/>
          <w:lang w:val="en-GB"/>
        </w:rPr>
        <w:t>2</w:t>
      </w:r>
      <w:r>
        <w:rPr>
          <w:rFonts w:ascii="宋体" w:hAnsi="宋体"/>
          <w:bCs/>
          <w:sz w:val="24"/>
          <w:szCs w:val="24"/>
          <w:lang w:val="en-GB"/>
        </w:rPr>
        <w:t>.</w:t>
      </w:r>
      <w:r>
        <w:rPr>
          <w:rFonts w:hint="eastAsia" w:ascii="宋体" w:hAnsi="宋体"/>
          <w:bCs/>
          <w:sz w:val="24"/>
          <w:szCs w:val="24"/>
          <w:lang w:val="en-GB"/>
        </w:rPr>
        <w:t xml:space="preserve">社会效益 </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（1）改善学校环境和活动环境,顺应当前学前的要求,更好地促进幼儿身心健康。</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（2）满足津南区幼儿入园情况。</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3. 可持续影响方面</w:t>
      </w:r>
    </w:p>
    <w:p>
      <w:pPr>
        <w:spacing w:line="560" w:lineRule="exact"/>
        <w:ind w:firstLine="470" w:firstLineChars="196"/>
        <w:rPr>
          <w:rFonts w:ascii="宋体" w:hAnsi="宋体"/>
          <w:bCs/>
          <w:color w:val="auto"/>
          <w:sz w:val="24"/>
          <w:szCs w:val="24"/>
          <w:highlight w:val="none"/>
          <w:lang w:val="en-GB"/>
        </w:rPr>
      </w:pPr>
      <w:r>
        <w:rPr>
          <w:rFonts w:hint="eastAsia" w:ascii="宋体" w:hAnsi="宋体"/>
          <w:bCs/>
          <w:color w:val="auto"/>
          <w:sz w:val="24"/>
          <w:szCs w:val="24"/>
          <w:highlight w:val="none"/>
          <w:lang w:val="en-GB"/>
        </w:rPr>
        <w:t>（1）</w:t>
      </w:r>
      <w:r>
        <w:rPr>
          <w:rFonts w:hint="eastAsia" w:ascii="宋体" w:hAnsi="宋体"/>
          <w:bCs/>
          <w:color w:val="auto"/>
          <w:sz w:val="24"/>
          <w:szCs w:val="24"/>
          <w:highlight w:val="none"/>
          <w:lang w:val="en-US" w:eastAsia="zh-CN"/>
        </w:rPr>
        <w:t>扩大学前民办教育资源</w:t>
      </w:r>
      <w:r>
        <w:rPr>
          <w:rFonts w:hint="eastAsia" w:ascii="宋体" w:hAnsi="宋体"/>
          <w:bCs/>
          <w:color w:val="auto"/>
          <w:sz w:val="24"/>
          <w:szCs w:val="24"/>
          <w:highlight w:val="none"/>
          <w:lang w:val="en-GB"/>
        </w:rPr>
        <w:t>。</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（二）资金使用及管理情况。</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（1）资金管理、资金使用情况</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天津市教育委员会、天津市财政局制定了专门的项目资金管理办法，按照《市教委 市财政局关于印发天津市普惠性民办幼儿园生均经费补助项目和资金管理办法的通知》及《津南区教育局单位经费支出管理制度》使用资金；符合相关财务会计制度的规定。截至2020年底，天津市财政局通过授权支付的方式向津南区教育局拨付项目资金1,604.09万元；津南区财政局通过授权支付的方式向津南区教育局拨付项目资金1,604.09万元，截至2020年</w:t>
      </w:r>
      <w:r>
        <w:rPr>
          <w:rFonts w:ascii="宋体" w:hAnsi="宋体"/>
          <w:bCs/>
          <w:sz w:val="24"/>
          <w:szCs w:val="24"/>
          <w:lang w:val="en-GB"/>
        </w:rPr>
        <w:t>12</w:t>
      </w:r>
      <w:r>
        <w:rPr>
          <w:rFonts w:hint="eastAsia" w:ascii="宋体" w:hAnsi="宋体"/>
          <w:bCs/>
          <w:sz w:val="24"/>
          <w:szCs w:val="24"/>
          <w:lang w:val="en-GB"/>
        </w:rPr>
        <w:t>月底共支出3,208.18万元，无资金结余。</w:t>
      </w:r>
    </w:p>
    <w:tbl>
      <w:tblPr>
        <w:tblStyle w:val="6"/>
        <w:tblW w:w="8534" w:type="dxa"/>
        <w:tblInd w:w="93" w:type="dxa"/>
        <w:tblLayout w:type="autofit"/>
        <w:tblCellMar>
          <w:top w:w="0" w:type="dxa"/>
          <w:left w:w="108" w:type="dxa"/>
          <w:bottom w:w="0" w:type="dxa"/>
          <w:right w:w="108" w:type="dxa"/>
        </w:tblCellMar>
      </w:tblPr>
      <w:tblGrid>
        <w:gridCol w:w="598"/>
        <w:gridCol w:w="1382"/>
        <w:gridCol w:w="1076"/>
        <w:gridCol w:w="1118"/>
        <w:gridCol w:w="1090"/>
        <w:gridCol w:w="1090"/>
        <w:gridCol w:w="1090"/>
        <w:gridCol w:w="1090"/>
      </w:tblGrid>
      <w:tr>
        <w:tblPrEx>
          <w:tblCellMar>
            <w:top w:w="0" w:type="dxa"/>
            <w:left w:w="108" w:type="dxa"/>
            <w:bottom w:w="0" w:type="dxa"/>
            <w:right w:w="108" w:type="dxa"/>
          </w:tblCellMar>
        </w:tblPrEx>
        <w:trPr>
          <w:trHeight w:val="758" w:hRule="atLeast"/>
        </w:trPr>
        <w:tc>
          <w:tcPr>
            <w:tcW w:w="8534" w:type="dxa"/>
            <w:gridSpan w:val="8"/>
            <w:tcBorders>
              <w:top w:val="nil"/>
              <w:left w:val="nil"/>
              <w:bottom w:val="nil"/>
              <w:right w:val="nil"/>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项目支出明细表</w:t>
            </w:r>
          </w:p>
        </w:tc>
      </w:tr>
      <w:tr>
        <w:tblPrEx>
          <w:tblCellMar>
            <w:top w:w="0" w:type="dxa"/>
            <w:left w:w="108" w:type="dxa"/>
            <w:bottom w:w="0" w:type="dxa"/>
            <w:right w:w="108" w:type="dxa"/>
          </w:tblCellMar>
        </w:tblPrEx>
        <w:trPr>
          <w:trHeight w:val="273" w:hRule="atLeast"/>
        </w:trPr>
        <w:tc>
          <w:tcPr>
            <w:tcW w:w="598"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382"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076"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118"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090"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1090"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p>
        </w:tc>
        <w:tc>
          <w:tcPr>
            <w:tcW w:w="2180" w:type="dxa"/>
            <w:gridSpan w:val="2"/>
            <w:tcBorders>
              <w:top w:val="nil"/>
              <w:left w:val="nil"/>
              <w:bottom w:val="single" w:color="auto" w:sz="4" w:space="0"/>
              <w:right w:val="nil"/>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单位：万元</w:t>
            </w:r>
          </w:p>
        </w:tc>
      </w:tr>
      <w:tr>
        <w:tblPrEx>
          <w:tblCellMar>
            <w:top w:w="0" w:type="dxa"/>
            <w:left w:w="108" w:type="dxa"/>
            <w:bottom w:w="0" w:type="dxa"/>
            <w:right w:w="108" w:type="dxa"/>
          </w:tblCellMar>
        </w:tblPrEx>
        <w:trPr>
          <w:trHeight w:val="569" w:hRule="atLeast"/>
        </w:trPr>
        <w:tc>
          <w:tcPr>
            <w:tcW w:w="59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rPr>
            </w:pPr>
            <w:r>
              <w:rPr>
                <w:rFonts w:hint="eastAsia" w:ascii="宋体" w:hAnsi="宋体" w:cs="宋体"/>
                <w:color w:val="000000"/>
                <w:kern w:val="0"/>
                <w:sz w:val="20"/>
              </w:rPr>
              <w:t>序号</w:t>
            </w:r>
          </w:p>
        </w:tc>
        <w:tc>
          <w:tcPr>
            <w:tcW w:w="138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rPr>
            </w:pPr>
            <w:r>
              <w:rPr>
                <w:rFonts w:hint="eastAsia" w:ascii="宋体" w:hAnsi="宋体" w:cs="宋体"/>
                <w:color w:val="000000"/>
                <w:kern w:val="0"/>
                <w:sz w:val="20"/>
              </w:rPr>
              <w:t>项目</w:t>
            </w:r>
          </w:p>
        </w:tc>
        <w:tc>
          <w:tcPr>
            <w:tcW w:w="3284"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rPr>
            </w:pPr>
            <w:r>
              <w:rPr>
                <w:rFonts w:hint="eastAsia" w:ascii="宋体" w:hAnsi="宋体" w:cs="宋体"/>
                <w:color w:val="000000"/>
                <w:kern w:val="0"/>
                <w:sz w:val="20"/>
              </w:rPr>
              <w:t>预算金额</w:t>
            </w:r>
          </w:p>
        </w:tc>
        <w:tc>
          <w:tcPr>
            <w:tcW w:w="3270"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rPr>
            </w:pPr>
            <w:r>
              <w:rPr>
                <w:rFonts w:hint="eastAsia" w:ascii="宋体" w:hAnsi="宋体" w:cs="宋体"/>
                <w:color w:val="000000"/>
                <w:kern w:val="0"/>
                <w:sz w:val="20"/>
              </w:rPr>
              <w:t>支出金额</w:t>
            </w:r>
          </w:p>
        </w:tc>
      </w:tr>
      <w:tr>
        <w:tblPrEx>
          <w:tblCellMar>
            <w:top w:w="0" w:type="dxa"/>
            <w:left w:w="108" w:type="dxa"/>
            <w:bottom w:w="0" w:type="dxa"/>
            <w:right w:w="108" w:type="dxa"/>
          </w:tblCellMar>
        </w:tblPrEx>
        <w:trPr>
          <w:trHeight w:val="894" w:hRule="atLeast"/>
        </w:trPr>
        <w:tc>
          <w:tcPr>
            <w:tcW w:w="5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rPr>
            </w:pPr>
          </w:p>
        </w:tc>
        <w:tc>
          <w:tcPr>
            <w:tcW w:w="13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rPr>
            </w:pPr>
          </w:p>
        </w:tc>
        <w:tc>
          <w:tcPr>
            <w:tcW w:w="10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rPr>
            </w:pPr>
            <w:r>
              <w:rPr>
                <w:rFonts w:hint="eastAsia" w:ascii="宋体" w:hAnsi="宋体" w:cs="宋体"/>
                <w:color w:val="000000"/>
                <w:kern w:val="0"/>
                <w:sz w:val="20"/>
              </w:rPr>
              <w:t>市财政支付金额</w:t>
            </w:r>
          </w:p>
        </w:tc>
        <w:tc>
          <w:tcPr>
            <w:tcW w:w="11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rPr>
            </w:pPr>
            <w:r>
              <w:rPr>
                <w:rFonts w:hint="eastAsia" w:ascii="宋体" w:hAnsi="宋体" w:cs="宋体"/>
                <w:color w:val="000000"/>
                <w:kern w:val="0"/>
                <w:sz w:val="20"/>
              </w:rPr>
              <w:t>区财政支付金额</w:t>
            </w:r>
          </w:p>
        </w:tc>
        <w:tc>
          <w:tcPr>
            <w:tcW w:w="10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rPr>
            </w:pPr>
            <w:r>
              <w:rPr>
                <w:rFonts w:hint="eastAsia" w:ascii="宋体" w:hAnsi="宋体" w:cs="宋体"/>
                <w:color w:val="000000"/>
                <w:kern w:val="0"/>
                <w:sz w:val="20"/>
              </w:rPr>
              <w:t>合计</w:t>
            </w:r>
          </w:p>
        </w:tc>
        <w:tc>
          <w:tcPr>
            <w:tcW w:w="10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rPr>
            </w:pPr>
            <w:r>
              <w:rPr>
                <w:rFonts w:hint="eastAsia" w:ascii="宋体" w:hAnsi="宋体" w:cs="宋体"/>
                <w:color w:val="000000"/>
                <w:kern w:val="0"/>
                <w:sz w:val="20"/>
              </w:rPr>
              <w:t>市财政支付金额</w:t>
            </w:r>
          </w:p>
        </w:tc>
        <w:tc>
          <w:tcPr>
            <w:tcW w:w="10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rPr>
            </w:pPr>
            <w:r>
              <w:rPr>
                <w:rFonts w:hint="eastAsia" w:ascii="宋体" w:hAnsi="宋体" w:cs="宋体"/>
                <w:color w:val="000000"/>
                <w:kern w:val="0"/>
                <w:sz w:val="20"/>
              </w:rPr>
              <w:t>区财政支付金额</w:t>
            </w:r>
          </w:p>
        </w:tc>
        <w:tc>
          <w:tcPr>
            <w:tcW w:w="10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rPr>
            </w:pPr>
            <w:r>
              <w:rPr>
                <w:rFonts w:hint="eastAsia" w:ascii="宋体" w:hAnsi="宋体" w:cs="宋体"/>
                <w:color w:val="000000"/>
                <w:kern w:val="0"/>
                <w:sz w:val="20"/>
              </w:rPr>
              <w:t>合计</w:t>
            </w:r>
          </w:p>
        </w:tc>
      </w:tr>
      <w:tr>
        <w:tblPrEx>
          <w:tblCellMar>
            <w:top w:w="0" w:type="dxa"/>
            <w:left w:w="108" w:type="dxa"/>
            <w:bottom w:w="0" w:type="dxa"/>
            <w:right w:w="108" w:type="dxa"/>
          </w:tblCellMar>
        </w:tblPrEx>
        <w:trPr>
          <w:trHeight w:val="697" w:hRule="atLeast"/>
        </w:trPr>
        <w:tc>
          <w:tcPr>
            <w:tcW w:w="598"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20"/>
              </w:rPr>
            </w:pPr>
            <w:r>
              <w:rPr>
                <w:rFonts w:hint="eastAsia" w:ascii="宋体" w:hAnsi="宋体" w:cs="宋体"/>
                <w:color w:val="000000"/>
                <w:kern w:val="0"/>
                <w:sz w:val="20"/>
              </w:rPr>
              <w:t>1</w:t>
            </w:r>
          </w:p>
        </w:tc>
        <w:tc>
          <w:tcPr>
            <w:tcW w:w="138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rPr>
            </w:pPr>
            <w:r>
              <w:rPr>
                <w:rFonts w:hint="eastAsia" w:ascii="宋体" w:hAnsi="宋体" w:cs="宋体"/>
                <w:color w:val="000000"/>
                <w:kern w:val="0"/>
                <w:sz w:val="20"/>
              </w:rPr>
              <w:t>普惠性民办幼儿园生均经费补助项目</w:t>
            </w:r>
          </w:p>
        </w:tc>
        <w:tc>
          <w:tcPr>
            <w:tcW w:w="10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rPr>
            </w:pPr>
            <w:r>
              <w:rPr>
                <w:rFonts w:hint="eastAsia" w:ascii="宋体" w:hAnsi="宋体"/>
                <w:bCs/>
                <w:sz w:val="20"/>
                <w:lang w:val="en-GB"/>
              </w:rPr>
              <w:t>1,604.09</w:t>
            </w:r>
          </w:p>
        </w:tc>
        <w:tc>
          <w:tcPr>
            <w:tcW w:w="11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rPr>
            </w:pPr>
            <w:r>
              <w:rPr>
                <w:rFonts w:hint="eastAsia" w:ascii="宋体" w:hAnsi="宋体"/>
                <w:bCs/>
                <w:sz w:val="20"/>
                <w:lang w:val="en-GB"/>
              </w:rPr>
              <w:t>1,604.09</w:t>
            </w:r>
          </w:p>
        </w:tc>
        <w:tc>
          <w:tcPr>
            <w:tcW w:w="10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rPr>
            </w:pPr>
            <w:r>
              <w:rPr>
                <w:rFonts w:hint="eastAsia" w:ascii="宋体" w:hAnsi="宋体"/>
                <w:bCs/>
                <w:sz w:val="20"/>
                <w:lang w:val="en-GB"/>
              </w:rPr>
              <w:t>3,208.18</w:t>
            </w:r>
          </w:p>
        </w:tc>
        <w:tc>
          <w:tcPr>
            <w:tcW w:w="10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rPr>
            </w:pPr>
            <w:r>
              <w:rPr>
                <w:rFonts w:hint="eastAsia" w:ascii="宋体" w:hAnsi="宋体"/>
                <w:bCs/>
                <w:sz w:val="20"/>
                <w:lang w:val="en-GB"/>
              </w:rPr>
              <w:t>1,604.09</w:t>
            </w:r>
          </w:p>
        </w:tc>
        <w:tc>
          <w:tcPr>
            <w:tcW w:w="10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rPr>
            </w:pPr>
            <w:r>
              <w:rPr>
                <w:rFonts w:hint="eastAsia" w:ascii="宋体" w:hAnsi="宋体"/>
                <w:bCs/>
                <w:sz w:val="20"/>
                <w:lang w:val="en-GB"/>
              </w:rPr>
              <w:t>1,604.09</w:t>
            </w:r>
          </w:p>
        </w:tc>
        <w:tc>
          <w:tcPr>
            <w:tcW w:w="10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0"/>
              </w:rPr>
            </w:pPr>
            <w:r>
              <w:rPr>
                <w:rFonts w:hint="eastAsia" w:ascii="宋体" w:hAnsi="宋体"/>
                <w:bCs/>
                <w:sz w:val="20"/>
                <w:lang w:val="en-GB"/>
              </w:rPr>
              <w:t>3,208.18</w:t>
            </w:r>
          </w:p>
        </w:tc>
      </w:tr>
      <w:tr>
        <w:tblPrEx>
          <w:tblCellMar>
            <w:top w:w="0" w:type="dxa"/>
            <w:left w:w="108" w:type="dxa"/>
            <w:bottom w:w="0" w:type="dxa"/>
            <w:right w:w="108" w:type="dxa"/>
          </w:tblCellMar>
        </w:tblPrEx>
        <w:trPr>
          <w:trHeight w:val="697" w:hRule="atLeast"/>
        </w:trPr>
        <w:tc>
          <w:tcPr>
            <w:tcW w:w="59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rPr>
            </w:pPr>
            <w:r>
              <w:rPr>
                <w:rFonts w:hint="eastAsia" w:ascii="宋体" w:hAnsi="宋体" w:cs="宋体"/>
                <w:color w:val="000000"/>
                <w:kern w:val="0"/>
                <w:sz w:val="20"/>
              </w:rPr>
              <w:t>　</w:t>
            </w:r>
          </w:p>
        </w:tc>
        <w:tc>
          <w:tcPr>
            <w:tcW w:w="138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color w:val="000000"/>
                <w:kern w:val="0"/>
                <w:sz w:val="20"/>
              </w:rPr>
            </w:pPr>
            <w:r>
              <w:rPr>
                <w:rFonts w:hint="eastAsia" w:ascii="宋体" w:hAnsi="宋体" w:cs="宋体"/>
                <w:b/>
                <w:color w:val="000000"/>
                <w:kern w:val="0"/>
                <w:sz w:val="20"/>
              </w:rPr>
              <w:t>合计</w:t>
            </w:r>
          </w:p>
        </w:tc>
        <w:tc>
          <w:tcPr>
            <w:tcW w:w="10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color w:val="000000"/>
                <w:kern w:val="0"/>
                <w:sz w:val="20"/>
              </w:rPr>
            </w:pPr>
            <w:r>
              <w:rPr>
                <w:rFonts w:hint="eastAsia" w:ascii="宋体" w:hAnsi="宋体"/>
                <w:b/>
                <w:bCs/>
                <w:sz w:val="20"/>
                <w:lang w:val="en-GB"/>
              </w:rPr>
              <w:t>1,604.09</w:t>
            </w:r>
          </w:p>
        </w:tc>
        <w:tc>
          <w:tcPr>
            <w:tcW w:w="11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color w:val="000000"/>
                <w:kern w:val="0"/>
                <w:sz w:val="20"/>
              </w:rPr>
            </w:pPr>
            <w:r>
              <w:rPr>
                <w:rFonts w:hint="eastAsia" w:ascii="宋体" w:hAnsi="宋体"/>
                <w:b/>
                <w:bCs/>
                <w:sz w:val="20"/>
                <w:lang w:val="en-GB"/>
              </w:rPr>
              <w:t>1,604.09</w:t>
            </w:r>
          </w:p>
        </w:tc>
        <w:tc>
          <w:tcPr>
            <w:tcW w:w="10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color w:val="000000"/>
                <w:kern w:val="0"/>
                <w:sz w:val="20"/>
              </w:rPr>
            </w:pPr>
            <w:r>
              <w:rPr>
                <w:rFonts w:hint="eastAsia" w:ascii="宋体" w:hAnsi="宋体"/>
                <w:b/>
                <w:bCs/>
                <w:sz w:val="20"/>
                <w:lang w:val="en-GB"/>
              </w:rPr>
              <w:t>3,208.18</w:t>
            </w:r>
          </w:p>
        </w:tc>
        <w:tc>
          <w:tcPr>
            <w:tcW w:w="10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color w:val="000000"/>
                <w:kern w:val="0"/>
                <w:sz w:val="20"/>
              </w:rPr>
            </w:pPr>
            <w:r>
              <w:rPr>
                <w:rFonts w:hint="eastAsia" w:ascii="宋体" w:hAnsi="宋体"/>
                <w:b/>
                <w:bCs/>
                <w:sz w:val="20"/>
                <w:lang w:val="en-GB"/>
              </w:rPr>
              <w:t>1,604.09</w:t>
            </w:r>
          </w:p>
        </w:tc>
        <w:tc>
          <w:tcPr>
            <w:tcW w:w="10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color w:val="000000"/>
                <w:kern w:val="0"/>
                <w:sz w:val="20"/>
              </w:rPr>
            </w:pPr>
            <w:r>
              <w:rPr>
                <w:rFonts w:hint="eastAsia" w:ascii="宋体" w:hAnsi="宋体"/>
                <w:b/>
                <w:bCs/>
                <w:sz w:val="20"/>
                <w:lang w:val="en-GB"/>
              </w:rPr>
              <w:t>1,604.09</w:t>
            </w:r>
          </w:p>
        </w:tc>
        <w:tc>
          <w:tcPr>
            <w:tcW w:w="10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color w:val="000000"/>
                <w:kern w:val="0"/>
                <w:sz w:val="20"/>
              </w:rPr>
            </w:pPr>
            <w:r>
              <w:rPr>
                <w:rFonts w:hint="eastAsia" w:ascii="宋体" w:hAnsi="宋体"/>
                <w:b/>
                <w:bCs/>
                <w:sz w:val="20"/>
                <w:lang w:val="en-GB"/>
              </w:rPr>
              <w:t>3,208.18</w:t>
            </w:r>
          </w:p>
        </w:tc>
      </w:tr>
    </w:tbl>
    <w:p>
      <w:pPr>
        <w:spacing w:line="560" w:lineRule="exact"/>
        <w:rPr>
          <w:rFonts w:ascii="宋体" w:hAnsi="宋体"/>
          <w:bCs/>
          <w:sz w:val="24"/>
          <w:szCs w:val="24"/>
          <w:lang w:val="en-GB"/>
        </w:rPr>
      </w:pPr>
      <w:r>
        <w:rPr>
          <w:rFonts w:hint="eastAsia" w:ascii="宋体" w:hAnsi="宋体"/>
          <w:bCs/>
          <w:sz w:val="24"/>
          <w:szCs w:val="24"/>
          <w:lang w:val="en-GB"/>
        </w:rPr>
        <w:t>详见附表2.</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五.存在问题</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（一）绩效目标制定方面存在问题</w:t>
      </w:r>
    </w:p>
    <w:p>
      <w:pPr>
        <w:spacing w:line="560" w:lineRule="exact"/>
        <w:ind w:firstLine="470" w:firstLineChars="196"/>
        <w:rPr>
          <w:rFonts w:hint="eastAsia" w:ascii="宋体" w:hAnsi="宋体"/>
          <w:bCs/>
          <w:sz w:val="24"/>
          <w:szCs w:val="24"/>
          <w:highlight w:val="none"/>
          <w:lang w:val="en-GB"/>
        </w:rPr>
      </w:pPr>
      <w:r>
        <w:rPr>
          <w:rFonts w:hint="eastAsia" w:ascii="宋体" w:hAnsi="宋体"/>
          <w:bCs/>
          <w:sz w:val="24"/>
          <w:szCs w:val="24"/>
          <w:lang w:val="en-GB"/>
        </w:rPr>
        <w:t>（1）</w:t>
      </w:r>
      <w:r>
        <w:rPr>
          <w:rFonts w:hint="eastAsia" w:ascii="宋体" w:hAnsi="宋体"/>
          <w:bCs/>
          <w:sz w:val="24"/>
          <w:szCs w:val="24"/>
          <w:highlight w:val="none"/>
          <w:lang w:val="en-GB"/>
        </w:rPr>
        <w:t>绩效目标表中制定指标不准确，例如：数量指标中认定普惠性民办幼儿园园所数量为43所，实际2020年应认定普惠性民办幼儿园园所数量14所</w:t>
      </w:r>
      <w:r>
        <w:rPr>
          <w:rFonts w:hint="eastAsia" w:ascii="宋体" w:hAnsi="宋体"/>
          <w:bCs/>
          <w:sz w:val="24"/>
          <w:szCs w:val="24"/>
          <w:highlight w:val="none"/>
          <w:lang w:val="en-GB" w:eastAsia="zh-CN"/>
        </w:rPr>
        <w:t>；</w:t>
      </w:r>
      <w:r>
        <w:rPr>
          <w:rFonts w:hint="eastAsia" w:ascii="宋体" w:hAnsi="宋体"/>
          <w:bCs/>
          <w:sz w:val="24"/>
          <w:szCs w:val="24"/>
          <w:highlight w:val="none"/>
          <w:lang w:val="en-US" w:eastAsia="zh-CN"/>
        </w:rPr>
        <w:t>可持续增长的效益指标不明确</w:t>
      </w:r>
      <w:r>
        <w:rPr>
          <w:rFonts w:hint="eastAsia" w:ascii="宋体" w:hAnsi="宋体"/>
          <w:bCs/>
          <w:sz w:val="24"/>
          <w:szCs w:val="24"/>
          <w:highlight w:val="none"/>
          <w:lang w:val="en-GB"/>
        </w:rPr>
        <w:t>。</w:t>
      </w:r>
    </w:p>
    <w:p>
      <w:pPr>
        <w:spacing w:line="560" w:lineRule="exact"/>
        <w:ind w:firstLine="470" w:firstLineChars="196"/>
        <w:rPr>
          <w:rFonts w:hint="eastAsia" w:ascii="宋体" w:hAnsi="宋体" w:eastAsia="宋体"/>
          <w:bCs/>
          <w:sz w:val="24"/>
          <w:szCs w:val="24"/>
          <w:highlight w:val="none"/>
          <w:lang w:val="en-GB" w:eastAsia="zh-CN"/>
        </w:rPr>
      </w:pP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（二）项目业务管理方面存在问题。</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1. 项目评定实施细节把控不严。例如:2020年天津市津南区奥兰海贝幼儿园普惠园申请书及申请表等资料无申请单位公章及法定代表人签字。</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（三）</w:t>
      </w:r>
      <w:r>
        <w:rPr>
          <w:rFonts w:hint="eastAsia" w:ascii="宋体" w:hAnsi="宋体"/>
          <w:bCs/>
          <w:sz w:val="24"/>
          <w:szCs w:val="24"/>
        </w:rPr>
        <w:t>津南</w:t>
      </w:r>
      <w:r>
        <w:rPr>
          <w:rFonts w:hint="eastAsia" w:ascii="宋体" w:hAnsi="宋体"/>
          <w:bCs/>
          <w:sz w:val="24"/>
          <w:szCs w:val="24"/>
          <w:lang w:val="en-GB"/>
        </w:rPr>
        <w:t>区教育局2020年普惠性民办幼儿园生均经费补助项目未申报项目自评表，未申报项目自评报告。</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六.评价结论及建议</w:t>
      </w:r>
    </w:p>
    <w:p>
      <w:pPr>
        <w:spacing w:line="560" w:lineRule="exact"/>
        <w:ind w:firstLine="470" w:firstLineChars="196"/>
        <w:rPr>
          <w:rFonts w:ascii="宋体" w:hAnsi="宋体"/>
          <w:bCs/>
          <w:color w:val="000000" w:themeColor="text1"/>
          <w:sz w:val="24"/>
          <w:szCs w:val="24"/>
          <w:lang w:val="en-GB"/>
        </w:rPr>
      </w:pPr>
      <w:r>
        <w:rPr>
          <w:rFonts w:hint="eastAsia" w:ascii="宋体" w:hAnsi="宋体"/>
          <w:bCs/>
          <w:color w:val="000000" w:themeColor="text1"/>
          <w:sz w:val="24"/>
          <w:szCs w:val="24"/>
          <w:lang w:val="en-GB"/>
        </w:rPr>
        <w:t>（一）评价结论。</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通过实地核查和指标分析，绩效评价组认为：</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1.津南区教育局2020年度普惠性民办幼儿园生均经费补助项目已完成项目既定工作目标，评定普惠性民办园的工作已完成。</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2.津南区教育局2020年度普惠性民办幼儿园生均经费补助项目制定的管理办法合法、合规，项目资金拨付及使用符合财务管理制度，管理制度较完善。</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评价结论：根据《天津市津南区教育局2020年度普惠性民办幼儿园生均经费补助项目绩效评价指标评分表》，项目绩效评价最终评分</w:t>
      </w:r>
      <w:r>
        <w:rPr>
          <w:rFonts w:hint="eastAsia" w:ascii="宋体" w:hAnsi="宋体"/>
          <w:bCs/>
          <w:color w:val="auto"/>
          <w:sz w:val="24"/>
          <w:szCs w:val="24"/>
          <w:lang w:val="en-GB"/>
        </w:rPr>
        <w:t>为</w:t>
      </w:r>
      <w:r>
        <w:rPr>
          <w:rFonts w:ascii="宋体" w:hAnsi="宋体"/>
          <w:bCs/>
          <w:color w:val="auto"/>
          <w:sz w:val="24"/>
          <w:szCs w:val="24"/>
          <w:lang w:val="en-GB"/>
        </w:rPr>
        <w:t>8</w:t>
      </w:r>
      <w:r>
        <w:rPr>
          <w:rFonts w:hint="eastAsia" w:ascii="宋体" w:hAnsi="宋体"/>
          <w:bCs/>
          <w:color w:val="auto"/>
          <w:sz w:val="24"/>
          <w:szCs w:val="24"/>
          <w:lang w:val="en-GB"/>
        </w:rPr>
        <w:t>7.00分，</w:t>
      </w:r>
      <w:r>
        <w:rPr>
          <w:rFonts w:hint="eastAsia" w:ascii="宋体" w:hAnsi="宋体"/>
          <w:bCs/>
          <w:sz w:val="24"/>
          <w:szCs w:val="24"/>
          <w:lang w:val="en-GB"/>
        </w:rPr>
        <w:t>项目绩效评价结果为良。</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（二）相关建议。</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1. 建议提高绩效目标表的质量，制定合理、合规的绩效指标。</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2．建议加强业务管理，将评定资料补充完整。</w:t>
      </w:r>
    </w:p>
    <w:p>
      <w:pPr>
        <w:spacing w:line="560" w:lineRule="exact"/>
        <w:ind w:firstLine="470" w:firstLineChars="196"/>
        <w:rPr>
          <w:rFonts w:ascii="宋体" w:hAnsi="宋体"/>
          <w:bCs/>
          <w:sz w:val="24"/>
          <w:szCs w:val="24"/>
          <w:lang w:val="en-GB"/>
        </w:rPr>
      </w:pPr>
      <w:r>
        <w:rPr>
          <w:rFonts w:hint="eastAsia" w:ascii="宋体" w:hAnsi="宋体"/>
          <w:bCs/>
          <w:sz w:val="24"/>
          <w:szCs w:val="24"/>
          <w:lang w:val="en-GB"/>
        </w:rPr>
        <w:t>3．</w:t>
      </w:r>
      <w:r>
        <w:rPr>
          <w:rFonts w:hint="eastAsia"/>
        </w:rPr>
        <w:t>完整、及时地报送项目自</w:t>
      </w:r>
      <w:r>
        <w:rPr>
          <w:rFonts w:hint="eastAsia" w:ascii="宋体" w:hAnsi="宋体"/>
          <w:bCs/>
          <w:sz w:val="24"/>
          <w:szCs w:val="24"/>
          <w:lang w:val="en-GB"/>
        </w:rPr>
        <w:t xml:space="preserve">评材料，项目自评报告撰写、自评报告表填写质量达到相关要求。 </w:t>
      </w:r>
    </w:p>
    <w:p>
      <w:pPr>
        <w:spacing w:line="560" w:lineRule="exact"/>
        <w:ind w:firstLine="470" w:firstLineChars="196"/>
        <w:jc w:val="right"/>
        <w:rPr>
          <w:rFonts w:ascii="宋体" w:hAnsi="宋体"/>
          <w:bCs/>
          <w:sz w:val="24"/>
          <w:szCs w:val="24"/>
          <w:lang w:val="en-GB"/>
        </w:rPr>
      </w:pPr>
    </w:p>
    <w:p>
      <w:pPr>
        <w:spacing w:line="560" w:lineRule="exact"/>
        <w:ind w:firstLine="470" w:firstLineChars="196"/>
        <w:jc w:val="right"/>
        <w:rPr>
          <w:rFonts w:ascii="宋体" w:hAnsi="宋体"/>
          <w:bCs/>
          <w:sz w:val="24"/>
          <w:szCs w:val="24"/>
          <w:lang w:val="en-GB"/>
        </w:rPr>
      </w:pPr>
    </w:p>
    <w:p>
      <w:pPr>
        <w:spacing w:line="560" w:lineRule="exact"/>
        <w:ind w:firstLine="470" w:firstLineChars="196"/>
        <w:jc w:val="right"/>
        <w:rPr>
          <w:rFonts w:ascii="宋体" w:hAnsi="宋体"/>
          <w:bCs/>
          <w:sz w:val="24"/>
          <w:szCs w:val="24"/>
          <w:lang w:val="en-GB"/>
        </w:rPr>
      </w:pPr>
      <w:r>
        <w:rPr>
          <w:rFonts w:hint="eastAsia" w:ascii="宋体" w:hAnsi="宋体"/>
          <w:sz w:val="24"/>
          <w:szCs w:val="24"/>
        </w:rPr>
        <w:t xml:space="preserve">普华津融（天津）税务师事务所有限公司   </w:t>
      </w:r>
    </w:p>
    <w:p>
      <w:pPr>
        <w:spacing w:line="560" w:lineRule="exact"/>
        <w:ind w:firstLine="470" w:firstLineChars="196"/>
        <w:jc w:val="right"/>
        <w:rPr>
          <w:rFonts w:ascii="宋体" w:hAnsi="宋体"/>
          <w:bCs/>
          <w:sz w:val="24"/>
          <w:szCs w:val="24"/>
          <w:lang w:val="en-GB"/>
        </w:rPr>
      </w:pPr>
      <w:r>
        <w:rPr>
          <w:rFonts w:hint="eastAsia" w:ascii="宋体" w:hAnsi="宋体"/>
          <w:bCs/>
          <w:sz w:val="24"/>
          <w:szCs w:val="24"/>
          <w:lang w:val="en-GB"/>
        </w:rPr>
        <w:t>二○二一年九月三十日</w:t>
      </w:r>
    </w:p>
    <w:p>
      <w:pPr>
        <w:spacing w:line="560" w:lineRule="exact"/>
        <w:ind w:firstLine="470" w:firstLineChars="196"/>
        <w:rPr>
          <w:rFonts w:ascii="宋体" w:hAnsi="宋体"/>
          <w:bCs/>
          <w:sz w:val="24"/>
          <w:szCs w:val="24"/>
          <w:lang w:val="en-GB"/>
        </w:rPr>
      </w:pPr>
    </w:p>
    <w:p/>
    <w:sectPr>
      <w:footerReference r:id="rId3" w:type="default"/>
      <w:pgSz w:w="11906" w:h="16838"/>
      <w:pgMar w:top="1440" w:right="1701" w:bottom="1440" w:left="1701" w:header="680"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Narrow">
    <w:altName w:val="DejaVu Sans"/>
    <w:panose1 w:val="020B0606020202030204"/>
    <w:charset w:val="00"/>
    <w:family w:val="swiss"/>
    <w:pitch w:val="default"/>
    <w:sig w:usb0="00000000" w:usb1="00000000" w:usb2="00000000" w:usb3="00000000" w:csb0="0000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222"/>
        <w:tab w:val="clear" w:pos="8306"/>
      </w:tabs>
      <w:jc w:val="center"/>
      <w:rPr>
        <w:szCs w:val="18"/>
      </w:rPr>
    </w:pPr>
    <w:r>
      <w:rPr>
        <w:rFonts w:hint="eastAsia"/>
        <w:szCs w:val="18"/>
      </w:rPr>
      <w:t>第</w:t>
    </w:r>
    <w:r>
      <w:rPr>
        <w:szCs w:val="18"/>
      </w:rPr>
      <w:fldChar w:fldCharType="begin"/>
    </w:r>
    <w:r>
      <w:rPr>
        <w:szCs w:val="18"/>
      </w:rPr>
      <w:instrText xml:space="preserve">PAGE   \* MERGEFORMAT</w:instrText>
    </w:r>
    <w:r>
      <w:rPr>
        <w:szCs w:val="18"/>
      </w:rPr>
      <w:fldChar w:fldCharType="separate"/>
    </w:r>
    <w:r>
      <w:rPr>
        <w:szCs w:val="18"/>
        <w:lang w:val="zh-CN"/>
      </w:rPr>
      <w:t>5</w:t>
    </w:r>
    <w:r>
      <w:rPr>
        <w:szCs w:val="18"/>
      </w:rPr>
      <w:fldChar w:fldCharType="end"/>
    </w:r>
    <w:r>
      <w:rPr>
        <w:rFonts w:hint="eastAsia"/>
        <w:szCs w:val="18"/>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931291"/>
    <w:multiLevelType w:val="singleLevel"/>
    <w:tmpl w:val="1193129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AF84EE8"/>
    <w:rsid w:val="00000BD2"/>
    <w:rsid w:val="00051419"/>
    <w:rsid w:val="00055A96"/>
    <w:rsid w:val="00061EA6"/>
    <w:rsid w:val="0015370D"/>
    <w:rsid w:val="001A72C3"/>
    <w:rsid w:val="002672BC"/>
    <w:rsid w:val="002C0486"/>
    <w:rsid w:val="0038504F"/>
    <w:rsid w:val="004D111D"/>
    <w:rsid w:val="004F2BF4"/>
    <w:rsid w:val="0050269F"/>
    <w:rsid w:val="00577D25"/>
    <w:rsid w:val="0062357F"/>
    <w:rsid w:val="00652532"/>
    <w:rsid w:val="00724A3E"/>
    <w:rsid w:val="00760284"/>
    <w:rsid w:val="0078039D"/>
    <w:rsid w:val="00784F92"/>
    <w:rsid w:val="007D5B76"/>
    <w:rsid w:val="00856E2B"/>
    <w:rsid w:val="008D2EDE"/>
    <w:rsid w:val="008D68D4"/>
    <w:rsid w:val="008D7EA3"/>
    <w:rsid w:val="00914C28"/>
    <w:rsid w:val="00962BBC"/>
    <w:rsid w:val="00974E42"/>
    <w:rsid w:val="00985DE9"/>
    <w:rsid w:val="009C1169"/>
    <w:rsid w:val="00A13FE0"/>
    <w:rsid w:val="00B42288"/>
    <w:rsid w:val="00C57C1A"/>
    <w:rsid w:val="00CC1B55"/>
    <w:rsid w:val="00D954D6"/>
    <w:rsid w:val="00DB1813"/>
    <w:rsid w:val="00DB28D5"/>
    <w:rsid w:val="00E5767B"/>
    <w:rsid w:val="00E878C9"/>
    <w:rsid w:val="00EA435C"/>
    <w:rsid w:val="00EF7904"/>
    <w:rsid w:val="00F11894"/>
    <w:rsid w:val="00FD32F2"/>
    <w:rsid w:val="1F626F7E"/>
    <w:rsid w:val="247478E7"/>
    <w:rsid w:val="32830599"/>
    <w:rsid w:val="5AF84EE8"/>
    <w:rsid w:val="FD9D33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0"/>
    <w:qFormat/>
    <w:uiPriority w:val="0"/>
    <w:rPr>
      <w:sz w:val="18"/>
      <w:szCs w:val="18"/>
    </w:rPr>
  </w:style>
  <w:style w:type="paragraph" w:styleId="4">
    <w:name w:val="footer"/>
    <w:basedOn w:val="1"/>
    <w:qFormat/>
    <w:uiPriority w:val="99"/>
    <w:pPr>
      <w:tabs>
        <w:tab w:val="center" w:pos="4153"/>
        <w:tab w:val="right" w:pos="8306"/>
      </w:tabs>
      <w:snapToGrid w:val="0"/>
      <w:jc w:val="left"/>
    </w:pPr>
    <w:rPr>
      <w:kern w:val="0"/>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kern w:val="0"/>
      <w:sz w:val="18"/>
    </w:rPr>
  </w:style>
  <w:style w:type="table" w:styleId="7">
    <w:name w:val="Table Grid"/>
    <w:basedOn w:val="6"/>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annotation reference"/>
    <w:basedOn w:val="8"/>
    <w:qFormat/>
    <w:uiPriority w:val="0"/>
    <w:rPr>
      <w:sz w:val="21"/>
      <w:szCs w:val="21"/>
    </w:rPr>
  </w:style>
  <w:style w:type="character" w:customStyle="1" w:styleId="10">
    <w:name w:val="批注框文本 Char"/>
    <w:basedOn w:val="8"/>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479</Words>
  <Characters>2736</Characters>
  <Lines>22</Lines>
  <Paragraphs>6</Paragraphs>
  <TotalTime>228</TotalTime>
  <ScaleCrop>false</ScaleCrop>
  <LinksUpToDate>false</LinksUpToDate>
  <CharactersWithSpaces>3209</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2021-09-27T12:57:00Z</dcterms:created>
  <dc:creator>陈莉</dc:creator>
  <cp:lastModifiedBy>greatwall</cp:lastModifiedBy>
  <dcterms:modified xsi:type="dcterms:W3CDTF">2022-09-15T15:29:16Z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y fmtid="{D5CDD505-2E9C-101B-9397-08002B2CF9AE}" pid="3" name="ICV">
    <vt:lpwstr>04FAD54128124380B9752C39DA812223</vt:lpwstr>
  </property>
</Properties>
</file>