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2685"/>
        </w:tabs>
        <w:spacing w:line="720" w:lineRule="auto"/>
        <w:jc w:val="left"/>
        <w:rPr>
          <w:rFonts w:ascii="黑体" w:eastAsia="黑体" w:hAnsi="黑体"/>
          <w:b/>
          <w:sz w:val="36"/>
        </w:rPr>
      </w:pPr>
      <w:bookmarkStart w:id="0" w:name="_GoBack"/>
      <w:bookmarkEnd w:id="0"/>
    </w:p>
    <w:p>
      <w:pPr>
        <w:jc w:val="center"/>
        <w:rPr>
          <w:rFonts w:ascii="黑体" w:eastAsia="黑体" w:hAnsi="黑体"/>
          <w:b/>
          <w:sz w:val="36"/>
          <w:szCs w:val="36"/>
        </w:rPr>
      </w:pPr>
      <w:r>
        <w:rPr>
          <w:rFonts w:ascii="黑体" w:eastAsia="黑体" w:hAnsi="黑体" w:hint="eastAsia"/>
          <w:b/>
          <w:sz w:val="36"/>
          <w:szCs w:val="36"/>
        </w:rPr>
        <w:t>天津市津南区教育局</w:t>
      </w:r>
    </w:p>
    <w:p>
      <w:pPr>
        <w:jc w:val="center"/>
        <w:rPr>
          <w:rFonts w:ascii="Arial Narrow" w:hAnsi="Arial Narrow"/>
          <w:sz w:val="24"/>
        </w:rPr>
      </w:pPr>
      <w:r>
        <w:rPr>
          <w:rFonts w:ascii="黑体" w:eastAsia="黑体" w:hAnsi="黑体" w:hint="eastAsia"/>
          <w:b/>
          <w:sz w:val="36"/>
          <w:szCs w:val="36"/>
        </w:rPr>
        <w:t>2</w:t>
      </w:r>
      <w:r>
        <w:rPr>
          <w:rFonts w:ascii="黑体" w:eastAsia="黑体" w:hAnsi="黑体"/>
          <w:b/>
          <w:sz w:val="36"/>
          <w:szCs w:val="36"/>
        </w:rPr>
        <w:t>0</w:t>
      </w:r>
      <w:r>
        <w:rPr>
          <w:rFonts w:ascii="黑体" w:eastAsia="黑体" w:hAnsi="黑体" w:hint="eastAsia"/>
          <w:b/>
          <w:sz w:val="36"/>
          <w:szCs w:val="36"/>
        </w:rPr>
        <w:t>20年度枫情阳光配套幼儿园提升改造工程绩效评价报告</w:t>
      </w:r>
    </w:p>
    <w:p>
      <w:pPr>
        <w:snapToGrid w:val="0"/>
        <w:spacing w:afterLines="100" w:after="312" w:line="240" w:lineRule="atLeast"/>
        <w:jc w:val="center"/>
        <w:rPr>
          <w:rFonts w:ascii="宋体" w:hAnsi="宋体"/>
          <w:szCs w:val="21"/>
          <w:highlight w:val="auto"/>
        </w:rPr>
      </w:pPr>
      <w:r>
        <w:rPr>
          <w:rFonts w:ascii="宋体" w:hAnsi="宋体"/>
          <w:b/>
          <w:sz w:val="24"/>
          <w:szCs w:val="24"/>
        </w:rPr>
        <w:tab/>
      </w:r>
      <w:r>
        <w:rPr>
          <w:rFonts w:ascii="宋体" w:hAnsi="宋体" w:hint="eastAsia"/>
          <w:szCs w:val="21"/>
        </w:rPr>
        <w:t>津税普华鉴咨</w:t>
      </w:r>
      <w:r>
        <w:rPr>
          <w:rFonts w:ascii="宋体" w:hAnsi="宋体" w:hint="eastAsia"/>
          <w:szCs w:val="21"/>
          <w:highlight w:val="auto"/>
        </w:rPr>
        <w:t>字[2021]第002号</w:t>
      </w:r>
    </w:p>
    <w:p>
      <w:pPr>
        <w:spacing w:before="240" w:after="240" w:line="560" w:lineRule="exact"/>
        <w:jc w:val="left"/>
        <w:rPr>
          <w:rFonts w:ascii="宋体" w:hAnsi="宋体"/>
          <w:b/>
          <w:bCs/>
          <w:sz w:val="24"/>
          <w:szCs w:val="24"/>
          <w:lang w:val="en-GB"/>
          <w:highlight w:val="auto"/>
        </w:rPr>
      </w:pPr>
      <w:r>
        <w:rPr>
          <w:rFonts w:ascii="宋体" w:hAnsi="宋体" w:hint="eastAsia"/>
          <w:b/>
          <w:bCs/>
          <w:sz w:val="24"/>
          <w:szCs w:val="24"/>
          <w:lang w:val="en-GB"/>
          <w:highlight w:val="auto"/>
        </w:rPr>
        <w:t>天津市</w:t>
      </w:r>
      <w:r>
        <w:rPr>
          <w:rFonts w:ascii="宋体" w:hAnsi="宋体" w:hint="eastAsia"/>
          <w:b/>
          <w:bCs/>
          <w:sz w:val="24"/>
          <w:szCs w:val="24"/>
          <w:highlight w:val="auto"/>
        </w:rPr>
        <w:t>津南</w:t>
      </w:r>
      <w:r>
        <w:rPr>
          <w:rFonts w:ascii="宋体" w:hAnsi="宋体" w:hint="eastAsia"/>
          <w:b/>
          <w:bCs/>
          <w:sz w:val="24"/>
          <w:szCs w:val="24"/>
          <w:lang w:val="en-GB"/>
          <w:highlight w:val="auto"/>
        </w:rPr>
        <w:t>区财政局</w:t>
      </w:r>
      <w:r>
        <w:rPr>
          <w:rFonts w:ascii="宋体" w:hAnsi="宋体"/>
          <w:b/>
          <w:bCs/>
          <w:sz w:val="24"/>
          <w:szCs w:val="24"/>
          <w:lang w:val="en-GB"/>
          <w:highlight w:val="auto"/>
        </w:rPr>
        <w:t>：</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我们接受了委托，为规范和加强财政支出管理，强化支出责任，提高财政资金使用效益，根据市政府办公厅《转发市财政局拟定的天津市财政项目支出绩效评价管理办法的通知》（津政办发〔2012〕2号）精神的要求，</w:t>
      </w:r>
      <w:r>
        <w:rPr>
          <w:rFonts w:ascii="宋体" w:hAnsi="宋体" w:hint="eastAsia"/>
          <w:bCs/>
          <w:color w:val="000000"/>
          <w:sz w:val="24"/>
          <w:szCs w:val="24"/>
        </w:rPr>
        <w:t>由</w:t>
      </w:r>
      <w:r>
        <w:rPr>
          <w:rFonts w:ascii="宋体" w:hAnsi="宋体" w:hint="eastAsia"/>
          <w:sz w:val="24"/>
          <w:szCs w:val="24"/>
        </w:rPr>
        <w:t>普华津融（天津）税务师事务所有限公司</w:t>
      </w:r>
      <w:r>
        <w:rPr>
          <w:rFonts w:ascii="宋体" w:hAnsi="宋体" w:hint="eastAsia"/>
          <w:bCs/>
          <w:sz w:val="24"/>
          <w:szCs w:val="24"/>
          <w:lang w:val="en-GB"/>
        </w:rPr>
        <w:t>（以下简称“</w:t>
      </w:r>
      <w:r>
        <w:rPr>
          <w:rFonts w:ascii="宋体" w:hAnsi="宋体" w:hint="eastAsia"/>
          <w:sz w:val="24"/>
          <w:szCs w:val="24"/>
        </w:rPr>
        <w:t>普华津融</w:t>
      </w:r>
      <w:r>
        <w:rPr>
          <w:rFonts w:ascii="宋体" w:hAnsi="宋体" w:hint="eastAsia"/>
          <w:bCs/>
          <w:sz w:val="24"/>
          <w:szCs w:val="24"/>
          <w:lang w:val="en-GB"/>
        </w:rPr>
        <w:t>”）绩效评价组对天津市津南区教育局2020年度枫情阳光配套幼儿园提升改造工程进行了绩效评价，现将有关情况报告如下：</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一.基本概况</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天津市</w:t>
      </w:r>
      <w:r>
        <w:rPr>
          <w:rFonts w:ascii="宋体" w:hAnsi="宋体" w:hint="eastAsia"/>
          <w:bCs/>
          <w:sz w:val="24"/>
          <w:szCs w:val="24"/>
        </w:rPr>
        <w:t>津南</w:t>
      </w:r>
      <w:r>
        <w:rPr>
          <w:rFonts w:ascii="宋体" w:hAnsi="宋体" w:hint="eastAsia"/>
          <w:bCs/>
          <w:sz w:val="24"/>
          <w:szCs w:val="24"/>
          <w:lang w:val="en-GB"/>
        </w:rPr>
        <w:t>区教育局（以下简称“</w:t>
      </w:r>
      <w:r>
        <w:rPr>
          <w:rFonts w:ascii="宋体" w:hAnsi="宋体" w:hint="eastAsia"/>
          <w:bCs/>
          <w:sz w:val="24"/>
          <w:szCs w:val="24"/>
        </w:rPr>
        <w:t>津南</w:t>
      </w:r>
      <w:r>
        <w:rPr>
          <w:rFonts w:ascii="宋体" w:hAnsi="宋体" w:hint="eastAsia"/>
          <w:bCs/>
          <w:sz w:val="24"/>
          <w:szCs w:val="24"/>
          <w:lang w:val="en-GB"/>
        </w:rPr>
        <w:t>区教育局”）2020年度枫情阳光配套幼儿园提升改造工程依据天津市津南区发展和改革委员会文件津南发改投资[2020]33号《津南区发展和改革委员会关于"天津市津南区枫情阳光配套幼儿园提升改造工程"项目建议书的批复》，津南发改投资[2020]75号《津南区发展和改革委员会关于"天津市津南区枫情阳光配套幼儿园提升改造工程"项目可行性研究报告的批复》， 津南发改投资[2020]132号《津南区发展和改革委员会关于"天津市津南区枫情阳光配套幼儿园提升改造工程"项目初步设计的批复》设立，项目设立过程符合相关要求。项目</w:t>
      </w:r>
      <w:r>
        <w:rPr>
          <w:rFonts w:ascii="宋体" w:hAnsi="宋体" w:hint="eastAsia"/>
          <w:bCs/>
          <w:sz w:val="24"/>
          <w:szCs w:val="24"/>
          <w:lang w:val="en-US" w:eastAsia="zh-CN"/>
        </w:rPr>
        <w:t>年初</w:t>
      </w:r>
      <w:r>
        <w:rPr>
          <w:rFonts w:ascii="宋体" w:hAnsi="宋体" w:hint="eastAsia"/>
          <w:bCs/>
          <w:sz w:val="24"/>
          <w:szCs w:val="24"/>
          <w:lang w:val="en-GB"/>
        </w:rPr>
        <w:t>预算</w:t>
      </w:r>
      <w:r>
        <w:rPr>
          <w:rFonts w:ascii="宋体" w:hAnsi="宋体" w:hint="eastAsia"/>
          <w:bCs/>
          <w:sz w:val="24"/>
          <w:szCs w:val="24"/>
          <w:lang w:val="en-US" w:eastAsia="zh-CN"/>
        </w:rPr>
        <w:t>为30.00万元，调整后的预算</w:t>
      </w:r>
      <w:r>
        <w:rPr>
          <w:rFonts w:ascii="宋体" w:hAnsi="宋体" w:hint="eastAsia"/>
          <w:bCs/>
          <w:sz w:val="24"/>
          <w:szCs w:val="24"/>
          <w:lang w:val="en-GB"/>
        </w:rPr>
        <w:t>为962.00万元，实际申请资金962.00万元，支出962.00万元，无项目资金结余。津南区教育局申报了绩效目标，评价组以《项目支出绩效目标表》为依据，确定项目的工作目标为：</w:t>
      </w:r>
    </w:p>
    <w:p>
      <w:pPr>
        <w:spacing w:line="560" w:lineRule="exact"/>
        <w:ind w:firstLineChars="196" w:firstLine="470"/>
        <w:rPr>
          <w:rFonts w:ascii="宋体" w:hAnsi="宋体"/>
          <w:bCs/>
          <w:sz w:val="24"/>
          <w:szCs w:val="24"/>
          <w:lang w:val="en-GB"/>
          <w:highlight w:val="auto"/>
        </w:rPr>
      </w:pPr>
      <w:r>
        <w:rPr>
          <w:rFonts w:ascii="宋体" w:hAnsi="宋体" w:hint="eastAsia"/>
          <w:bCs/>
          <w:sz w:val="24"/>
          <w:szCs w:val="24"/>
          <w:lang w:val="en-GB"/>
          <w:highlight w:val="auto"/>
        </w:rPr>
        <w:t>1.完成2020年度枫情阳光配套幼儿园提升改造工程，改造面积3</w:t>
      </w:r>
      <w:r>
        <w:rPr>
          <w:rFonts w:ascii="宋体" w:hAnsi="宋体" w:hint="eastAsia"/>
          <w:bCs/>
          <w:sz w:val="24"/>
          <w:szCs w:val="24"/>
          <w:lang w:val="en-US" w:eastAsia="zh-CN"/>
          <w:highlight w:val="auto"/>
        </w:rPr>
        <w:t>,</w:t>
      </w:r>
      <w:r>
        <w:rPr>
          <w:rFonts w:ascii="宋体" w:hAnsi="宋体" w:hint="eastAsia"/>
          <w:bCs/>
          <w:sz w:val="24"/>
          <w:szCs w:val="24"/>
          <w:lang w:val="en-GB"/>
          <w:highlight w:val="auto"/>
        </w:rPr>
        <w:t>781.31平方米；</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2.幼儿园设置12个班，每班30人,提供学位360个；</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3.有效解决学龄前儿童入园需求,提升园所办园条件；</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二.绩效评价的组织实施情况</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（一）评价准备阶段。</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2020年9月初，绩效评价组赴天津市</w:t>
      </w:r>
      <w:r>
        <w:rPr>
          <w:rFonts w:ascii="宋体" w:hAnsi="宋体" w:hint="eastAsia"/>
          <w:bCs/>
          <w:sz w:val="24"/>
          <w:szCs w:val="24"/>
        </w:rPr>
        <w:t>津南</w:t>
      </w:r>
      <w:r>
        <w:rPr>
          <w:rFonts w:ascii="宋体" w:hAnsi="宋体" w:hint="eastAsia"/>
          <w:bCs/>
          <w:sz w:val="24"/>
          <w:szCs w:val="24"/>
          <w:lang w:val="en-GB"/>
        </w:rPr>
        <w:t>区教育局参加见面会，听取了</w:t>
      </w:r>
      <w:r>
        <w:rPr>
          <w:rFonts w:ascii="宋体" w:hAnsi="宋体" w:hint="eastAsia"/>
          <w:bCs/>
          <w:sz w:val="24"/>
          <w:szCs w:val="24"/>
        </w:rPr>
        <w:t>津南</w:t>
      </w:r>
      <w:r>
        <w:rPr>
          <w:rFonts w:ascii="宋体" w:hAnsi="宋体" w:hint="eastAsia"/>
          <w:bCs/>
          <w:sz w:val="24"/>
          <w:szCs w:val="24"/>
          <w:lang w:val="en-GB"/>
        </w:rPr>
        <w:t>区教育局枫情阳光配套幼儿园提升改造工程的申请立项、资金落实、业务管理、财务管理、项目产出、项目效益等方面的情况介绍，并对项目后续评价工作的基本原则及所需的各类资料文件提出了要求。随后评价组对</w:t>
      </w:r>
      <w:r>
        <w:rPr>
          <w:rFonts w:ascii="宋体" w:hAnsi="宋体" w:hint="eastAsia"/>
          <w:bCs/>
          <w:sz w:val="24"/>
          <w:szCs w:val="24"/>
        </w:rPr>
        <w:t>津南</w:t>
      </w:r>
      <w:r>
        <w:rPr>
          <w:rFonts w:ascii="宋体" w:hAnsi="宋体" w:hint="eastAsia"/>
          <w:bCs/>
          <w:sz w:val="24"/>
          <w:szCs w:val="24"/>
          <w:lang w:val="en-GB"/>
        </w:rPr>
        <w:t>区教育局枫情阳光配套幼儿园提升改造工程的自评工作开展了辅导，</w:t>
      </w:r>
      <w:r>
        <w:rPr>
          <w:rFonts w:ascii="宋体" w:hAnsi="宋体" w:hint="eastAsia"/>
          <w:bCs/>
          <w:sz w:val="24"/>
          <w:szCs w:val="24"/>
        </w:rPr>
        <w:t>津南</w:t>
      </w:r>
      <w:r>
        <w:rPr>
          <w:rFonts w:ascii="宋体" w:hAnsi="宋体" w:hint="eastAsia"/>
          <w:bCs/>
          <w:sz w:val="24"/>
          <w:szCs w:val="24"/>
          <w:lang w:val="en-GB"/>
        </w:rPr>
        <w:t>区教育局枫情阳光配套幼儿园提升改造工程</w:t>
      </w:r>
      <w:r>
        <w:rPr>
          <w:rFonts w:ascii="宋体" w:hAnsi="宋体" w:hint="eastAsia"/>
          <w:bCs/>
          <w:color w:val="000000"/>
          <w:sz w:val="24"/>
          <w:szCs w:val="24"/>
          <w:lang w:val="en-GB"/>
        </w:rPr>
        <w:t>申报了项目自评材料。</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（二）评价工作实施阶段。</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1.正式进驻。评价组2020年9月6日到9月30日正式进驻天津市</w:t>
      </w:r>
      <w:r>
        <w:rPr>
          <w:rFonts w:ascii="宋体" w:hAnsi="宋体" w:hint="eastAsia"/>
          <w:bCs/>
          <w:sz w:val="24"/>
          <w:szCs w:val="24"/>
        </w:rPr>
        <w:t>津南</w:t>
      </w:r>
      <w:r>
        <w:rPr>
          <w:rFonts w:ascii="宋体" w:hAnsi="宋体" w:hint="eastAsia"/>
          <w:bCs/>
          <w:sz w:val="24"/>
          <w:szCs w:val="24"/>
          <w:lang w:val="en-GB"/>
        </w:rPr>
        <w:t>教育局实施评价工作。</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2.全面审查。评价组对枫情阳光配套幼儿园提升改造工程的文件依据、制度制定、制度执行、资金拨付、项目效益等方面进行了全面梳理。根据项目管理办法及相关通知的要求，确定了</w:t>
      </w:r>
      <w:r>
        <w:rPr>
          <w:rFonts w:ascii="宋体" w:hAnsi="宋体" w:hint="eastAsia"/>
          <w:bCs/>
          <w:sz w:val="24"/>
          <w:szCs w:val="24"/>
        </w:rPr>
        <w:t>津南</w:t>
      </w:r>
      <w:r>
        <w:rPr>
          <w:rFonts w:ascii="宋体" w:hAnsi="宋体" w:hint="eastAsia"/>
          <w:bCs/>
          <w:sz w:val="24"/>
          <w:szCs w:val="24"/>
          <w:lang w:val="en-GB"/>
        </w:rPr>
        <w:t>区教育局枫情阳光配套幼儿园提升改造工程的政策方向及</w:t>
      </w:r>
      <w:r>
        <w:rPr>
          <w:rFonts w:ascii="宋体" w:hAnsi="宋体" w:hint="eastAsia"/>
          <w:bCs/>
          <w:sz w:val="24"/>
          <w:szCs w:val="24"/>
          <w:lang w:val="en-US" w:eastAsia="zh-CN"/>
        </w:rPr>
        <w:t>资金</w:t>
      </w:r>
      <w:r>
        <w:rPr>
          <w:rFonts w:ascii="宋体" w:hAnsi="宋体" w:hint="eastAsia"/>
          <w:bCs/>
          <w:sz w:val="24"/>
          <w:szCs w:val="24"/>
          <w:lang w:val="en-GB"/>
        </w:rPr>
        <w:t>使用范围；根据</w:t>
      </w:r>
      <w:r>
        <w:rPr>
          <w:rFonts w:ascii="宋体" w:hAnsi="宋体" w:hint="eastAsia"/>
          <w:bCs/>
          <w:sz w:val="24"/>
          <w:szCs w:val="24"/>
        </w:rPr>
        <w:t>津南</w:t>
      </w:r>
      <w:r>
        <w:rPr>
          <w:rFonts w:ascii="宋体" w:hAnsi="宋体" w:hint="eastAsia"/>
          <w:bCs/>
          <w:sz w:val="24"/>
          <w:szCs w:val="24"/>
          <w:lang w:val="en-GB"/>
        </w:rPr>
        <w:t>区教育局枫情阳光配套幼儿园提升改造工程实施的申请材料、</w:t>
      </w:r>
      <w:r>
        <w:rPr>
          <w:rFonts w:ascii="宋体" w:hAnsi="宋体" w:hint="eastAsia"/>
          <w:bCs/>
          <w:sz w:val="24"/>
          <w:szCs w:val="24"/>
        </w:rPr>
        <w:t>津南</w:t>
      </w:r>
      <w:r>
        <w:rPr>
          <w:rFonts w:ascii="宋体" w:hAnsi="宋体" w:hint="eastAsia"/>
          <w:bCs/>
          <w:sz w:val="24"/>
          <w:szCs w:val="24"/>
          <w:lang w:val="en-GB"/>
        </w:rPr>
        <w:t>区教育局枫情阳光配套幼儿园提升改造工程资金申请书、津南区财政局</w:t>
      </w:r>
      <w:r>
        <w:rPr>
          <w:rFonts w:ascii="宋体" w:hAnsi="宋体" w:hint="eastAsia"/>
          <w:bCs/>
          <w:sz w:val="24"/>
          <w:szCs w:val="24"/>
          <w:lang w:val="en-US" w:eastAsia="zh-CN"/>
        </w:rPr>
        <w:t>资金</w:t>
      </w:r>
      <w:r>
        <w:rPr>
          <w:rFonts w:ascii="宋体" w:hAnsi="宋体" w:hint="eastAsia"/>
          <w:bCs/>
          <w:sz w:val="24"/>
          <w:szCs w:val="24"/>
          <w:lang w:val="en-GB"/>
        </w:rPr>
        <w:t>划拨等资料，对</w:t>
      </w:r>
      <w:r>
        <w:rPr>
          <w:rFonts w:ascii="宋体" w:hAnsi="宋体" w:hint="eastAsia"/>
          <w:bCs/>
          <w:sz w:val="24"/>
          <w:szCs w:val="24"/>
        </w:rPr>
        <w:t>津南</w:t>
      </w:r>
      <w:r>
        <w:rPr>
          <w:rFonts w:ascii="宋体" w:hAnsi="宋体" w:hint="eastAsia"/>
          <w:bCs/>
          <w:sz w:val="24"/>
          <w:szCs w:val="24"/>
          <w:lang w:val="en-GB"/>
        </w:rPr>
        <w:t>区教育局枫情阳光配套幼儿园提升改造工程的实施过程、验收环节、付款进度等内容进行了整体评价。</w:t>
      </w:r>
    </w:p>
    <w:p>
      <w:pPr>
        <w:spacing w:line="560" w:lineRule="exact"/>
        <w:ind w:firstLineChars="196" w:firstLine="470"/>
        <w:rPr>
          <w:rFonts w:ascii="宋体" w:hAnsi="宋体"/>
          <w:bCs/>
          <w:sz w:val="24"/>
          <w:szCs w:val="24"/>
          <w:lang w:val="en-GB"/>
        </w:rPr>
      </w:pPr>
      <w:r>
        <w:rPr>
          <w:rFonts w:ascii="宋体" w:hAnsi="宋体"/>
          <w:bCs/>
          <w:sz w:val="24"/>
          <w:szCs w:val="24"/>
          <w:lang w:val="en-GB"/>
        </w:rPr>
        <w:t>3</w:t>
      </w:r>
      <w:r>
        <w:rPr>
          <w:rFonts w:ascii="宋体" w:hAnsi="宋体" w:hint="eastAsia"/>
          <w:bCs/>
          <w:sz w:val="24"/>
          <w:szCs w:val="24"/>
          <w:lang w:val="en-GB"/>
        </w:rPr>
        <w:t>.评价打分。按照绩效评价指标体系编制了工作底稿对各绩效指标进行了评分。</w:t>
      </w:r>
    </w:p>
    <w:p>
      <w:pPr>
        <w:spacing w:line="560" w:lineRule="exact"/>
        <w:ind w:firstLineChars="196" w:firstLine="470"/>
        <w:rPr>
          <w:rFonts w:ascii="宋体" w:hAnsi="宋体"/>
          <w:bCs/>
          <w:sz w:val="24"/>
          <w:szCs w:val="24"/>
          <w:lang w:val="en-GB"/>
        </w:rPr>
      </w:pPr>
      <w:r>
        <w:rPr>
          <w:rFonts w:ascii="宋体" w:hAnsi="宋体"/>
          <w:bCs/>
          <w:sz w:val="24"/>
          <w:szCs w:val="24"/>
          <w:lang w:val="en-GB"/>
        </w:rPr>
        <w:t>4</w:t>
      </w:r>
      <w:r>
        <w:rPr>
          <w:rFonts w:ascii="宋体" w:hAnsi="宋体" w:hint="eastAsia"/>
          <w:bCs/>
          <w:sz w:val="24"/>
          <w:szCs w:val="24"/>
          <w:lang w:val="en-GB"/>
        </w:rPr>
        <w:t>.编制报告。评价组根据核查和打分情况，起草绩效评价报告，全面梳理本项目取得的成效、存在问题及工作建议。并向</w:t>
      </w:r>
      <w:r>
        <w:rPr>
          <w:rFonts w:ascii="宋体" w:hAnsi="宋体" w:hint="eastAsia"/>
          <w:bCs/>
          <w:sz w:val="24"/>
          <w:szCs w:val="24"/>
        </w:rPr>
        <w:t>津南</w:t>
      </w:r>
      <w:r>
        <w:rPr>
          <w:rFonts w:ascii="宋体" w:hAnsi="宋体" w:hint="eastAsia"/>
          <w:bCs/>
          <w:sz w:val="24"/>
          <w:szCs w:val="24"/>
          <w:lang w:val="en-GB"/>
        </w:rPr>
        <w:t>区教育局征求意见后报送</w:t>
      </w:r>
      <w:r>
        <w:rPr>
          <w:rFonts w:ascii="宋体" w:hAnsi="宋体" w:hint="eastAsia"/>
          <w:bCs/>
          <w:sz w:val="24"/>
          <w:szCs w:val="24"/>
        </w:rPr>
        <w:t>津南</w:t>
      </w:r>
      <w:r>
        <w:rPr>
          <w:rFonts w:ascii="宋体" w:hAnsi="宋体" w:hint="eastAsia"/>
          <w:bCs/>
          <w:sz w:val="24"/>
          <w:szCs w:val="24"/>
          <w:lang w:val="en-GB"/>
        </w:rPr>
        <w:t>区财政局。</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三.绩效评价指标体系和评价方法</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（一）绩效评价指标体系。</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项目绩效评价指标体系由</w:t>
      </w:r>
      <w:r>
        <w:rPr>
          <w:rFonts w:ascii="宋体" w:hAnsi="宋体" w:hint="eastAsia"/>
          <w:bCs/>
          <w:color w:val="000000"/>
          <w:sz w:val="24"/>
          <w:szCs w:val="24"/>
          <w:lang w:val="en-GB"/>
          <w:highlight w:val="auto"/>
        </w:rPr>
        <w:t>投入、过程、产出、效果及自评指标</w:t>
      </w:r>
      <w:r>
        <w:rPr>
          <w:rFonts w:ascii="宋体" w:hAnsi="宋体" w:hint="eastAsia"/>
          <w:bCs/>
          <w:color w:val="000000"/>
          <w:sz w:val="24"/>
          <w:szCs w:val="24"/>
          <w:highlight w:val="auto"/>
        </w:rPr>
        <w:t>五</w:t>
      </w:r>
      <w:r>
        <w:rPr>
          <w:rFonts w:ascii="宋体" w:hAnsi="宋体" w:hint="eastAsia"/>
          <w:bCs/>
          <w:color w:val="000000"/>
          <w:sz w:val="24"/>
          <w:szCs w:val="24"/>
          <w:lang w:val="en-GB"/>
          <w:highlight w:val="auto"/>
        </w:rPr>
        <w:t>部</w:t>
      </w:r>
      <w:r>
        <w:rPr>
          <w:rFonts w:ascii="宋体" w:hAnsi="宋体" w:hint="eastAsia"/>
          <w:bCs/>
          <w:sz w:val="24"/>
          <w:szCs w:val="24"/>
          <w:lang w:val="en-GB"/>
          <w:highlight w:val="auto"/>
        </w:rPr>
        <w:t>分指标</w:t>
      </w:r>
      <w:r>
        <w:rPr>
          <w:rFonts w:ascii="宋体" w:hAnsi="宋体" w:hint="eastAsia"/>
          <w:bCs/>
          <w:sz w:val="24"/>
          <w:szCs w:val="24"/>
          <w:lang w:val="en-GB"/>
        </w:rPr>
        <w:t>构成。此体系满分100分，各项指标综合得分90分（含）以上为优；80分（含）至90为良；60分（含）至80分为中；60分以下为差。</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项目绩效评价指标体系及评分结果详见附件1。</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（二）评价方法。</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本次评价主要使用了比较法和抽查法。</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四.绩效目标的实现程度</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（一）绩效目标实现程度。</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1.项目完成情况</w:t>
      </w:r>
    </w:p>
    <w:p>
      <w:pPr>
        <w:spacing w:line="560" w:lineRule="exact"/>
        <w:ind w:firstLineChars="196" w:firstLine="470"/>
        <w:rPr>
          <w:rFonts w:ascii="宋体" w:hAnsi="宋体" w:hint="eastAsia"/>
          <w:bCs/>
          <w:sz w:val="24"/>
          <w:szCs w:val="24"/>
          <w:lang w:val="en-GB"/>
        </w:rPr>
      </w:pPr>
      <w:r>
        <w:rPr>
          <w:rFonts w:ascii="宋体" w:hAnsi="宋体" w:hint="eastAsia"/>
          <w:bCs/>
          <w:sz w:val="24"/>
          <w:szCs w:val="24"/>
        </w:rPr>
        <w:t>津南</w:t>
      </w:r>
      <w:r>
        <w:rPr>
          <w:rFonts w:ascii="宋体" w:hAnsi="宋体" w:hint="eastAsia"/>
          <w:bCs/>
          <w:sz w:val="24"/>
          <w:szCs w:val="24"/>
          <w:lang w:val="en-GB"/>
        </w:rPr>
        <w:t>区教育局2020年度枫情阳光配套幼儿园提升改造工程主要完成工作：</w:t>
      </w:r>
    </w:p>
    <w:p>
      <w:pPr>
        <w:numPr>
          <w:ilvl w:val="0"/>
          <w:numId w:val="1"/>
        </w:numPr>
        <w:spacing w:line="560" w:lineRule="exact"/>
        <w:ind w:left="0" w:firstLineChars="196" w:firstLine="470"/>
        <w:rPr>
          <w:rFonts w:ascii="宋体" w:hAnsi="宋体" w:hint="eastAsia"/>
          <w:bCs/>
          <w:sz w:val="24"/>
          <w:szCs w:val="24"/>
          <w:lang w:val="en-GB"/>
        </w:rPr>
      </w:pPr>
      <w:r>
        <w:rPr>
          <w:rFonts w:ascii="宋体" w:hAnsi="宋体" w:hint="eastAsia"/>
          <w:bCs/>
          <w:sz w:val="24"/>
          <w:szCs w:val="24"/>
          <w:lang w:val="en-GB"/>
        </w:rPr>
        <w:t>完成了2020年度枫情阳光配套幼儿园提升改造工程3</w:t>
      </w:r>
      <w:r>
        <w:rPr>
          <w:rFonts w:ascii="宋体" w:hAnsi="宋体" w:hint="eastAsia"/>
          <w:bCs/>
          <w:sz w:val="24"/>
          <w:szCs w:val="24"/>
          <w:lang w:val="en-US" w:eastAsia="zh-CN"/>
        </w:rPr>
        <w:t>,</w:t>
      </w:r>
      <w:r>
        <w:rPr>
          <w:rFonts w:ascii="宋体" w:hAnsi="宋体" w:hint="eastAsia"/>
          <w:bCs/>
          <w:sz w:val="24"/>
          <w:szCs w:val="24"/>
          <w:lang w:val="en-GB"/>
        </w:rPr>
        <w:t>781.31平方米,并投入使用；</w:t>
      </w:r>
    </w:p>
    <w:p>
      <w:pPr>
        <w:numPr>
          <w:ilvl w:val="0"/>
          <w:numId w:val="1"/>
        </w:numPr>
        <w:spacing w:line="560" w:lineRule="exact"/>
        <w:ind w:left="0" w:firstLineChars="196" w:firstLine="470"/>
        <w:rPr>
          <w:rFonts w:ascii="宋体" w:hAnsi="宋体"/>
          <w:bCs/>
          <w:sz w:val="24"/>
          <w:szCs w:val="24"/>
          <w:lang w:val="en-GB"/>
        </w:rPr>
      </w:pPr>
      <w:r>
        <w:rPr>
          <w:rFonts w:ascii="宋体" w:hAnsi="宋体" w:hint="eastAsia"/>
          <w:bCs/>
          <w:sz w:val="24"/>
          <w:szCs w:val="24"/>
          <w:lang w:val="en-GB"/>
        </w:rPr>
        <w:t>幼儿园设置12个班，每班30人,提供学位360个；</w:t>
      </w:r>
    </w:p>
    <w:p>
      <w:pPr>
        <w:numPr>
          <w:ilvl w:val="0"/>
          <w:numId w:val="1"/>
        </w:numPr>
        <w:spacing w:line="560" w:lineRule="exact"/>
        <w:ind w:left="0" w:firstLineChars="196" w:firstLine="470"/>
        <w:rPr>
          <w:rFonts w:ascii="宋体" w:hAnsi="宋体"/>
          <w:bCs/>
          <w:sz w:val="24"/>
          <w:szCs w:val="24"/>
          <w:lang w:val="en-GB"/>
        </w:rPr>
      </w:pPr>
      <w:r>
        <w:rPr>
          <w:rFonts w:ascii="宋体" w:hAnsi="宋体" w:hint="eastAsia"/>
          <w:bCs/>
          <w:sz w:val="24"/>
          <w:szCs w:val="24"/>
          <w:lang w:val="en-GB"/>
        </w:rPr>
        <w:t>有效解决学龄前儿童入园需求,提升园所办园条件；</w:t>
      </w:r>
    </w:p>
    <w:p>
      <w:pPr>
        <w:numPr>
          <w:ilvl w:val="0"/>
          <w:numId w:val="1"/>
        </w:numPr>
        <w:spacing w:line="560" w:lineRule="exact"/>
        <w:ind w:left="0" w:firstLineChars="196" w:firstLine="470"/>
        <w:rPr>
          <w:rFonts w:ascii="宋体" w:hAnsi="宋体"/>
          <w:bCs/>
          <w:sz w:val="24"/>
          <w:szCs w:val="24"/>
          <w:lang w:val="en-GB"/>
        </w:rPr>
      </w:pPr>
      <w:r>
        <w:rPr>
          <w:rFonts w:ascii="宋体" w:hAnsi="宋体" w:hint="eastAsia"/>
          <w:bCs/>
          <w:sz w:val="24"/>
          <w:szCs w:val="24"/>
          <w:lang w:val="en-GB"/>
        </w:rPr>
        <w:t>该项目于2</w:t>
      </w:r>
      <w:r>
        <w:rPr>
          <w:rFonts w:ascii="宋体" w:hAnsi="宋体"/>
          <w:bCs/>
          <w:sz w:val="24"/>
          <w:szCs w:val="24"/>
          <w:lang w:val="en-GB"/>
        </w:rPr>
        <w:t>0</w:t>
      </w:r>
      <w:r>
        <w:rPr>
          <w:rFonts w:ascii="宋体" w:hAnsi="宋体" w:hint="eastAsia"/>
          <w:bCs/>
          <w:sz w:val="24"/>
          <w:szCs w:val="24"/>
          <w:lang w:val="en-GB"/>
        </w:rPr>
        <w:t>20年11月16日施工完毕，并验收合格。</w:t>
      </w:r>
    </w:p>
    <w:p>
      <w:pPr>
        <w:spacing w:line="560" w:lineRule="exact"/>
        <w:ind w:firstLineChars="196" w:firstLine="470"/>
        <w:rPr>
          <w:rFonts w:ascii="宋体" w:hAnsi="宋体"/>
          <w:bCs/>
          <w:sz w:val="24"/>
          <w:szCs w:val="24"/>
        </w:rPr>
      </w:pPr>
      <w:r>
        <w:rPr>
          <w:rFonts w:ascii="宋体" w:hAnsi="宋体" w:hint="eastAsia"/>
          <w:bCs/>
          <w:sz w:val="24"/>
          <w:szCs w:val="24"/>
          <w:lang w:val="en-GB"/>
        </w:rPr>
        <w:t>2</w:t>
      </w:r>
      <w:r>
        <w:rPr>
          <w:rFonts w:ascii="宋体" w:hAnsi="宋体"/>
          <w:bCs/>
          <w:sz w:val="24"/>
          <w:szCs w:val="24"/>
          <w:lang w:val="en-GB"/>
        </w:rPr>
        <w:t>.</w:t>
      </w:r>
      <w:r>
        <w:rPr>
          <w:rFonts w:ascii="宋体" w:hAnsi="宋体" w:hint="eastAsia"/>
          <w:bCs/>
          <w:sz w:val="24"/>
          <w:szCs w:val="24"/>
          <w:lang w:val="en-GB"/>
        </w:rPr>
        <w:t xml:space="preserve">社会效益 </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（1）增加学前教育资源,缓解幼儿园入园难问题。</w:t>
      </w:r>
    </w:p>
    <w:p>
      <w:pPr>
        <w:spacing w:line="560" w:lineRule="exact"/>
        <w:ind w:leftChars="222" w:left="466"/>
        <w:rPr>
          <w:rFonts w:ascii="宋体" w:hAnsi="宋体"/>
          <w:bCs/>
          <w:sz w:val="24"/>
          <w:szCs w:val="24"/>
          <w:lang w:val="en-GB"/>
        </w:rPr>
      </w:pPr>
      <w:r>
        <w:rPr>
          <w:rFonts w:ascii="宋体" w:hAnsi="宋体" w:hint="eastAsia"/>
          <w:bCs/>
          <w:sz w:val="24"/>
          <w:szCs w:val="24"/>
          <w:lang w:val="en-GB"/>
        </w:rPr>
        <w:t>3. 可持续影响方面</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（1）增加周边地区教育资源，满足入学需要。</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（二）资金使用及管理情况。</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（1）资金管理、资金使用情况</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津南区</w:t>
      </w:r>
      <w:r>
        <w:rPr>
          <w:rFonts w:ascii="宋体" w:hAnsi="宋体" w:hint="eastAsia"/>
          <w:bCs/>
          <w:color w:val="000000"/>
          <w:sz w:val="24"/>
          <w:szCs w:val="24"/>
          <w:lang w:val="en-GB"/>
        </w:rPr>
        <w:t>教育局没有制定专门</w:t>
      </w:r>
      <w:r>
        <w:rPr>
          <w:rFonts w:ascii="宋体" w:hAnsi="宋体" w:hint="eastAsia"/>
          <w:bCs/>
          <w:sz w:val="24"/>
          <w:szCs w:val="24"/>
          <w:lang w:val="en-GB"/>
        </w:rPr>
        <w:t>的项目资金管理办法，按照《津南区教育局经费收支管理制度》使用资金；财务管理制度符合相关财务会计制度的规定。截至2020年底，津南区财政局通过授权支付的方式向津南区教育局拨付项目资金962.00万元，截至2020年</w:t>
      </w:r>
      <w:r>
        <w:rPr>
          <w:rFonts w:ascii="宋体" w:hAnsi="宋体"/>
          <w:bCs/>
          <w:sz w:val="24"/>
          <w:szCs w:val="24"/>
          <w:lang w:val="en-GB"/>
        </w:rPr>
        <w:t>12</w:t>
      </w:r>
      <w:r>
        <w:rPr>
          <w:rFonts w:ascii="宋体" w:hAnsi="宋体" w:hint="eastAsia"/>
          <w:bCs/>
          <w:sz w:val="24"/>
          <w:szCs w:val="24"/>
          <w:lang w:val="en-GB"/>
        </w:rPr>
        <w:t>月底共支出962.00万元，无项目资金结余。</w:t>
      </w:r>
    </w:p>
    <w:p>
      <w:pPr>
        <w:spacing w:line="560" w:lineRule="exact"/>
        <w:ind w:firstLineChars="196" w:firstLine="470"/>
        <w:jc w:val="center"/>
        <w:rPr>
          <w:rFonts w:ascii="宋体" w:hAnsi="宋体"/>
          <w:bCs/>
          <w:sz w:val="24"/>
          <w:szCs w:val="24"/>
          <w:lang w:val="en-GB"/>
        </w:rPr>
      </w:pPr>
      <w:r>
        <w:rPr>
          <w:rFonts w:ascii="宋体" w:hAnsi="宋体" w:hint="eastAsia"/>
          <w:bCs/>
          <w:sz w:val="24"/>
          <w:szCs w:val="24"/>
          <w:lang w:val="en-GB"/>
        </w:rPr>
        <w:t>项目支出明细表</w:t>
      </w:r>
    </w:p>
    <w:p>
      <w:pPr>
        <w:spacing w:line="560" w:lineRule="exact"/>
        <w:ind w:firstLineChars="2996" w:firstLine="7190"/>
        <w:rPr>
          <w:rFonts w:ascii="宋体" w:hAnsi="宋体"/>
          <w:bCs/>
          <w:sz w:val="24"/>
          <w:szCs w:val="24"/>
          <w:lang w:val="en-GB"/>
        </w:rPr>
      </w:pPr>
      <w:r>
        <w:rPr>
          <w:rFonts w:ascii="宋体" w:hAnsi="宋体" w:hint="eastAsia"/>
          <w:bCs/>
          <w:sz w:val="24"/>
          <w:szCs w:val="24"/>
          <w:lang w:val="en-GB"/>
        </w:rPr>
        <w:t>单位：万元</w:t>
      </w:r>
    </w:p>
    <w:tbl>
      <w:tblPr>
        <w:jc w:val="left"/>
        <w:tblInd w:w="250" w:type="dxa"/>
        <w:tblW w:w="4715" w:type="pct"/>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850"/>
        <w:gridCol w:w="4110"/>
        <w:gridCol w:w="1423"/>
        <w:gridCol w:w="1840"/>
      </w:tblGrid>
      <w:tr>
        <w:trPr>
          <w:trHeight w:val="660"/>
        </w:trPr>
        <w:tc>
          <w:tcPr>
            <w:tcW w:w="517"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pPr>
              <w:widowControl/>
              <w:jc w:val="center"/>
              <w:rPr>
                <w:rFonts w:ascii="等线" w:eastAsia="等线" w:cs="宋体" w:hAnsi="等线"/>
                <w:color w:val="000000"/>
                <w:kern w:val="0"/>
                <w:sz w:val="20"/>
              </w:rPr>
            </w:pPr>
            <w:r>
              <w:rPr>
                <w:rFonts w:ascii="等线" w:eastAsia="等线" w:cs="宋体" w:hAnsi="等线" w:hint="eastAsia"/>
                <w:color w:val="000000"/>
                <w:kern w:val="0"/>
                <w:sz w:val="20"/>
              </w:rPr>
              <w:t>序号</w:t>
            </w:r>
          </w:p>
        </w:tc>
        <w:tc>
          <w:tcPr>
            <w:tcW w:w="249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pPr>
              <w:widowControl/>
              <w:jc w:val="center"/>
              <w:rPr>
                <w:rFonts w:ascii="等线" w:eastAsia="等线" w:cs="宋体" w:hAnsi="等线"/>
                <w:color w:val="000000"/>
                <w:kern w:val="0"/>
                <w:sz w:val="20"/>
              </w:rPr>
            </w:pPr>
            <w:r>
              <w:rPr>
                <w:rFonts w:ascii="等线" w:eastAsia="等线" w:cs="宋体" w:hAnsi="等线" w:hint="eastAsia"/>
                <w:color w:val="000000"/>
                <w:kern w:val="0"/>
                <w:sz w:val="20"/>
              </w:rPr>
              <w:t>项目名称</w:t>
            </w:r>
          </w:p>
        </w:tc>
        <w:tc>
          <w:tcPr>
            <w:tcW w:w="86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pPr>
              <w:widowControl/>
              <w:jc w:val="center"/>
              <w:rPr>
                <w:rFonts w:ascii="等线" w:eastAsia="等线" w:cs="宋体" w:hAnsi="等线"/>
                <w:color w:val="000000"/>
                <w:kern w:val="0"/>
                <w:sz w:val="20"/>
              </w:rPr>
            </w:pPr>
            <w:r>
              <w:rPr>
                <w:rFonts w:ascii="等线" w:eastAsia="等线" w:cs="宋体" w:hAnsi="等线" w:hint="eastAsia"/>
                <w:color w:val="000000"/>
                <w:kern w:val="0"/>
                <w:sz w:val="20"/>
              </w:rPr>
              <w:t xml:space="preserve"> 预算金额 </w:t>
            </w:r>
          </w:p>
        </w:tc>
        <w:tc>
          <w:tcPr>
            <w:tcW w:w="111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pPr>
              <w:widowControl/>
              <w:jc w:val="center"/>
              <w:rPr>
                <w:rFonts w:ascii="等线" w:eastAsia="等线" w:cs="宋体" w:hAnsi="等线"/>
                <w:color w:val="000000"/>
                <w:kern w:val="0"/>
                <w:sz w:val="20"/>
              </w:rPr>
            </w:pPr>
            <w:r>
              <w:rPr>
                <w:rFonts w:ascii="等线" w:eastAsia="等线" w:cs="宋体" w:hAnsi="等线" w:hint="eastAsia"/>
                <w:color w:val="000000"/>
                <w:kern w:val="0"/>
                <w:sz w:val="20"/>
              </w:rPr>
              <w:t xml:space="preserve"> 支出金额 </w:t>
            </w:r>
          </w:p>
        </w:tc>
      </w:tr>
      <w:tr>
        <w:trPr>
          <w:trHeight w:val="624"/>
        </w:trPr>
        <w:tc>
          <w:tcPr>
            <w:tcW w:w="517" w:type="pct"/>
            <w:vMerge/>
            <w:tcBorders>
              <w:top w:val="single" w:sz="4" w:space="0" w:color="auto"/>
              <w:left w:val="single" w:sz="4" w:space="0" w:color="auto"/>
              <w:bottom w:val="single" w:sz="4" w:space="0" w:color="000000"/>
              <w:right w:val="single" w:sz="4" w:space="0" w:color="auto"/>
            </w:tcBorders>
            <w:noWrap/>
            <w:vAlign w:val="center"/>
          </w:tcPr>
          <w:p/>
        </w:tc>
        <w:tc>
          <w:tcPr>
            <w:tcW w:w="2499" w:type="pct"/>
            <w:vMerge/>
            <w:tcBorders>
              <w:top w:val="single" w:sz="4" w:space="0" w:color="auto"/>
              <w:left w:val="single" w:sz="4" w:space="0" w:color="auto"/>
              <w:bottom w:val="single" w:sz="4" w:space="0" w:color="000000"/>
              <w:right w:val="single" w:sz="4" w:space="0" w:color="auto"/>
            </w:tcBorders>
            <w:noWrap/>
            <w:vAlign w:val="center"/>
          </w:tcPr>
          <w:p/>
        </w:tc>
        <w:tc>
          <w:tcPr>
            <w:tcW w:w="865" w:type="pct"/>
            <w:vMerge/>
            <w:tcBorders>
              <w:top w:val="single" w:sz="4" w:space="0" w:color="auto"/>
              <w:left w:val="single" w:sz="4" w:space="0" w:color="auto"/>
              <w:bottom w:val="single" w:sz="4" w:space="0" w:color="000000"/>
              <w:right w:val="single" w:sz="4" w:space="0" w:color="auto"/>
            </w:tcBorders>
            <w:noWrap/>
            <w:vAlign w:val="center"/>
          </w:tcPr>
          <w:p/>
        </w:tc>
        <w:tc>
          <w:tcPr>
            <w:tcW w:w="1119" w:type="pct"/>
            <w:vMerge/>
            <w:tcBorders>
              <w:top w:val="single" w:sz="4" w:space="0" w:color="auto"/>
              <w:left w:val="single" w:sz="4" w:space="0" w:color="auto"/>
              <w:bottom w:val="single" w:sz="4" w:space="0" w:color="000000"/>
              <w:right w:val="single" w:sz="4" w:space="0" w:color="auto"/>
            </w:tcBorders>
            <w:noWrap/>
            <w:vAlign w:val="center"/>
          </w:tcPr>
          <w:p/>
        </w:tc>
      </w:tr>
      <w:tr>
        <w:trPr>
          <w:trHeight w:val="399"/>
        </w:trPr>
        <w:tc>
          <w:tcPr>
            <w:tcW w:w="517" w:type="pc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等线" w:eastAsia="等线" w:cs="宋体" w:hAnsi="等线"/>
                <w:color w:val="000000"/>
                <w:kern w:val="0"/>
                <w:sz w:val="20"/>
              </w:rPr>
            </w:pPr>
            <w:r>
              <w:rPr>
                <w:rFonts w:ascii="等线" w:eastAsia="等线" w:cs="宋体" w:hAnsi="等线" w:hint="eastAsia"/>
                <w:color w:val="000000"/>
                <w:kern w:val="0"/>
                <w:sz w:val="20"/>
              </w:rPr>
              <w:t>1</w:t>
            </w:r>
          </w:p>
        </w:tc>
        <w:tc>
          <w:tcPr>
            <w:tcW w:w="2499" w:type="pct"/>
            <w:tcBorders>
              <w:top w:val="nil"/>
              <w:left w:val="nil"/>
              <w:bottom w:val="single" w:sz="4" w:space="0" w:color="auto"/>
              <w:right w:val="single" w:sz="4" w:space="0" w:color="auto"/>
            </w:tcBorders>
            <w:shd w:val="clear" w:color="auto" w:fill="auto"/>
            <w:noWrap/>
            <w:vAlign w:val="bottom"/>
          </w:tcPr>
          <w:p>
            <w:pPr>
              <w:widowControl/>
              <w:jc w:val="left"/>
              <w:rPr>
                <w:rFonts w:ascii="等线" w:eastAsia="等线" w:cs="宋体" w:hAnsi="等线"/>
                <w:color w:val="000000"/>
                <w:kern w:val="0"/>
                <w:sz w:val="20"/>
              </w:rPr>
            </w:pPr>
            <w:r>
              <w:rPr>
                <w:rFonts w:ascii="等线" w:eastAsia="等线" w:cs="宋体" w:hAnsi="等线" w:hint="eastAsia"/>
                <w:color w:val="000000"/>
                <w:kern w:val="0"/>
                <w:sz w:val="20"/>
              </w:rPr>
              <w:t>2020年度枫情阳光配套幼儿园提升改造工程</w:t>
            </w:r>
          </w:p>
        </w:tc>
        <w:tc>
          <w:tcPr>
            <w:tcW w:w="865" w:type="pct"/>
            <w:tcBorders>
              <w:top w:val="nil"/>
              <w:left w:val="nil"/>
              <w:bottom w:val="single" w:sz="4" w:space="0" w:color="auto"/>
              <w:right w:val="single" w:sz="4" w:space="0" w:color="auto"/>
            </w:tcBorders>
            <w:shd w:val="clear" w:color="auto" w:fill="auto"/>
            <w:noWrap/>
            <w:vAlign w:val="center"/>
          </w:tcPr>
          <w:p>
            <w:pPr>
              <w:widowControl/>
              <w:jc w:val="right"/>
              <w:rPr>
                <w:rFonts w:ascii="等线" w:eastAsia="等线" w:cs="宋体" w:hAnsi="等线"/>
                <w:color w:val="000000"/>
                <w:kern w:val="0"/>
                <w:sz w:val="20"/>
              </w:rPr>
            </w:pPr>
            <w:r>
              <w:rPr>
                <w:rFonts w:ascii="等线" w:eastAsia="等线" w:cs="宋体" w:hAnsi="等线" w:hint="eastAsia"/>
                <w:color w:val="000000"/>
                <w:kern w:val="0"/>
                <w:sz w:val="20"/>
              </w:rPr>
              <w:t xml:space="preserve">962.00 </w:t>
            </w:r>
          </w:p>
        </w:tc>
        <w:tc>
          <w:tcPr>
            <w:tcW w:w="1119" w:type="pct"/>
            <w:tcBorders>
              <w:top w:val="nil"/>
              <w:left w:val="nil"/>
              <w:bottom w:val="single" w:sz="4" w:space="0" w:color="auto"/>
              <w:right w:val="single" w:sz="4" w:space="0" w:color="auto"/>
            </w:tcBorders>
            <w:shd w:val="clear" w:color="auto" w:fill="auto"/>
            <w:noWrap/>
            <w:vAlign w:val="center"/>
          </w:tcPr>
          <w:p>
            <w:pPr>
              <w:widowControl/>
              <w:jc w:val="right"/>
              <w:rPr>
                <w:rFonts w:ascii="等线" w:eastAsia="等线" w:cs="宋体" w:hAnsi="等线"/>
                <w:color w:val="000000"/>
                <w:kern w:val="0"/>
                <w:sz w:val="20"/>
              </w:rPr>
            </w:pPr>
            <w:r>
              <w:rPr>
                <w:rFonts w:ascii="等线" w:eastAsia="等线" w:cs="宋体" w:hAnsi="等线" w:hint="eastAsia"/>
                <w:color w:val="000000"/>
                <w:kern w:val="0"/>
                <w:sz w:val="20"/>
              </w:rPr>
              <w:t xml:space="preserve">962.00 </w:t>
            </w:r>
          </w:p>
        </w:tc>
      </w:tr>
      <w:tr>
        <w:trPr>
          <w:trHeight w:val="399"/>
        </w:trPr>
        <w:tc>
          <w:tcPr>
            <w:tcW w:w="517" w:type="pct"/>
            <w:tcBorders>
              <w:top w:val="nil"/>
              <w:left w:val="single" w:sz="4" w:space="0" w:color="auto"/>
              <w:bottom w:val="single" w:sz="4" w:space="0" w:color="auto"/>
              <w:right w:val="single" w:sz="4" w:space="0" w:color="auto"/>
            </w:tcBorders>
            <w:shd w:val="clear" w:color="auto" w:fill="auto"/>
            <w:noWrap/>
            <w:vAlign w:val="bottom"/>
          </w:tcPr>
          <w:p>
            <w:pPr>
              <w:widowControl/>
              <w:jc w:val="center"/>
              <w:rPr>
                <w:rFonts w:ascii="等线" w:eastAsia="等线" w:cs="宋体" w:hAnsi="等线"/>
                <w:b/>
                <w:bCs/>
                <w:color w:val="000000"/>
                <w:kern w:val="0"/>
                <w:sz w:val="20"/>
              </w:rPr>
            </w:pPr>
            <w:r>
              <w:rPr>
                <w:rFonts w:ascii="等线" w:eastAsia="等线" w:cs="宋体" w:hAnsi="等线" w:hint="eastAsia"/>
                <w:b/>
                <w:bCs/>
                <w:color w:val="000000"/>
                <w:kern w:val="0"/>
                <w:sz w:val="20"/>
              </w:rPr>
              <w:t>　</w:t>
            </w:r>
          </w:p>
        </w:tc>
        <w:tc>
          <w:tcPr>
            <w:tcW w:w="2499" w:type="pct"/>
            <w:tcBorders>
              <w:top w:val="nil"/>
              <w:left w:val="nil"/>
              <w:bottom w:val="single" w:sz="4" w:space="0" w:color="auto"/>
              <w:right w:val="single" w:sz="4" w:space="0" w:color="auto"/>
            </w:tcBorders>
            <w:shd w:val="clear" w:color="auto" w:fill="auto"/>
            <w:noWrap/>
            <w:vAlign w:val="bottom"/>
          </w:tcPr>
          <w:p>
            <w:pPr>
              <w:widowControl/>
              <w:jc w:val="left"/>
              <w:rPr>
                <w:rFonts w:ascii="等线" w:eastAsia="等线" w:cs="宋体" w:hAnsi="等线"/>
                <w:b/>
                <w:bCs/>
                <w:color w:val="000000"/>
                <w:kern w:val="0"/>
                <w:sz w:val="20"/>
              </w:rPr>
            </w:pPr>
            <w:r>
              <w:rPr>
                <w:rFonts w:ascii="等线" w:eastAsia="等线" w:cs="宋体" w:hAnsi="等线" w:hint="eastAsia"/>
                <w:b/>
                <w:bCs/>
                <w:color w:val="000000"/>
                <w:kern w:val="0"/>
                <w:sz w:val="20"/>
              </w:rPr>
              <w:t>合计</w:t>
            </w:r>
          </w:p>
        </w:tc>
        <w:tc>
          <w:tcPr>
            <w:tcW w:w="865" w:type="pct"/>
            <w:tcBorders>
              <w:top w:val="nil"/>
              <w:left w:val="nil"/>
              <w:bottom w:val="single" w:sz="4" w:space="0" w:color="auto"/>
              <w:right w:val="single" w:sz="4" w:space="0" w:color="auto"/>
            </w:tcBorders>
            <w:shd w:val="clear" w:color="auto" w:fill="auto"/>
            <w:noWrap/>
            <w:vAlign w:val="center"/>
          </w:tcPr>
          <w:p>
            <w:pPr>
              <w:widowControl/>
              <w:jc w:val="right"/>
              <w:rPr>
                <w:rFonts w:ascii="等线" w:eastAsia="等线" w:cs="宋体" w:hAnsi="等线"/>
                <w:b/>
                <w:color w:val="000000"/>
                <w:kern w:val="0"/>
                <w:sz w:val="20"/>
              </w:rPr>
            </w:pPr>
            <w:r>
              <w:rPr>
                <w:rFonts w:ascii="等线" w:eastAsia="等线" w:cs="宋体" w:hAnsi="等线" w:hint="eastAsia"/>
                <w:b/>
                <w:color w:val="000000"/>
                <w:kern w:val="0"/>
                <w:sz w:val="20"/>
              </w:rPr>
              <w:t xml:space="preserve">962.00 </w:t>
            </w:r>
          </w:p>
        </w:tc>
        <w:tc>
          <w:tcPr>
            <w:tcW w:w="1119" w:type="pct"/>
            <w:tcBorders>
              <w:top w:val="nil"/>
              <w:left w:val="nil"/>
              <w:bottom w:val="single" w:sz="4" w:space="0" w:color="auto"/>
              <w:right w:val="single" w:sz="4" w:space="0" w:color="auto"/>
            </w:tcBorders>
            <w:shd w:val="clear" w:color="auto" w:fill="auto"/>
            <w:noWrap/>
            <w:vAlign w:val="center"/>
          </w:tcPr>
          <w:p>
            <w:pPr>
              <w:widowControl/>
              <w:jc w:val="right"/>
              <w:rPr>
                <w:rFonts w:ascii="等线" w:eastAsia="等线" w:cs="宋体" w:hAnsi="等线"/>
                <w:b/>
                <w:color w:val="000000"/>
                <w:kern w:val="0"/>
                <w:sz w:val="20"/>
              </w:rPr>
            </w:pPr>
            <w:r>
              <w:rPr>
                <w:rFonts w:ascii="等线" w:eastAsia="等线" w:cs="宋体" w:hAnsi="等线" w:hint="eastAsia"/>
                <w:b/>
                <w:color w:val="000000"/>
                <w:kern w:val="0"/>
                <w:sz w:val="20"/>
              </w:rPr>
              <w:t xml:space="preserve">962.00 </w:t>
            </w:r>
          </w:p>
        </w:tc>
      </w:tr>
    </w:tbl>
    <w:p>
      <w:pPr>
        <w:spacing w:line="560" w:lineRule="exact"/>
        <w:rPr>
          <w:rFonts w:ascii="宋体" w:hAnsi="宋体"/>
          <w:bCs/>
          <w:sz w:val="24"/>
          <w:szCs w:val="24"/>
          <w:lang w:val="en-GB"/>
        </w:rPr>
      </w:pPr>
      <w:r>
        <w:rPr>
          <w:rFonts w:ascii="宋体" w:hAnsi="宋体" w:hint="eastAsia"/>
          <w:bCs/>
          <w:sz w:val="24"/>
          <w:szCs w:val="24"/>
          <w:lang w:val="en-GB"/>
        </w:rPr>
        <w:t>项目支出明细详见附表2</w:t>
      </w:r>
    </w:p>
    <w:p>
      <w:pPr>
        <w:spacing w:line="560" w:lineRule="exact"/>
        <w:rPr>
          <w:rFonts w:ascii="宋体" w:hAnsi="宋体"/>
          <w:bCs/>
          <w:sz w:val="24"/>
          <w:szCs w:val="24"/>
          <w:lang w:val="en-GB"/>
        </w:rPr>
      </w:pPr>
      <w:r>
        <w:rPr>
          <w:rFonts w:ascii="宋体" w:hAnsi="宋体" w:hint="eastAsia"/>
          <w:bCs/>
          <w:sz w:val="24"/>
          <w:szCs w:val="24"/>
          <w:lang w:val="en-GB"/>
        </w:rPr>
        <w:t>（2）政府采购执行情况</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评价组查看了所有项目的政府采购文件、合同、付款流程等相关文件，项目基本均符合财务管理制度的规定。</w:t>
      </w:r>
    </w:p>
    <w:p>
      <w:pPr>
        <w:spacing w:line="560" w:lineRule="exact"/>
        <w:ind w:firstLineChars="196" w:firstLine="470"/>
        <w:rPr>
          <w:rFonts w:ascii="宋体" w:hAnsi="宋体" w:hint="eastAsia"/>
          <w:bCs/>
          <w:color w:val="000000"/>
          <w:sz w:val="24"/>
          <w:szCs w:val="24"/>
          <w:lang w:val="en-GB"/>
        </w:rPr>
      </w:pPr>
      <w:r>
        <w:rPr>
          <w:rFonts w:ascii="宋体" w:hAnsi="宋体" w:hint="eastAsia"/>
          <w:bCs/>
          <w:color w:val="000000"/>
          <w:sz w:val="24"/>
          <w:szCs w:val="24"/>
          <w:lang w:val="en-GB"/>
        </w:rPr>
        <w:t>五.存在问题</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（一）绩效目标制定方面存在问题</w:t>
      </w:r>
    </w:p>
    <w:p>
      <w:pPr>
        <w:spacing w:line="560" w:lineRule="exact"/>
        <w:ind w:firstLineChars="196" w:firstLine="470"/>
        <w:rPr>
          <w:rFonts w:ascii="宋体" w:hAnsi="宋体"/>
          <w:bCs/>
          <w:sz w:val="24"/>
          <w:szCs w:val="24"/>
          <w:lang w:val="en-GB"/>
          <w:highlight w:val="auto"/>
        </w:rPr>
      </w:pPr>
      <w:r>
        <w:rPr>
          <w:rFonts w:ascii="宋体" w:hAnsi="宋体" w:hint="eastAsia"/>
          <w:bCs/>
          <w:sz w:val="24"/>
          <w:szCs w:val="24"/>
          <w:lang w:val="en-GB"/>
        </w:rPr>
        <w:t>（1）</w:t>
      </w:r>
      <w:r>
        <w:rPr>
          <w:rFonts w:ascii="宋体" w:hAnsi="宋体" w:hint="eastAsia"/>
          <w:bCs/>
          <w:sz w:val="24"/>
          <w:szCs w:val="24"/>
          <w:lang w:val="en-GB"/>
          <w:highlight w:val="auto"/>
        </w:rPr>
        <w:t>绩效目标表中制定指标不完整，例如：绩效指标中没有制定成本指标。</w:t>
      </w:r>
    </w:p>
    <w:p>
      <w:pPr>
        <w:spacing w:line="560" w:lineRule="exact"/>
        <w:ind w:firstLineChars="196" w:firstLine="470"/>
        <w:rPr>
          <w:rFonts w:ascii="宋体" w:hAnsi="宋体"/>
          <w:bCs/>
          <w:sz w:val="24"/>
          <w:szCs w:val="24"/>
          <w:lang w:val="en-GB"/>
          <w:highlight w:val="auto"/>
        </w:rPr>
      </w:pPr>
      <w:r>
        <w:rPr>
          <w:rFonts w:ascii="宋体" w:hAnsi="宋体" w:hint="eastAsia"/>
          <w:bCs/>
          <w:color w:val="000000"/>
          <w:sz w:val="24"/>
          <w:szCs w:val="24"/>
          <w:lang w:val="en-GB"/>
          <w:highlight w:val="auto"/>
        </w:rPr>
        <w:t>（2）绩效目标表</w:t>
      </w:r>
      <w:r>
        <w:rPr>
          <w:rFonts w:ascii="宋体" w:hAnsi="宋体" w:hint="eastAsia"/>
          <w:bCs/>
          <w:sz w:val="24"/>
          <w:szCs w:val="24"/>
          <w:lang w:val="en-GB"/>
          <w:highlight w:val="auto"/>
        </w:rPr>
        <w:t>中制定指标不合理，例如：社会效益指标为设施完好率不准确。</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（二）项目业务管理方面存在问题</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w:t>
      </w:r>
      <w:r>
        <w:rPr>
          <w:rFonts w:ascii="宋体" w:hAnsi="宋体" w:hint="eastAsia"/>
          <w:bCs/>
          <w:color w:val="000000"/>
          <w:sz w:val="24"/>
          <w:szCs w:val="24"/>
          <w:lang w:val="en-GB"/>
        </w:rPr>
        <w:t>1）合同的审查不符合同管理制度的要求。</w:t>
      </w:r>
      <w:r>
        <w:rPr>
          <w:rFonts w:ascii="宋体" w:hAnsi="宋体" w:hint="eastAsia"/>
          <w:bCs/>
          <w:sz w:val="24"/>
          <w:szCs w:val="24"/>
          <w:lang w:val="en-GB"/>
        </w:rPr>
        <w:t>例如：</w:t>
      </w:r>
      <w:r>
        <w:rPr>
          <w:rFonts w:ascii="宋体" w:hAnsi="宋体" w:hint="eastAsia"/>
          <w:bCs/>
          <w:sz w:val="24"/>
          <w:szCs w:val="24"/>
        </w:rPr>
        <w:t>津南</w:t>
      </w:r>
      <w:r>
        <w:rPr>
          <w:rFonts w:ascii="宋体" w:hAnsi="宋体" w:hint="eastAsia"/>
          <w:bCs/>
          <w:sz w:val="24"/>
          <w:szCs w:val="24"/>
          <w:lang w:val="en-GB"/>
        </w:rPr>
        <w:t>区教育局2020年度枫情阳光配套幼儿园提升改造工程补充协议、项目管理等合同无签订日期，厨房设备采购项目合同无交货日期。</w:t>
      </w:r>
    </w:p>
    <w:p>
      <w:pPr>
        <w:spacing w:line="560" w:lineRule="exact"/>
        <w:ind w:firstLineChars="196" w:firstLine="470"/>
        <w:rPr>
          <w:rFonts w:ascii="宋体" w:hAnsi="宋体"/>
          <w:bCs/>
          <w:color w:val="000000"/>
          <w:sz w:val="24"/>
          <w:szCs w:val="24"/>
          <w:lang w:val="en-GB"/>
          <w:highlight w:val="auto"/>
        </w:rPr>
      </w:pPr>
      <w:r>
        <w:rPr>
          <w:rFonts w:ascii="宋体" w:hAnsi="宋体" w:hint="eastAsia"/>
          <w:bCs/>
          <w:sz w:val="24"/>
          <w:szCs w:val="24"/>
          <w:lang w:val="en-GB"/>
          <w:highlight w:val="auto"/>
        </w:rPr>
        <w:t>（三）</w:t>
      </w:r>
      <w:r>
        <w:rPr>
          <w:rFonts w:ascii="宋体" w:hAnsi="宋体" w:hint="eastAsia"/>
          <w:bCs/>
          <w:color w:val="000000"/>
          <w:sz w:val="24"/>
          <w:szCs w:val="24"/>
          <w:lang w:val="en-GB"/>
          <w:highlight w:val="auto"/>
        </w:rPr>
        <w:t>项目自评表及项目自评报告中存在的问题</w:t>
      </w:r>
    </w:p>
    <w:p>
      <w:pPr>
        <w:spacing w:line="560" w:lineRule="exact"/>
        <w:ind w:firstLineChars="196" w:firstLine="470"/>
        <w:rPr>
          <w:rFonts w:ascii="宋体" w:hAnsi="宋体"/>
          <w:bCs/>
          <w:sz w:val="24"/>
          <w:szCs w:val="24"/>
          <w:lang w:val="en-GB"/>
          <w:highlight w:val="auto"/>
        </w:rPr>
      </w:pPr>
      <w:r>
        <w:rPr>
          <w:rFonts w:ascii="宋体" w:hAnsi="宋体" w:hint="eastAsia"/>
          <w:bCs/>
          <w:sz w:val="24"/>
          <w:szCs w:val="24"/>
          <w:lang w:val="en-GB"/>
          <w:highlight w:val="auto"/>
        </w:rPr>
        <w:t>（1）</w:t>
      </w:r>
      <w:r>
        <w:rPr>
          <w:rFonts w:ascii="宋体" w:hAnsi="宋体" w:hint="eastAsia"/>
          <w:bCs/>
          <w:color w:val="000000"/>
          <w:sz w:val="24"/>
          <w:szCs w:val="24"/>
          <w:lang w:val="en-GB"/>
          <w:highlight w:val="auto"/>
        </w:rPr>
        <w:t>项目自评表</w:t>
      </w:r>
      <w:r>
        <w:rPr>
          <w:rFonts w:ascii="宋体" w:hAnsi="宋体" w:hint="eastAsia"/>
          <w:bCs/>
          <w:sz w:val="24"/>
          <w:szCs w:val="24"/>
          <w:lang w:val="en-GB"/>
          <w:highlight w:val="auto"/>
        </w:rPr>
        <w:t>中制定指标不完整，例如：绩效指标中没有制定成本指标。</w:t>
      </w:r>
    </w:p>
    <w:p>
      <w:pPr>
        <w:spacing w:line="560" w:lineRule="exact"/>
        <w:ind w:firstLineChars="196" w:firstLine="470"/>
        <w:rPr>
          <w:rFonts w:ascii="宋体" w:hAnsi="宋体"/>
          <w:bCs/>
          <w:sz w:val="24"/>
          <w:szCs w:val="24"/>
          <w:lang w:val="en-GB"/>
          <w:highlight w:val="auto"/>
        </w:rPr>
      </w:pPr>
      <w:r>
        <w:rPr>
          <w:rFonts w:ascii="宋体" w:hAnsi="宋体" w:hint="eastAsia"/>
          <w:bCs/>
          <w:sz w:val="24"/>
          <w:szCs w:val="24"/>
          <w:lang w:val="en-GB"/>
          <w:highlight w:val="auto"/>
        </w:rPr>
        <w:t>（2）</w:t>
      </w:r>
      <w:r>
        <w:rPr>
          <w:rFonts w:ascii="宋体" w:hAnsi="宋体" w:hint="eastAsia"/>
          <w:bCs/>
          <w:color w:val="000000"/>
          <w:sz w:val="24"/>
          <w:szCs w:val="24"/>
          <w:lang w:val="en-GB"/>
          <w:highlight w:val="auto"/>
        </w:rPr>
        <w:t>项目自评表</w:t>
      </w:r>
      <w:r>
        <w:rPr>
          <w:rFonts w:ascii="宋体" w:hAnsi="宋体" w:hint="eastAsia"/>
          <w:bCs/>
          <w:sz w:val="24"/>
          <w:szCs w:val="24"/>
          <w:lang w:val="en-GB"/>
          <w:highlight w:val="auto"/>
        </w:rPr>
        <w:t>中制定指标不合理，例如：社会效益指标为设施完好率不准确。</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六.评价结论及建议</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（一）评价结论。</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通过实地核查和指标分析，绩效评价组认为：</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1. 津南区教育局2020年度枫情阳光配套幼儿园提升改造工程已完成既定工作目标，津南区教育局2020年度枫情阳光配套幼儿园提升改造工程已完工，并通过验收；</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2. 津南区教育局2020年度枫情阳光配套幼儿园提升改造工程制定的管理办法合法、合规，项目资金拨付及使用基本符合财务管理制度，管理制度较完善，但项目执行过程中存在若干问题。</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评价结论：根据《天津市津南区教育局2020年度枫情阳光配套幼儿园提升改造工程绩效评价指标评分表》，项目绩效评价最终评分为</w:t>
      </w:r>
      <w:r>
        <w:rPr>
          <w:rFonts w:ascii="宋体" w:hAnsi="宋体" w:hint="eastAsia"/>
          <w:bCs/>
          <w:color w:val="000000"/>
          <w:sz w:val="24"/>
          <w:szCs w:val="24"/>
          <w:lang w:val="en-GB"/>
        </w:rPr>
        <w:t>91.00分，</w:t>
      </w:r>
      <w:r>
        <w:rPr>
          <w:rFonts w:ascii="宋体" w:hAnsi="宋体" w:hint="eastAsia"/>
          <w:bCs/>
          <w:sz w:val="24"/>
          <w:szCs w:val="24"/>
          <w:lang w:val="en-GB"/>
        </w:rPr>
        <w:t>项目绩效评价结果</w:t>
      </w:r>
      <w:r>
        <w:rPr>
          <w:rFonts w:ascii="宋体" w:hAnsi="宋体" w:hint="eastAsia"/>
          <w:bCs/>
          <w:color w:val="000000"/>
          <w:sz w:val="24"/>
          <w:szCs w:val="24"/>
          <w:lang w:val="en-GB"/>
        </w:rPr>
        <w:t>为优</w:t>
      </w:r>
      <w:r>
        <w:rPr>
          <w:rFonts w:ascii="宋体" w:hAnsi="宋体" w:hint="eastAsia"/>
          <w:bCs/>
          <w:sz w:val="24"/>
          <w:szCs w:val="24"/>
          <w:lang w:val="en-GB"/>
        </w:rPr>
        <w:t>。</w:t>
      </w:r>
    </w:p>
    <w:p>
      <w:pPr>
        <w:spacing w:line="560" w:lineRule="exact"/>
        <w:ind w:firstLineChars="196" w:firstLine="470"/>
        <w:rPr>
          <w:rFonts w:ascii="宋体" w:hAnsi="宋体"/>
          <w:bCs/>
          <w:sz w:val="24"/>
          <w:szCs w:val="24"/>
          <w:lang w:val="en-GB"/>
        </w:rPr>
      </w:pPr>
      <w:r>
        <w:rPr>
          <w:rFonts w:ascii="宋体" w:hAnsi="宋体" w:hint="eastAsia"/>
          <w:bCs/>
          <w:sz w:val="24"/>
          <w:szCs w:val="24"/>
          <w:lang w:val="en-GB"/>
        </w:rPr>
        <w:t>（二）相关建议。</w:t>
      </w:r>
    </w:p>
    <w:p>
      <w:pPr>
        <w:spacing w:line="560" w:lineRule="exact"/>
        <w:ind w:firstLineChars="196" w:firstLine="470"/>
        <w:rPr>
          <w:rFonts w:ascii="宋体" w:hAnsi="宋体" w:hint="eastAsia"/>
          <w:bCs/>
          <w:sz w:val="24"/>
          <w:szCs w:val="24"/>
          <w:lang w:val="en-US" w:eastAsia="zh-CN"/>
        </w:rPr>
      </w:pPr>
      <w:r>
        <w:rPr>
          <w:rFonts w:ascii="宋体" w:hAnsi="宋体" w:hint="eastAsia"/>
          <w:bCs/>
          <w:sz w:val="24"/>
          <w:szCs w:val="24"/>
          <w:lang w:val="en-GB"/>
        </w:rPr>
        <w:t>1．</w:t>
      </w:r>
      <w:r>
        <w:rPr>
          <w:rFonts w:ascii="宋体" w:hAnsi="宋体" w:hint="eastAsia"/>
          <w:bCs/>
          <w:sz w:val="24"/>
          <w:szCs w:val="24"/>
          <w:lang w:val="en-US" w:eastAsia="zh-CN"/>
        </w:rPr>
        <w:t>项目绩效目标表设置要达到相关要求，绩效目标要完整。</w:t>
      </w:r>
    </w:p>
    <w:p>
      <w:pPr>
        <w:spacing w:line="560" w:lineRule="exact"/>
        <w:ind w:firstLineChars="196" w:firstLine="470"/>
        <w:rPr>
          <w:rFonts w:ascii="宋体" w:hAnsi="宋体"/>
          <w:bCs/>
          <w:sz w:val="24"/>
          <w:szCs w:val="24"/>
          <w:lang w:val="en-GB"/>
        </w:rPr>
      </w:pPr>
      <w:r>
        <w:rPr>
          <w:rFonts w:ascii="宋体" w:hAnsi="宋体" w:hint="eastAsia"/>
          <w:bCs/>
          <w:sz w:val="24"/>
          <w:szCs w:val="24"/>
          <w:lang w:val="en-US" w:eastAsia="zh-CN"/>
        </w:rPr>
        <w:t>2.</w:t>
      </w:r>
      <w:r>
        <w:rPr>
          <w:rFonts w:ascii="宋体" w:hAnsi="宋体" w:hint="eastAsia"/>
          <w:bCs/>
          <w:sz w:val="24"/>
          <w:szCs w:val="24"/>
          <w:lang w:val="en-GB"/>
        </w:rPr>
        <w:t>建议加强业务管理，</w:t>
      </w:r>
      <w:bookmarkStart w:id="1" w:name="_Hlk36115159"/>
      <w:r>
        <w:rPr>
          <w:rFonts w:ascii="宋体" w:hAnsi="宋体" w:hint="eastAsia"/>
          <w:bCs/>
          <w:sz w:val="24"/>
          <w:szCs w:val="24"/>
          <w:lang w:val="en-GB"/>
        </w:rPr>
        <w:t>严格按照</w:t>
      </w:r>
      <w:bookmarkEnd w:id="1"/>
      <w:r>
        <w:rPr>
          <w:rFonts w:ascii="宋体" w:hAnsi="宋体" w:hint="eastAsia"/>
          <w:bCs/>
          <w:sz w:val="24"/>
          <w:szCs w:val="24"/>
          <w:lang w:val="en-GB"/>
        </w:rPr>
        <w:t>制定的相关业务规章制度执行。</w:t>
      </w:r>
    </w:p>
    <w:p>
      <w:pPr>
        <w:spacing w:line="560" w:lineRule="exact"/>
        <w:ind w:firstLineChars="196" w:firstLine="470"/>
        <w:rPr>
          <w:rFonts w:ascii="宋体" w:hAnsi="宋体" w:hint="eastAsia"/>
          <w:bCs/>
          <w:sz w:val="24"/>
          <w:szCs w:val="24"/>
          <w:lang w:val="en-GB"/>
        </w:rPr>
      </w:pPr>
      <w:r>
        <w:rPr>
          <w:rFonts w:ascii="宋体" w:hAnsi="宋体" w:hint="eastAsia"/>
          <w:bCs/>
          <w:sz w:val="24"/>
          <w:szCs w:val="24"/>
          <w:lang w:val="en-US" w:eastAsia="zh-CN"/>
        </w:rPr>
        <w:t>3</w:t>
      </w:r>
      <w:r>
        <w:rPr>
          <w:rFonts w:ascii="宋体" w:hAnsi="宋体" w:hint="eastAsia"/>
          <w:bCs/>
          <w:sz w:val="24"/>
          <w:szCs w:val="24"/>
          <w:lang w:val="en-GB"/>
        </w:rPr>
        <w:t xml:space="preserve">. 项目自评报告撰写、自评报告表填写质量达到相关要求。 </w:t>
      </w:r>
    </w:p>
    <w:p>
      <w:pPr>
        <w:spacing w:line="560" w:lineRule="exact"/>
        <w:ind w:firstLineChars="196" w:firstLine="470"/>
        <w:rPr>
          <w:rFonts w:ascii="宋体" w:hAnsi="宋体" w:hint="eastAsia"/>
          <w:bCs/>
          <w:sz w:val="24"/>
          <w:szCs w:val="24"/>
          <w:lang w:val="en-GB"/>
        </w:rPr>
      </w:pPr>
    </w:p>
    <w:p>
      <w:pPr>
        <w:spacing w:line="560" w:lineRule="exact"/>
        <w:ind w:firstLineChars="196" w:firstLine="470"/>
        <w:jc w:val="right"/>
        <w:rPr>
          <w:rFonts w:ascii="宋体" w:hAnsi="宋体"/>
          <w:bCs/>
          <w:sz w:val="24"/>
          <w:szCs w:val="24"/>
          <w:lang w:val="en-GB"/>
        </w:rPr>
      </w:pPr>
    </w:p>
    <w:p>
      <w:pPr>
        <w:spacing w:line="560" w:lineRule="exact"/>
        <w:ind w:firstLineChars="196" w:firstLine="470"/>
        <w:jc w:val="right"/>
        <w:rPr>
          <w:rFonts w:ascii="宋体" w:hAnsi="宋体"/>
          <w:bCs/>
          <w:sz w:val="24"/>
          <w:szCs w:val="24"/>
          <w:lang w:val="en-GB"/>
        </w:rPr>
      </w:pPr>
      <w:r>
        <w:rPr>
          <w:rFonts w:ascii="宋体" w:hAnsi="宋体" w:hint="eastAsia"/>
          <w:sz w:val="24"/>
          <w:szCs w:val="24"/>
        </w:rPr>
        <w:t xml:space="preserve">普华津融（天津）税务师事务所有限公司   </w:t>
      </w:r>
    </w:p>
    <w:p>
      <w:pPr>
        <w:spacing w:line="560" w:lineRule="exact"/>
        <w:ind w:firstLineChars="196" w:firstLine="470"/>
        <w:jc w:val="right"/>
        <w:rPr>
          <w:rFonts w:ascii="宋体" w:hAnsi="宋体"/>
          <w:bCs/>
          <w:sz w:val="24"/>
          <w:szCs w:val="24"/>
          <w:lang w:val="en-GB"/>
        </w:rPr>
      </w:pPr>
      <w:r>
        <w:rPr>
          <w:rFonts w:ascii="宋体" w:hAnsi="宋体" w:hint="eastAsia"/>
          <w:bCs/>
          <w:sz w:val="24"/>
          <w:szCs w:val="24"/>
          <w:lang w:val="en-GB"/>
        </w:rPr>
        <w:t>二○二一年九月三十日</w:t>
      </w:r>
    </w:p>
    <w:p>
      <w:pPr>
        <w:spacing w:line="560" w:lineRule="exact"/>
        <w:ind w:firstLineChars="196" w:firstLine="470"/>
        <w:rPr>
          <w:rFonts w:ascii="宋体" w:hAnsi="宋体"/>
          <w:bCs/>
          <w:sz w:val="24"/>
          <w:szCs w:val="24"/>
          <w:lang w:val="en-GB"/>
        </w:rPr>
      </w:pPr>
    </w:p>
    <w:p/>
    <w:sectPr>
      <w:footerReference w:type="default" r:id="rId2"/>
      <w:pgSz w:w="11906" w:h="16838"/>
      <w:pgMar w:top="1440" w:right="1701" w:bottom="1440" w:left="1701" w:header="680" w:footer="454" w:gutter="0"/>
      <w:cols w:num="1" w:space="425"/>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Arial Narrow">
    <w:altName w:val="DejaVu Sans"/>
    <w:panose1 w:val="020B0606020202030204"/>
    <w:charset w:val="00"/>
    <w:family w:val="swiss"/>
    <w:pitch w:val="variable"/>
    <w:sig w:usb0="00000000" w:usb1="00000000" w:usb2="00000000" w:usb3="00000000" w:csb0="0000009F" w:csb1="00000000"/>
  </w:font>
  <w:font w:name="宋体">
    <w:altName w:val="方正书宋_GBK"/>
    <w:panose1 w:val="00000000000000000000"/>
    <w:charset w:val="00"/>
    <w:family w:val="auto"/>
    <w:pitch w:val="variable"/>
    <w:sig w:usb0="00000000" w:usb1="00000000" w:usb2="00000000" w:usb3="00000000" w:csb0="00000000" w:csb1="00000000"/>
  </w:font>
  <w:font w:name="等线">
    <w:altName w:val="华文仿宋"/>
    <w:panose1 w:val="02010600030101010101"/>
    <w:charset w:val="86"/>
    <w:family w:val="auto"/>
    <w:pitch w:val="variable"/>
    <w:sig w:usb0="00000000" w:usb1="00000000" w:usb2="00000016" w:usb3="00000000" w:csb0="0004000F" w:csb1="00000000"/>
  </w:font>
  <w:font w:name="Times New Roman">
    <w:panose1 w:val="02020603050405020304"/>
    <w:charset w:val="00"/>
    <w:family w:val="roman"/>
    <w:pitch w:val="variable"/>
    <w:sig w:usb0="20007A87" w:usb1="80000000" w:usb2="00000008" w:usb3="00000000" w:csb0="000001FF" w:csb1="00000000"/>
  </w:font>
  <w:font w:name="Lucida Sans">
    <w:altName w:val="DejaVu Sans"/>
    <w:panose1 w:val="020B0602030504020204"/>
    <w:charset w:val="00"/>
    <w:family w:val="auto"/>
    <w:pitch w:val="variable"/>
    <w:sig w:usb0="00000003" w:usb1="00000000" w:usb2="00000000" w:usb3="00000000" w:csb0="20000001"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7"/>
      <w:tabs>
        <w:tab w:val="clear" w:pos="8306"/>
        <w:tab w:val="center" w:pos="4153"/>
        <w:tab w:val="right" w:pos="8222"/>
      </w:tabs>
      <w:jc w:val="center"/>
      <w:rPr>
        <w:szCs w:val="18"/>
      </w:rPr>
    </w:pPr>
    <w:r>
      <w:rPr>
        <w:rFonts w:hint="eastAsia"/>
        <w:szCs w:val="18"/>
      </w:rPr>
      <w:t>第</w:t>
    </w:r>
    <w:r>
      <w:rPr>
        <w:szCs w:val="18"/>
      </w:rPr>
      <w:fldChar w:fldCharType="begin"/>
    </w:r>
    <w:r>
      <w:rPr>
        <w:szCs w:val="18"/>
      </w:rPr>
      <w:instrText>PAGE   \* MERGEFORMAT</w:instrText>
    </w:r>
    <w:r>
      <w:rPr>
        <w:szCs w:val="18"/>
      </w:rPr>
      <w:fldChar w:fldCharType="separate"/>
    </w:r>
    <w:r>
      <w:rPr>
        <w:szCs w:val="18"/>
        <w:lang w:val="zh-CN"/>
      </w:rPr>
      <w:t>5</w:t>
    </w:r>
    <w:r>
      <w:rPr>
        <w:szCs w:val="18"/>
      </w:rPr>
      <w:fldChar w:fldCharType="end"/>
    </w:r>
    <w:r>
      <w:rPr>
        <w:rFonts w:hint="eastAsia"/>
        <w:szCs w:val="18"/>
      </w:rPr>
      <w:t>页</w:t>
    </w: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4899D0BD"/>
    <w:multiLevelType w:val="singleLevel"/>
    <w:tmpl w:val="4899D0BD"/>
    <w:lvl w:ilvl="0">
      <w:start w:val="1"/>
      <w:numFmt w:val="decimal"/>
      <w:lvlRestart w:val="0"/>
      <w:lvlText w:val="(%1)"/>
      <w:lvlJc w:val="left"/>
      <w:pPr>
        <w:tabs>
          <w:tab w:val="num" w:pos="312"/>
        </w:tabs>
      </w:p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2"/>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0"/>
      <w:lang w:val="en-US" w:eastAsia="zh-CN" w:bidi="ar-SA"/>
    </w:rPr>
  </w:style>
  <w:style w:type="paragraph" w:styleId="1">
    <w:name w:val="heading 1"/>
    <w:basedOn w:val="0"/>
    <w:next w:val="0"/>
    <w:pPr>
      <w:keepNext/>
      <w:keepLines/>
      <w:spacing w:before="340" w:after="330" w:line="578" w:lineRule="auto"/>
      <w:outlineLvl w:val="0"/>
    </w:pPr>
    <w:rPr>
      <w:b/>
      <w:bCs/>
      <w:kern w:val="44"/>
      <w:sz w:val="44"/>
      <w:szCs w:val="44"/>
    </w:rPr>
  </w:style>
  <w:style w:type="paragraph" w:styleId="2">
    <w:name w:val="heading 2"/>
    <w:basedOn w:val="0"/>
    <w:next w:val="0"/>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spacing w:before="260" w:after="260" w:line="415" w:lineRule="auto"/>
      <w:outlineLvl w:val="2"/>
    </w:pPr>
    <w:rPr>
      <w:b/>
      <w:bCs/>
      <w:sz w:val="32"/>
      <w:szCs w:val="32"/>
    </w:rPr>
  </w:style>
  <w:style w:type="character" w:default="1" w:styleId="10">
    <w:name w:val="Default Paragraph Font"/>
  </w:style>
  <w:style w:type="paragraph" w:styleId="15">
    <w:name w:val="annotation text"/>
    <w:basedOn w:val="0"/>
    <w:pPr>
      <w:jc w:val="left"/>
    </w:pPr>
  </w:style>
  <w:style w:type="paragraph" w:styleId="16">
    <w:name w:val="Balloon Text"/>
    <w:basedOn w:val="0"/>
    <w:rPr>
      <w:sz w:val="18"/>
      <w:szCs w:val="18"/>
    </w:rPr>
  </w:style>
  <w:style w:type="paragraph" w:styleId="17">
    <w:name w:val="footer"/>
    <w:basedOn w:val="0"/>
    <w:pPr>
      <w:tabs>
        <w:tab w:val="center" w:pos="4153"/>
        <w:tab w:val="right" w:pos="8306"/>
      </w:tabs>
      <w:snapToGrid w:val="0"/>
      <w:jc w:val="left"/>
    </w:pPr>
    <w:rPr>
      <w:kern w:val="0"/>
      <w:sz w:val="18"/>
    </w:rPr>
  </w:style>
  <w:style w:type="paragraph" w:styleId="18">
    <w:name w:val="header"/>
    <w:basedOn w:val="0"/>
    <w:pPr>
      <w:pBdr>
        <w:bottom w:val="single" w:sz="6" w:space="1" w:color="auto"/>
      </w:pBdr>
      <w:tabs>
        <w:tab w:val="center" w:pos="4153"/>
        <w:tab w:val="right" w:pos="8306"/>
      </w:tabs>
      <w:snapToGrid w:val="0"/>
      <w:jc w:val="center"/>
    </w:pPr>
    <w:rPr>
      <w:kern w:val="0"/>
      <w:sz w:val="18"/>
    </w:rPr>
  </w:style>
  <w:style w:type="character" w:styleId="19">
    <w:name w:val="annotation reference"/>
    <w:basedOn w:val="10"/>
    <w:rPr>
      <w:sz w:val="21"/>
      <w:szCs w:val="21"/>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7FE81214-F769-4561-8A9F-D80F3B09707A}">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918</TotalTime>
  <Application>Yozo_Office27021597764231179</Application>
  <Pages>5</Pages>
  <Words>0</Words>
  <Characters>2136</Characters>
  <Lines>0</Lines>
  <Paragraphs>71</Paragraphs>
  <CharactersWithSpaces>2849</CharactersWithSpaces>
  <Company>china</Company>
</Properties>
</file>

<file path=docProps/core.xml><?xml version="1.0" encoding="utf-8"?>
<cp:coreProperties xmlns:cp="http://schemas.openxmlformats.org/package/2006/metadata/core-properties" xmlns:dc="http://purl.org/dc/elements/1.1/" xmlns:dcterms="http://purl.org/dc/terms/" xmlns:xsi="http://www.w3.org/2001/XMLSchema-instance">
  <dc:creator>陈莉</dc:creator>
  <cp:lastModifiedBy>greatwall</cp:lastModifiedBy>
  <cp:revision>36</cp:revision>
  <dcterms:created xsi:type="dcterms:W3CDTF">2021-09-23T14:42:00Z</dcterms:created>
  <dcterms:modified xsi:type="dcterms:W3CDTF">2024-10-09T03:03:17Z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2052-11.8.2.9583</vt:lpwstr>
  </property>
  <property fmtid="{D5CDD505-2E9C-101B-9397-08002B2CF9AE}" pid="3" name="ICV">
    <vt:lpwstr>04FAD54128124380B9752C39DA812223</vt:lpwstr>
  </property>
</Properties>
</file>