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685"/>
        </w:tabs>
        <w:spacing w:line="720" w:lineRule="auto"/>
        <w:jc w:val="left"/>
        <w:rPr>
          <w:rFonts w:ascii="黑体" w:hAnsi="黑体" w:eastAsia="黑体"/>
          <w:b/>
          <w:sz w:val="36"/>
          <w:highlight w:val="none"/>
        </w:rPr>
      </w:pPr>
      <w:bookmarkStart w:id="1" w:name="_GoBack"/>
    </w:p>
    <w:p>
      <w:pPr>
        <w:jc w:val="center"/>
        <w:rPr>
          <w:rFonts w:ascii="黑体" w:hAnsi="黑体" w:eastAsia="黑体"/>
          <w:b/>
          <w:sz w:val="36"/>
          <w:szCs w:val="36"/>
          <w:highlight w:val="none"/>
        </w:rPr>
      </w:pPr>
      <w:r>
        <w:rPr>
          <w:rFonts w:hint="eastAsia" w:ascii="黑体" w:hAnsi="黑体" w:eastAsia="黑体"/>
          <w:b/>
          <w:sz w:val="36"/>
          <w:szCs w:val="36"/>
          <w:highlight w:val="none"/>
        </w:rPr>
        <w:t>天津市津南区教育局</w:t>
      </w:r>
    </w:p>
    <w:p>
      <w:pPr>
        <w:jc w:val="center"/>
        <w:rPr>
          <w:rFonts w:ascii="Arial Narrow" w:hAnsi="Arial Narrow"/>
          <w:sz w:val="24"/>
          <w:highlight w:val="none"/>
        </w:rPr>
      </w:pPr>
      <w:r>
        <w:rPr>
          <w:rFonts w:hint="eastAsia" w:ascii="黑体" w:hAnsi="黑体" w:eastAsia="黑体"/>
          <w:b/>
          <w:sz w:val="36"/>
          <w:szCs w:val="36"/>
          <w:highlight w:val="none"/>
        </w:rPr>
        <w:t>2</w:t>
      </w:r>
      <w:r>
        <w:rPr>
          <w:rFonts w:ascii="黑体" w:hAnsi="黑体" w:eastAsia="黑体"/>
          <w:b/>
          <w:sz w:val="36"/>
          <w:szCs w:val="36"/>
          <w:highlight w:val="none"/>
        </w:rPr>
        <w:t>0</w:t>
      </w:r>
      <w:r>
        <w:rPr>
          <w:rFonts w:hint="eastAsia" w:ascii="黑体" w:hAnsi="黑体" w:eastAsia="黑体"/>
          <w:b/>
          <w:sz w:val="36"/>
          <w:szCs w:val="36"/>
          <w:highlight w:val="none"/>
        </w:rPr>
        <w:t>20年度学校功能及教学设备等提升资金项目绩效评价报告</w:t>
      </w:r>
    </w:p>
    <w:p>
      <w:pPr>
        <w:snapToGrid w:val="0"/>
        <w:spacing w:afterLines="100" w:line="240" w:lineRule="atLeast"/>
        <w:jc w:val="center"/>
        <w:rPr>
          <w:rFonts w:ascii="宋体" w:hAnsi="宋体"/>
          <w:szCs w:val="21"/>
          <w:highlight w:val="none"/>
        </w:rPr>
      </w:pPr>
      <w:r>
        <w:rPr>
          <w:rFonts w:ascii="宋体" w:hAnsi="宋体"/>
          <w:b/>
          <w:sz w:val="24"/>
          <w:szCs w:val="24"/>
          <w:highlight w:val="none"/>
        </w:rPr>
        <w:tab/>
      </w:r>
      <w:r>
        <w:rPr>
          <w:rFonts w:hint="eastAsia" w:ascii="宋体" w:hAnsi="宋体"/>
          <w:szCs w:val="21"/>
          <w:highlight w:val="none"/>
        </w:rPr>
        <w:t>津税普华鉴咨字[2021]第</w:t>
      </w:r>
      <w:r>
        <w:rPr>
          <w:rFonts w:hint="eastAsia" w:ascii="宋体" w:hAnsi="宋体"/>
          <w:szCs w:val="21"/>
          <w:highlight w:val="none"/>
        </w:rPr>
        <w:t>002</w:t>
      </w:r>
      <w:r>
        <w:rPr>
          <w:rFonts w:hint="eastAsia" w:ascii="宋体" w:hAnsi="宋体"/>
          <w:szCs w:val="21"/>
          <w:highlight w:val="none"/>
        </w:rPr>
        <w:t>号</w:t>
      </w:r>
    </w:p>
    <w:p>
      <w:pPr>
        <w:spacing w:before="240" w:after="240" w:line="560" w:lineRule="exact"/>
        <w:jc w:val="left"/>
        <w:rPr>
          <w:rFonts w:ascii="宋体" w:hAnsi="宋体"/>
          <w:b/>
          <w:bCs/>
          <w:sz w:val="24"/>
          <w:szCs w:val="24"/>
          <w:highlight w:val="none"/>
          <w:lang w:val="en-GB"/>
        </w:rPr>
      </w:pPr>
      <w:r>
        <w:rPr>
          <w:rFonts w:hint="eastAsia" w:ascii="宋体" w:hAnsi="宋体"/>
          <w:b/>
          <w:bCs/>
          <w:sz w:val="24"/>
          <w:szCs w:val="24"/>
          <w:highlight w:val="none"/>
          <w:lang w:val="en-GB"/>
        </w:rPr>
        <w:t>天津市</w:t>
      </w:r>
      <w:r>
        <w:rPr>
          <w:rFonts w:hint="eastAsia" w:ascii="宋体" w:hAnsi="宋体"/>
          <w:b/>
          <w:bCs/>
          <w:sz w:val="24"/>
          <w:szCs w:val="24"/>
          <w:highlight w:val="none"/>
        </w:rPr>
        <w:t>津南</w:t>
      </w:r>
      <w:r>
        <w:rPr>
          <w:rFonts w:hint="eastAsia" w:ascii="宋体" w:hAnsi="宋体"/>
          <w:b/>
          <w:bCs/>
          <w:sz w:val="24"/>
          <w:szCs w:val="24"/>
          <w:highlight w:val="none"/>
          <w:lang w:val="en-GB"/>
        </w:rPr>
        <w:t>区财政局</w:t>
      </w:r>
      <w:r>
        <w:rPr>
          <w:rFonts w:ascii="宋体" w:hAnsi="宋体"/>
          <w:b/>
          <w:bCs/>
          <w:sz w:val="24"/>
          <w:szCs w:val="24"/>
          <w:highlight w:val="none"/>
          <w:lang w:val="en-GB"/>
        </w:rPr>
        <w:t>：</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我们接受了委托，为规范和加强财政支出管理，强化支出责任，提高财政资金使用效益，根据市政府办公厅《转发市财政局拟定的天津市财政项目支出绩效评价管理办法的通知》（津政办发〔2012〕2号）精神的要求，</w:t>
      </w:r>
      <w:r>
        <w:rPr>
          <w:rFonts w:hint="eastAsia" w:ascii="宋体" w:hAnsi="宋体"/>
          <w:bCs/>
          <w:color w:val="000000" w:themeColor="text1"/>
          <w:sz w:val="24"/>
          <w:szCs w:val="24"/>
          <w:highlight w:val="none"/>
        </w:rPr>
        <w:t>由</w:t>
      </w:r>
      <w:r>
        <w:rPr>
          <w:rFonts w:hint="eastAsia" w:ascii="宋体" w:hAnsi="宋体"/>
          <w:sz w:val="24"/>
          <w:szCs w:val="24"/>
          <w:highlight w:val="none"/>
        </w:rPr>
        <w:t>普华津融（天津）税务师事务所有限公司</w:t>
      </w:r>
      <w:r>
        <w:rPr>
          <w:rFonts w:hint="eastAsia" w:ascii="宋体" w:hAnsi="宋体"/>
          <w:bCs/>
          <w:sz w:val="24"/>
          <w:szCs w:val="24"/>
          <w:highlight w:val="none"/>
          <w:lang w:val="en-GB"/>
        </w:rPr>
        <w:t>（以下简称“</w:t>
      </w:r>
      <w:r>
        <w:rPr>
          <w:rFonts w:hint="eastAsia" w:ascii="宋体" w:hAnsi="宋体"/>
          <w:sz w:val="24"/>
          <w:szCs w:val="24"/>
          <w:highlight w:val="none"/>
        </w:rPr>
        <w:t>普华津融</w:t>
      </w:r>
      <w:r>
        <w:rPr>
          <w:rFonts w:hint="eastAsia" w:ascii="宋体" w:hAnsi="宋体"/>
          <w:bCs/>
          <w:sz w:val="24"/>
          <w:szCs w:val="24"/>
          <w:highlight w:val="none"/>
          <w:lang w:val="en-GB"/>
        </w:rPr>
        <w:t>”）绩效评价组对天津市津南区教育局2020年度学校功能及教学设备等提升资金项目进行了绩效评价，现将有关情况报告如下：</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一.基本概况</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天津市</w:t>
      </w:r>
      <w:r>
        <w:rPr>
          <w:rFonts w:hint="eastAsia" w:ascii="宋体" w:hAnsi="宋体"/>
          <w:bCs/>
          <w:sz w:val="24"/>
          <w:szCs w:val="24"/>
          <w:highlight w:val="none"/>
        </w:rPr>
        <w:t>津南</w:t>
      </w:r>
      <w:r>
        <w:rPr>
          <w:rFonts w:hint="eastAsia" w:ascii="宋体" w:hAnsi="宋体"/>
          <w:bCs/>
          <w:sz w:val="24"/>
          <w:szCs w:val="24"/>
          <w:highlight w:val="none"/>
          <w:lang w:val="en-GB"/>
        </w:rPr>
        <w:t>区教育局（以下简称“</w:t>
      </w:r>
      <w:r>
        <w:rPr>
          <w:rFonts w:hint="eastAsia" w:ascii="宋体" w:hAnsi="宋体"/>
          <w:bCs/>
          <w:sz w:val="24"/>
          <w:szCs w:val="24"/>
          <w:highlight w:val="none"/>
        </w:rPr>
        <w:t>津南</w:t>
      </w:r>
      <w:r>
        <w:rPr>
          <w:rFonts w:hint="eastAsia" w:ascii="宋体" w:hAnsi="宋体"/>
          <w:bCs/>
          <w:sz w:val="24"/>
          <w:szCs w:val="24"/>
          <w:highlight w:val="none"/>
          <w:lang w:val="en-GB"/>
        </w:rPr>
        <w:t>区教育局”）2020年度学校功能及教学设备等提升资金项目依据教育部文件教督[2017]6号《教育部关于印发&lt;县域义务教育优质均衡发展督导评估办法&gt;的通知》，国教督办函[2019]30号《国务院教育督导委员会办公室关于印发&lt;县域义务教育优质均衡发展国家督导评估认定工作规程&gt;的通知》，津政办规[2020]5号《天津市人民政府办公厅关于印发天津市推进义务教育优质均衡发展三年行动方案（2020-2022年）的通知》设立，项目设立过程符合相关要求。项目年初预算为1,684.30万元，预算调整为4,804.61万元，实际申请资金4,804.61万元，支出4,056.98万元，项目资金结余747.63万元。津南区教育局申报了绩效目标表，评价组以《项目支出绩效目标表》为依据，确定项目的工作目标为：</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1.完成对50所学校、2个幼儿园的装备提升；</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2.按照中小学、幼儿园装备要求，进行装备填平补齐、老旧改造、设备升级、损耗补充以及增班产生的装备新缺口；</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3. 2020年12月底完成教学设备提升项目；</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4.教学装备不断更新提升，满足了现代化教育教学需求，让学生在现代化教学手段中感受学习的乐趣。</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二.绩效评价的组织实施情况</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（一）评价准备阶段。</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2020年9月初，绩效评价组赴天津市</w:t>
      </w:r>
      <w:r>
        <w:rPr>
          <w:rFonts w:hint="eastAsia" w:ascii="宋体" w:hAnsi="宋体"/>
          <w:bCs/>
          <w:sz w:val="24"/>
          <w:szCs w:val="24"/>
          <w:highlight w:val="none"/>
        </w:rPr>
        <w:t>津南</w:t>
      </w:r>
      <w:r>
        <w:rPr>
          <w:rFonts w:hint="eastAsia" w:ascii="宋体" w:hAnsi="宋体"/>
          <w:bCs/>
          <w:sz w:val="24"/>
          <w:szCs w:val="24"/>
          <w:highlight w:val="none"/>
          <w:lang w:val="en-GB"/>
        </w:rPr>
        <w:t>区教育局参加见面会，听取了</w:t>
      </w:r>
      <w:r>
        <w:rPr>
          <w:rFonts w:hint="eastAsia" w:ascii="宋体" w:hAnsi="宋体"/>
          <w:bCs/>
          <w:sz w:val="24"/>
          <w:szCs w:val="24"/>
          <w:highlight w:val="none"/>
        </w:rPr>
        <w:t>津南</w:t>
      </w:r>
      <w:r>
        <w:rPr>
          <w:rFonts w:hint="eastAsia" w:ascii="宋体" w:hAnsi="宋体"/>
          <w:bCs/>
          <w:sz w:val="24"/>
          <w:szCs w:val="24"/>
          <w:highlight w:val="none"/>
          <w:lang w:val="en-GB"/>
        </w:rPr>
        <w:t>区教育局学校功能及教学设备等提升资金项目的申请立项、资金落实、业务管理、财务管理、项目产出、项目效益等方面的情况介绍，并对项目后续评价工作的基本原则及所需的各类资料文件提出了要求。随后评价组对</w:t>
      </w:r>
      <w:r>
        <w:rPr>
          <w:rFonts w:hint="eastAsia" w:ascii="宋体" w:hAnsi="宋体"/>
          <w:bCs/>
          <w:sz w:val="24"/>
          <w:szCs w:val="24"/>
          <w:highlight w:val="none"/>
        </w:rPr>
        <w:t>津南</w:t>
      </w:r>
      <w:r>
        <w:rPr>
          <w:rFonts w:hint="eastAsia" w:ascii="宋体" w:hAnsi="宋体"/>
          <w:bCs/>
          <w:sz w:val="24"/>
          <w:szCs w:val="24"/>
          <w:highlight w:val="none"/>
          <w:lang w:val="en-GB"/>
        </w:rPr>
        <w:t>区教育局学校功能及教学设备等提升资金项目的自评工作开展了辅导，</w:t>
      </w:r>
      <w:r>
        <w:rPr>
          <w:rFonts w:hint="eastAsia" w:ascii="宋体" w:hAnsi="宋体"/>
          <w:bCs/>
          <w:sz w:val="24"/>
          <w:szCs w:val="24"/>
          <w:highlight w:val="none"/>
        </w:rPr>
        <w:t>津南</w:t>
      </w:r>
      <w:r>
        <w:rPr>
          <w:rFonts w:hint="eastAsia" w:ascii="宋体" w:hAnsi="宋体"/>
          <w:bCs/>
          <w:sz w:val="24"/>
          <w:szCs w:val="24"/>
          <w:highlight w:val="none"/>
          <w:lang w:val="en-GB"/>
        </w:rPr>
        <w:t>区教育局学校功能及教学设备等提升资金项目</w:t>
      </w:r>
      <w:r>
        <w:rPr>
          <w:rFonts w:hint="eastAsia" w:ascii="宋体" w:hAnsi="宋体"/>
          <w:bCs/>
          <w:color w:val="000000" w:themeColor="text1"/>
          <w:sz w:val="24"/>
          <w:szCs w:val="24"/>
          <w:highlight w:val="none"/>
          <w:lang w:val="en-GB"/>
        </w:rPr>
        <w:t>申报了项目自评材料。</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（二）评价工作实施阶段。</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1.正式进驻。评价组2020年9月6日到9月30日正式进驻天津市</w:t>
      </w:r>
      <w:r>
        <w:rPr>
          <w:rFonts w:hint="eastAsia" w:ascii="宋体" w:hAnsi="宋体"/>
          <w:bCs/>
          <w:sz w:val="24"/>
          <w:szCs w:val="24"/>
          <w:highlight w:val="none"/>
        </w:rPr>
        <w:t>津南</w:t>
      </w:r>
      <w:r>
        <w:rPr>
          <w:rFonts w:hint="eastAsia" w:ascii="宋体" w:hAnsi="宋体"/>
          <w:bCs/>
          <w:sz w:val="24"/>
          <w:szCs w:val="24"/>
          <w:highlight w:val="none"/>
          <w:lang w:val="en-GB"/>
        </w:rPr>
        <w:t>教育局实施评价工作。</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2.全面审查。评价组对学校功能及教学设备等提升资金项目的文件依据、制度制定、制度执行、资金拨付、项目效益等方面进行了全面梳理。根据项目管理办法及相关通知的要求，确定了</w:t>
      </w:r>
      <w:r>
        <w:rPr>
          <w:rFonts w:hint="eastAsia" w:ascii="宋体" w:hAnsi="宋体"/>
          <w:bCs/>
          <w:sz w:val="24"/>
          <w:szCs w:val="24"/>
          <w:highlight w:val="none"/>
        </w:rPr>
        <w:t>津南</w:t>
      </w:r>
      <w:r>
        <w:rPr>
          <w:rFonts w:hint="eastAsia" w:ascii="宋体" w:hAnsi="宋体"/>
          <w:bCs/>
          <w:sz w:val="24"/>
          <w:szCs w:val="24"/>
          <w:highlight w:val="none"/>
          <w:lang w:val="en-GB"/>
        </w:rPr>
        <w:t>区教育局学校功能及教学设备等提升资金项目的政策方向及</w:t>
      </w:r>
      <w:r>
        <w:rPr>
          <w:rFonts w:hint="eastAsia" w:ascii="宋体" w:hAnsi="宋体"/>
          <w:bCs/>
          <w:sz w:val="24"/>
          <w:szCs w:val="24"/>
          <w:highlight w:val="none"/>
          <w:lang w:val="en-US" w:eastAsia="zh-CN"/>
        </w:rPr>
        <w:t>资金</w:t>
      </w:r>
      <w:r>
        <w:rPr>
          <w:rFonts w:hint="eastAsia" w:ascii="宋体" w:hAnsi="宋体"/>
          <w:bCs/>
          <w:sz w:val="24"/>
          <w:szCs w:val="24"/>
          <w:highlight w:val="none"/>
          <w:lang w:val="en-GB"/>
        </w:rPr>
        <w:t>使用范围；</w:t>
      </w:r>
      <w:r>
        <w:rPr>
          <w:rFonts w:hint="eastAsia" w:ascii="宋体" w:hAnsi="宋体"/>
          <w:bCs/>
          <w:sz w:val="24"/>
          <w:szCs w:val="24"/>
          <w:highlight w:val="none"/>
          <w:lang w:val="en-GB"/>
        </w:rPr>
        <w:t>根据</w:t>
      </w:r>
      <w:r>
        <w:rPr>
          <w:rFonts w:hint="eastAsia" w:ascii="宋体" w:hAnsi="宋体"/>
          <w:bCs/>
          <w:sz w:val="24"/>
          <w:szCs w:val="24"/>
          <w:highlight w:val="none"/>
        </w:rPr>
        <w:t>津南</w:t>
      </w:r>
      <w:r>
        <w:rPr>
          <w:rFonts w:hint="eastAsia" w:ascii="宋体" w:hAnsi="宋体"/>
          <w:bCs/>
          <w:sz w:val="24"/>
          <w:szCs w:val="24"/>
          <w:highlight w:val="none"/>
          <w:lang w:val="en-GB"/>
        </w:rPr>
        <w:t>区教育局学校功能及教学设备等提升资金项目实施的申请材料、</w:t>
      </w:r>
      <w:r>
        <w:rPr>
          <w:rFonts w:hint="eastAsia" w:ascii="宋体" w:hAnsi="宋体"/>
          <w:bCs/>
          <w:sz w:val="24"/>
          <w:szCs w:val="24"/>
          <w:highlight w:val="none"/>
        </w:rPr>
        <w:t>津南</w:t>
      </w:r>
      <w:r>
        <w:rPr>
          <w:rFonts w:hint="eastAsia" w:ascii="宋体" w:hAnsi="宋体"/>
          <w:bCs/>
          <w:sz w:val="24"/>
          <w:szCs w:val="24"/>
          <w:highlight w:val="none"/>
          <w:lang w:val="en-GB"/>
        </w:rPr>
        <w:t>区教育局学校功能及教学设备等提升资金项目资金申请书、津南区财政局</w:t>
      </w:r>
      <w:r>
        <w:rPr>
          <w:rFonts w:hint="eastAsia" w:ascii="宋体" w:hAnsi="宋体"/>
          <w:bCs/>
          <w:sz w:val="24"/>
          <w:szCs w:val="24"/>
          <w:highlight w:val="none"/>
          <w:lang w:val="en-US" w:eastAsia="zh-CN"/>
        </w:rPr>
        <w:t>资金</w:t>
      </w:r>
      <w:r>
        <w:rPr>
          <w:rFonts w:hint="eastAsia" w:ascii="宋体" w:hAnsi="宋体"/>
          <w:bCs/>
          <w:sz w:val="24"/>
          <w:szCs w:val="24"/>
          <w:highlight w:val="none"/>
          <w:lang w:val="en-GB"/>
        </w:rPr>
        <w:t>划拨等资料，对</w:t>
      </w:r>
      <w:r>
        <w:rPr>
          <w:rFonts w:hint="eastAsia" w:ascii="宋体" w:hAnsi="宋体"/>
          <w:bCs/>
          <w:sz w:val="24"/>
          <w:szCs w:val="24"/>
          <w:highlight w:val="none"/>
        </w:rPr>
        <w:t>津南</w:t>
      </w:r>
      <w:r>
        <w:rPr>
          <w:rFonts w:hint="eastAsia" w:ascii="宋体" w:hAnsi="宋体"/>
          <w:bCs/>
          <w:sz w:val="24"/>
          <w:szCs w:val="24"/>
          <w:highlight w:val="none"/>
          <w:lang w:val="en-GB"/>
        </w:rPr>
        <w:t>区教育局学校功能及教学设备等提升资金项目的实施过程、验收环节、付款进度等内容进行了整体评价。</w:t>
      </w:r>
    </w:p>
    <w:p>
      <w:pPr>
        <w:spacing w:line="560" w:lineRule="exact"/>
        <w:ind w:firstLine="470" w:firstLineChars="196"/>
        <w:rPr>
          <w:rFonts w:ascii="宋体" w:hAnsi="宋体"/>
          <w:bCs/>
          <w:sz w:val="24"/>
          <w:szCs w:val="24"/>
          <w:highlight w:val="none"/>
          <w:lang w:val="en-GB"/>
        </w:rPr>
      </w:pPr>
      <w:r>
        <w:rPr>
          <w:rFonts w:ascii="宋体" w:hAnsi="宋体"/>
          <w:bCs/>
          <w:sz w:val="24"/>
          <w:szCs w:val="24"/>
          <w:highlight w:val="none"/>
          <w:lang w:val="en-GB"/>
        </w:rPr>
        <w:t>3</w:t>
      </w:r>
      <w:r>
        <w:rPr>
          <w:rFonts w:hint="eastAsia" w:ascii="宋体" w:hAnsi="宋体"/>
          <w:bCs/>
          <w:sz w:val="24"/>
          <w:szCs w:val="24"/>
          <w:highlight w:val="none"/>
          <w:lang w:val="en-GB"/>
        </w:rPr>
        <w:t>.评价打分。按照绩效评价指标体系编制了工作底稿对各绩效指标进行了评分。</w:t>
      </w:r>
    </w:p>
    <w:p>
      <w:pPr>
        <w:spacing w:line="560" w:lineRule="exact"/>
        <w:ind w:firstLine="470" w:firstLineChars="196"/>
        <w:rPr>
          <w:rFonts w:ascii="宋体" w:hAnsi="宋体"/>
          <w:bCs/>
          <w:sz w:val="24"/>
          <w:szCs w:val="24"/>
          <w:highlight w:val="none"/>
          <w:lang w:val="en-GB"/>
        </w:rPr>
      </w:pPr>
      <w:r>
        <w:rPr>
          <w:rFonts w:ascii="宋体" w:hAnsi="宋体"/>
          <w:bCs/>
          <w:sz w:val="24"/>
          <w:szCs w:val="24"/>
          <w:highlight w:val="none"/>
          <w:lang w:val="en-GB"/>
        </w:rPr>
        <w:t>4</w:t>
      </w:r>
      <w:r>
        <w:rPr>
          <w:rFonts w:hint="eastAsia" w:ascii="宋体" w:hAnsi="宋体"/>
          <w:bCs/>
          <w:sz w:val="24"/>
          <w:szCs w:val="24"/>
          <w:highlight w:val="none"/>
          <w:lang w:val="en-GB"/>
        </w:rPr>
        <w:t>.编制报告。评价组根据核查和打分情况，起草绩效评价报告，全面梳理本项目取得的成效、存在问题及工作建议。并向</w:t>
      </w:r>
      <w:r>
        <w:rPr>
          <w:rFonts w:hint="eastAsia" w:ascii="宋体" w:hAnsi="宋体"/>
          <w:bCs/>
          <w:sz w:val="24"/>
          <w:szCs w:val="24"/>
          <w:highlight w:val="none"/>
        </w:rPr>
        <w:t>津南</w:t>
      </w:r>
      <w:r>
        <w:rPr>
          <w:rFonts w:hint="eastAsia" w:ascii="宋体" w:hAnsi="宋体"/>
          <w:bCs/>
          <w:sz w:val="24"/>
          <w:szCs w:val="24"/>
          <w:highlight w:val="none"/>
          <w:lang w:val="en-GB"/>
        </w:rPr>
        <w:t>区教育局征求意见后报送</w:t>
      </w:r>
      <w:r>
        <w:rPr>
          <w:rFonts w:hint="eastAsia" w:ascii="宋体" w:hAnsi="宋体"/>
          <w:bCs/>
          <w:sz w:val="24"/>
          <w:szCs w:val="24"/>
          <w:highlight w:val="none"/>
        </w:rPr>
        <w:t>津南</w:t>
      </w:r>
      <w:r>
        <w:rPr>
          <w:rFonts w:hint="eastAsia" w:ascii="宋体" w:hAnsi="宋体"/>
          <w:bCs/>
          <w:sz w:val="24"/>
          <w:szCs w:val="24"/>
          <w:highlight w:val="none"/>
          <w:lang w:val="en-GB"/>
        </w:rPr>
        <w:t>区财政局。</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三.绩效评价指标体系和评价方法</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（一）绩效评价指标体系。</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项目绩效评价指标体系由</w:t>
      </w:r>
      <w:r>
        <w:rPr>
          <w:rFonts w:hint="eastAsia" w:ascii="宋体" w:hAnsi="宋体"/>
          <w:bCs/>
          <w:color w:val="000000" w:themeColor="text1"/>
          <w:sz w:val="24"/>
          <w:szCs w:val="24"/>
          <w:highlight w:val="none"/>
          <w:lang w:val="en-GB"/>
        </w:rPr>
        <w:t>投入、过程、产出、效果及自评指标</w:t>
      </w:r>
      <w:r>
        <w:rPr>
          <w:rFonts w:hint="eastAsia" w:ascii="宋体" w:hAnsi="宋体"/>
          <w:bCs/>
          <w:color w:val="000000" w:themeColor="text1"/>
          <w:sz w:val="24"/>
          <w:szCs w:val="24"/>
          <w:highlight w:val="none"/>
        </w:rPr>
        <w:t>五</w:t>
      </w:r>
      <w:r>
        <w:rPr>
          <w:rFonts w:hint="eastAsia" w:ascii="宋体" w:hAnsi="宋体"/>
          <w:bCs/>
          <w:color w:val="000000" w:themeColor="text1"/>
          <w:sz w:val="24"/>
          <w:szCs w:val="24"/>
          <w:highlight w:val="none"/>
          <w:lang w:val="en-GB"/>
        </w:rPr>
        <w:t>部</w:t>
      </w:r>
      <w:r>
        <w:rPr>
          <w:rFonts w:hint="eastAsia" w:ascii="宋体" w:hAnsi="宋体"/>
          <w:bCs/>
          <w:sz w:val="24"/>
          <w:szCs w:val="24"/>
          <w:highlight w:val="none"/>
          <w:lang w:val="en-GB"/>
        </w:rPr>
        <w:t>分指标</w:t>
      </w:r>
      <w:r>
        <w:rPr>
          <w:rFonts w:hint="eastAsia" w:ascii="宋体" w:hAnsi="宋体"/>
          <w:bCs/>
          <w:sz w:val="24"/>
          <w:szCs w:val="24"/>
          <w:highlight w:val="none"/>
          <w:lang w:val="en-GB"/>
        </w:rPr>
        <w:t>构成。此体系满分100分，各项指标综合得分90分（含）以上为优；80分（含）至90为良；60分（含）至80分为中；60分以下为差。</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项目绩效评价指标体系及评分结果详见附件1。</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（二）评价方法。</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本次评价主要使用了比较法和抽查法。</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四.绩效目标的实现程度</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（一）绩效目标实现程度。</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1.项目完成情况</w:t>
      </w:r>
    </w:p>
    <w:p>
      <w:pPr>
        <w:spacing w:line="560" w:lineRule="exact"/>
        <w:ind w:left="488" w:leftChars="228" w:hanging="9" w:hangingChars="4"/>
        <w:rPr>
          <w:rFonts w:hint="eastAsia" w:ascii="宋体" w:hAnsi="宋体"/>
          <w:bCs/>
          <w:sz w:val="24"/>
          <w:szCs w:val="24"/>
          <w:highlight w:val="none"/>
          <w:lang w:val="en-GB"/>
        </w:rPr>
      </w:pPr>
      <w:r>
        <w:rPr>
          <w:rFonts w:hint="eastAsia" w:ascii="宋体" w:hAnsi="宋体"/>
          <w:bCs/>
          <w:sz w:val="24"/>
          <w:szCs w:val="24"/>
          <w:highlight w:val="none"/>
        </w:rPr>
        <w:t>津南</w:t>
      </w:r>
      <w:r>
        <w:rPr>
          <w:rFonts w:hint="eastAsia" w:ascii="宋体" w:hAnsi="宋体"/>
          <w:bCs/>
          <w:sz w:val="24"/>
          <w:szCs w:val="24"/>
          <w:highlight w:val="none"/>
          <w:lang w:val="en-GB"/>
        </w:rPr>
        <w:t>区教育局2020年度学校功能及教学设备等提升资金项目主要完成工作：</w:t>
      </w:r>
      <w:r>
        <w:rPr>
          <w:rFonts w:hint="eastAsia" w:ascii="宋体" w:hAnsi="宋体"/>
          <w:bCs/>
          <w:sz w:val="24"/>
          <w:szCs w:val="24"/>
          <w:highlight w:val="none"/>
          <w:lang w:val="en-GB" w:eastAsia="zh-CN"/>
        </w:rPr>
        <w:t>（</w:t>
      </w:r>
      <w:r>
        <w:rPr>
          <w:rFonts w:hint="eastAsia" w:ascii="宋体" w:hAnsi="宋体"/>
          <w:bCs/>
          <w:sz w:val="24"/>
          <w:szCs w:val="24"/>
          <w:highlight w:val="none"/>
          <w:lang w:val="en-US" w:eastAsia="zh-CN"/>
        </w:rPr>
        <w:t>1</w:t>
      </w:r>
      <w:r>
        <w:rPr>
          <w:rFonts w:hint="eastAsia" w:ascii="宋体" w:hAnsi="宋体"/>
          <w:bCs/>
          <w:sz w:val="24"/>
          <w:szCs w:val="24"/>
          <w:highlight w:val="none"/>
          <w:lang w:val="en-GB" w:eastAsia="zh-CN"/>
        </w:rPr>
        <w:t>）</w:t>
      </w:r>
      <w:r>
        <w:rPr>
          <w:rFonts w:hint="eastAsia" w:ascii="宋体" w:hAnsi="宋体"/>
          <w:bCs/>
          <w:sz w:val="24"/>
          <w:szCs w:val="24"/>
          <w:highlight w:val="none"/>
          <w:lang w:val="en-GB"/>
        </w:rPr>
        <w:t>完成学校及幼儿园的装备提升；</w:t>
      </w:r>
    </w:p>
    <w:p>
      <w:pPr>
        <w:numPr>
          <w:ilvl w:val="0"/>
          <w:numId w:val="1"/>
        </w:numPr>
        <w:spacing w:line="560" w:lineRule="exact"/>
        <w:ind w:left="239" w:leftChars="114" w:firstLine="230" w:firstLineChars="96"/>
        <w:rPr>
          <w:rFonts w:hint="eastAsia" w:ascii="宋体" w:hAnsi="宋体"/>
          <w:bCs/>
          <w:sz w:val="24"/>
          <w:szCs w:val="24"/>
          <w:highlight w:val="none"/>
          <w:lang w:val="en-GB"/>
        </w:rPr>
      </w:pPr>
      <w:r>
        <w:rPr>
          <w:rFonts w:hint="eastAsia" w:ascii="宋体" w:hAnsi="宋体"/>
          <w:bCs/>
          <w:sz w:val="24"/>
          <w:szCs w:val="24"/>
          <w:highlight w:val="none"/>
          <w:lang w:val="en-GB"/>
        </w:rPr>
        <w:t>按照中小学、幼儿园装备要求，进行装备填平补齐、老旧改造、设备升级、损耗补充以及增班产生的装备新缺口；</w:t>
      </w:r>
    </w:p>
    <w:p>
      <w:pPr>
        <w:numPr>
          <w:ilvl w:val="0"/>
          <w:numId w:val="1"/>
        </w:numPr>
        <w:spacing w:line="560" w:lineRule="exact"/>
        <w:ind w:left="239" w:leftChars="114" w:firstLine="230" w:firstLineChars="96"/>
        <w:rPr>
          <w:rFonts w:ascii="宋体" w:hAnsi="宋体"/>
          <w:bCs/>
          <w:sz w:val="24"/>
          <w:szCs w:val="24"/>
          <w:highlight w:val="none"/>
          <w:lang w:val="en-GB"/>
        </w:rPr>
      </w:pPr>
      <w:r>
        <w:rPr>
          <w:rFonts w:hint="eastAsia" w:ascii="宋体" w:hAnsi="宋体"/>
          <w:bCs/>
          <w:sz w:val="24"/>
          <w:szCs w:val="24"/>
          <w:highlight w:val="none"/>
          <w:lang w:val="en-GB"/>
        </w:rPr>
        <w:t>2020年12月底完成了教学设备的采购和安装并验收合格。</w:t>
      </w:r>
    </w:p>
    <w:p>
      <w:pPr>
        <w:spacing w:line="560" w:lineRule="exact"/>
        <w:ind w:firstLine="480" w:firstLineChars="200"/>
        <w:rPr>
          <w:rFonts w:ascii="宋体" w:hAnsi="宋体"/>
          <w:bCs/>
          <w:sz w:val="24"/>
          <w:szCs w:val="24"/>
          <w:highlight w:val="none"/>
        </w:rPr>
      </w:pPr>
      <w:r>
        <w:rPr>
          <w:rFonts w:hint="eastAsia" w:ascii="宋体" w:hAnsi="宋体"/>
          <w:bCs/>
          <w:sz w:val="24"/>
          <w:szCs w:val="24"/>
          <w:highlight w:val="none"/>
          <w:lang w:val="en-GB"/>
        </w:rPr>
        <w:t>2</w:t>
      </w:r>
      <w:r>
        <w:rPr>
          <w:rFonts w:ascii="宋体" w:hAnsi="宋体"/>
          <w:bCs/>
          <w:sz w:val="24"/>
          <w:szCs w:val="24"/>
          <w:highlight w:val="none"/>
          <w:lang w:val="en-GB"/>
        </w:rPr>
        <w:t>.</w:t>
      </w:r>
      <w:r>
        <w:rPr>
          <w:rFonts w:hint="eastAsia" w:ascii="宋体" w:hAnsi="宋体"/>
          <w:bCs/>
          <w:sz w:val="24"/>
          <w:szCs w:val="24"/>
          <w:highlight w:val="none"/>
          <w:lang w:val="en-GB"/>
        </w:rPr>
        <w:t xml:space="preserve">社会效益 </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（1）满足了现代化教育教学需求，让学生在现代化教学手段中感受学习的乐趣。</w:t>
      </w:r>
    </w:p>
    <w:p>
      <w:pPr>
        <w:spacing w:line="560" w:lineRule="exact"/>
        <w:ind w:firstLine="470" w:firstLineChars="196"/>
        <w:rPr>
          <w:rFonts w:ascii="宋体" w:hAnsi="宋体"/>
          <w:bCs/>
          <w:sz w:val="24"/>
          <w:szCs w:val="24"/>
          <w:highlight w:val="none"/>
          <w:lang w:val="en-GB"/>
        </w:rPr>
      </w:pP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（二）资金使用及管理情况。</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（1）资金管理、资金使用情况</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津南区</w:t>
      </w:r>
      <w:r>
        <w:rPr>
          <w:rFonts w:hint="eastAsia" w:ascii="宋体" w:hAnsi="宋体"/>
          <w:bCs/>
          <w:color w:val="000000" w:themeColor="text1"/>
          <w:sz w:val="24"/>
          <w:szCs w:val="24"/>
          <w:highlight w:val="none"/>
          <w:lang w:val="en-GB"/>
        </w:rPr>
        <w:t>教育局没有制定专门</w:t>
      </w:r>
      <w:r>
        <w:rPr>
          <w:rFonts w:hint="eastAsia" w:ascii="宋体" w:hAnsi="宋体"/>
          <w:bCs/>
          <w:sz w:val="24"/>
          <w:szCs w:val="24"/>
          <w:highlight w:val="none"/>
          <w:lang w:val="en-GB"/>
        </w:rPr>
        <w:t>的项目资金管理办法，按照《津南区教育局经费收支管理制度》使用资金；财务管理制度符合相关财务会计制度的规定。截至2020年底，天津市财政局通过授权支付的方式向津南区教育技术装备管理站拨付项目资金1,718.53万元,</w:t>
      </w:r>
      <w:r>
        <w:rPr>
          <w:rFonts w:hint="eastAsia" w:ascii="宋体" w:hAnsi="宋体"/>
          <w:bCs/>
          <w:sz w:val="24"/>
          <w:szCs w:val="24"/>
          <w:highlight w:val="none"/>
          <w:lang w:val="en-GB"/>
        </w:rPr>
        <w:t>津南区财政局通过授权支付的方式向津南区教育技术装备管理站拨付项目资金2,372.68万元,向津南区教育局拨付项目资金2,431.93万元，共计拨付项目资金6,523.14万元</w:t>
      </w:r>
      <w:r>
        <w:rPr>
          <w:rFonts w:hint="eastAsia" w:ascii="宋体" w:hAnsi="宋体"/>
          <w:bCs/>
          <w:sz w:val="24"/>
          <w:szCs w:val="24"/>
          <w:highlight w:val="none"/>
          <w:lang w:val="en-GB" w:eastAsia="zh-CN"/>
        </w:rPr>
        <w:t>；</w:t>
      </w:r>
      <w:r>
        <w:rPr>
          <w:rFonts w:hint="eastAsia" w:ascii="宋体" w:hAnsi="宋体"/>
          <w:bCs/>
          <w:sz w:val="24"/>
          <w:szCs w:val="24"/>
          <w:highlight w:val="none"/>
          <w:lang w:val="en-GB"/>
        </w:rPr>
        <w:t>津南区教育局通过调整指标的方式向津南区教育技术装备管理站拨付项目资金1,684.30万元，</w:t>
      </w:r>
      <w:r>
        <w:rPr>
          <w:rFonts w:hint="eastAsia" w:ascii="宋体" w:hAnsi="宋体"/>
          <w:bCs/>
          <w:sz w:val="24"/>
          <w:szCs w:val="24"/>
          <w:highlight w:val="none"/>
          <w:lang w:val="en-GB"/>
        </w:rPr>
        <w:t>截至2020年</w:t>
      </w:r>
      <w:r>
        <w:rPr>
          <w:rFonts w:ascii="宋体" w:hAnsi="宋体"/>
          <w:bCs/>
          <w:sz w:val="24"/>
          <w:szCs w:val="24"/>
          <w:highlight w:val="none"/>
          <w:lang w:val="en-GB"/>
        </w:rPr>
        <w:t>12</w:t>
      </w:r>
      <w:r>
        <w:rPr>
          <w:rFonts w:hint="eastAsia" w:ascii="宋体" w:hAnsi="宋体"/>
          <w:bCs/>
          <w:sz w:val="24"/>
          <w:szCs w:val="24"/>
          <w:highlight w:val="none"/>
          <w:lang w:val="en-GB"/>
        </w:rPr>
        <w:t>月底共支出5,775.51万元，其中市财政资金支出1,718.53万元，津南区财政资金支出4,056.98万元，项目资金结余747.63万元。</w:t>
      </w:r>
    </w:p>
    <w:p>
      <w:pPr>
        <w:spacing w:line="560" w:lineRule="exact"/>
        <w:ind w:firstLine="470" w:firstLineChars="196"/>
        <w:jc w:val="center"/>
        <w:rPr>
          <w:rFonts w:ascii="宋体" w:hAnsi="宋体"/>
          <w:bCs/>
          <w:sz w:val="24"/>
          <w:szCs w:val="24"/>
          <w:highlight w:val="none"/>
          <w:lang w:val="en-GB"/>
        </w:rPr>
      </w:pPr>
      <w:r>
        <w:rPr>
          <w:rFonts w:hint="eastAsia" w:ascii="宋体" w:hAnsi="宋体"/>
          <w:bCs/>
          <w:sz w:val="24"/>
          <w:szCs w:val="24"/>
          <w:highlight w:val="none"/>
          <w:lang w:val="en-GB"/>
        </w:rPr>
        <w:t>项目支出明细表</w:t>
      </w:r>
    </w:p>
    <w:p>
      <w:pPr>
        <w:spacing w:line="560" w:lineRule="exact"/>
        <w:ind w:firstLine="7190" w:firstLineChars="2996"/>
        <w:rPr>
          <w:rFonts w:ascii="宋体" w:hAnsi="宋体"/>
          <w:bCs/>
          <w:sz w:val="24"/>
          <w:szCs w:val="24"/>
          <w:highlight w:val="none"/>
          <w:lang w:val="en-GB"/>
        </w:rPr>
      </w:pPr>
      <w:r>
        <w:rPr>
          <w:rFonts w:hint="eastAsia" w:ascii="宋体" w:hAnsi="宋体"/>
          <w:bCs/>
          <w:sz w:val="24"/>
          <w:szCs w:val="24"/>
          <w:highlight w:val="none"/>
          <w:lang w:val="en-GB"/>
        </w:rPr>
        <w:t>单位：万元</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
        <w:gridCol w:w="1419"/>
        <w:gridCol w:w="1123"/>
        <w:gridCol w:w="1197"/>
        <w:gridCol w:w="1105"/>
        <w:gridCol w:w="1197"/>
        <w:gridCol w:w="1047"/>
        <w:gridCol w:w="104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8" w:hRule="atLeast"/>
        </w:trPr>
        <w:tc>
          <w:tcPr>
            <w:tcW w:w="563" w:type="dxa"/>
            <w:vMerge w:val="restart"/>
          </w:tcPr>
          <w:p>
            <w:pPr>
              <w:widowControl/>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序号</w:t>
            </w:r>
          </w:p>
        </w:tc>
        <w:tc>
          <w:tcPr>
            <w:tcW w:w="1419" w:type="dxa"/>
            <w:vMerge w:val="restart"/>
          </w:tcPr>
          <w:p>
            <w:pPr>
              <w:spacing w:line="560" w:lineRule="exact"/>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项目名称</w:t>
            </w:r>
          </w:p>
        </w:tc>
        <w:tc>
          <w:tcPr>
            <w:tcW w:w="2320" w:type="dxa"/>
            <w:gridSpan w:val="2"/>
          </w:tcPr>
          <w:p>
            <w:pPr>
              <w:spacing w:line="560" w:lineRule="exact"/>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预算金额</w:t>
            </w:r>
          </w:p>
        </w:tc>
        <w:tc>
          <w:tcPr>
            <w:tcW w:w="2245" w:type="dxa"/>
            <w:gridSpan w:val="2"/>
          </w:tcPr>
          <w:p>
            <w:pPr>
              <w:spacing w:line="560" w:lineRule="exact"/>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支出金额</w:t>
            </w:r>
          </w:p>
        </w:tc>
        <w:tc>
          <w:tcPr>
            <w:tcW w:w="2094" w:type="dxa"/>
            <w:gridSpan w:val="2"/>
          </w:tcPr>
          <w:p>
            <w:pPr>
              <w:spacing w:line="560" w:lineRule="exact"/>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项目结余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2" w:hRule="atLeast"/>
        </w:trPr>
        <w:tc>
          <w:tcPr>
            <w:tcW w:w="563" w:type="dxa"/>
            <w:vMerge w:val="continue"/>
          </w:tcPr>
          <w:p>
            <w:pPr>
              <w:widowControl/>
              <w:jc w:val="center"/>
              <w:rPr>
                <w:rFonts w:ascii="等线" w:hAnsi="等线" w:eastAsia="等线" w:cs="宋体"/>
                <w:b/>
                <w:color w:val="000000"/>
                <w:kern w:val="0"/>
                <w:sz w:val="18"/>
                <w:szCs w:val="18"/>
                <w:highlight w:val="none"/>
              </w:rPr>
            </w:pPr>
          </w:p>
        </w:tc>
        <w:tc>
          <w:tcPr>
            <w:tcW w:w="1419" w:type="dxa"/>
            <w:vMerge w:val="continue"/>
          </w:tcPr>
          <w:p>
            <w:pPr>
              <w:widowControl/>
              <w:jc w:val="center"/>
              <w:rPr>
                <w:rFonts w:ascii="等线" w:hAnsi="等线" w:eastAsia="等线" w:cs="宋体"/>
                <w:b/>
                <w:color w:val="000000"/>
                <w:kern w:val="0"/>
                <w:sz w:val="18"/>
                <w:szCs w:val="18"/>
                <w:highlight w:val="none"/>
              </w:rPr>
            </w:pPr>
          </w:p>
        </w:tc>
        <w:tc>
          <w:tcPr>
            <w:tcW w:w="1123" w:type="dxa"/>
          </w:tcPr>
          <w:p>
            <w:pPr>
              <w:widowControl/>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区财政拨款金额</w:t>
            </w:r>
          </w:p>
        </w:tc>
        <w:tc>
          <w:tcPr>
            <w:tcW w:w="1197" w:type="dxa"/>
          </w:tcPr>
          <w:p>
            <w:pPr>
              <w:widowControl/>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市财政拨款金额</w:t>
            </w:r>
          </w:p>
        </w:tc>
        <w:tc>
          <w:tcPr>
            <w:tcW w:w="1048" w:type="dxa"/>
          </w:tcPr>
          <w:p>
            <w:pPr>
              <w:widowControl/>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区财政拨款金额</w:t>
            </w:r>
          </w:p>
        </w:tc>
        <w:tc>
          <w:tcPr>
            <w:tcW w:w="1197" w:type="dxa"/>
          </w:tcPr>
          <w:p>
            <w:pPr>
              <w:widowControl/>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市财政拨款金额</w:t>
            </w:r>
          </w:p>
        </w:tc>
        <w:tc>
          <w:tcPr>
            <w:tcW w:w="1047" w:type="dxa"/>
          </w:tcPr>
          <w:p>
            <w:pPr>
              <w:widowControl/>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区财政拨款金额</w:t>
            </w:r>
          </w:p>
        </w:tc>
        <w:tc>
          <w:tcPr>
            <w:tcW w:w="1047" w:type="dxa"/>
          </w:tcPr>
          <w:p>
            <w:pPr>
              <w:widowControl/>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市财政拨款金额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71" w:hRule="atLeast"/>
        </w:trPr>
        <w:tc>
          <w:tcPr>
            <w:tcW w:w="563" w:type="dxa"/>
          </w:tcPr>
          <w:p>
            <w:pPr>
              <w:widowControl/>
              <w:jc w:val="center"/>
              <w:rPr>
                <w:rFonts w:ascii="等线" w:hAnsi="等线" w:eastAsia="等线" w:cs="宋体"/>
                <w:color w:val="000000"/>
                <w:kern w:val="0"/>
                <w:sz w:val="18"/>
                <w:szCs w:val="18"/>
                <w:highlight w:val="none"/>
              </w:rPr>
            </w:pPr>
            <w:r>
              <w:rPr>
                <w:rFonts w:hint="eastAsia" w:ascii="等线" w:hAnsi="等线" w:eastAsia="等线" w:cs="宋体"/>
                <w:color w:val="000000"/>
                <w:kern w:val="0"/>
                <w:sz w:val="18"/>
                <w:szCs w:val="18"/>
                <w:highlight w:val="none"/>
              </w:rPr>
              <w:t>1</w:t>
            </w:r>
          </w:p>
        </w:tc>
        <w:tc>
          <w:tcPr>
            <w:tcW w:w="1419" w:type="dxa"/>
          </w:tcPr>
          <w:p>
            <w:pPr>
              <w:widowControl/>
              <w:jc w:val="center"/>
              <w:rPr>
                <w:rFonts w:ascii="等线" w:hAnsi="等线" w:eastAsia="等线" w:cs="宋体"/>
                <w:color w:val="000000"/>
                <w:kern w:val="0"/>
                <w:sz w:val="18"/>
                <w:szCs w:val="18"/>
                <w:highlight w:val="none"/>
              </w:rPr>
            </w:pPr>
            <w:r>
              <w:rPr>
                <w:rFonts w:hint="eastAsia" w:ascii="等线" w:hAnsi="等线" w:eastAsia="等线" w:cs="宋体"/>
                <w:color w:val="000000"/>
                <w:kern w:val="0"/>
                <w:sz w:val="18"/>
                <w:szCs w:val="18"/>
                <w:highlight w:val="none"/>
              </w:rPr>
              <w:t>学校功能及教学设备等提升资金项目</w:t>
            </w:r>
          </w:p>
        </w:tc>
        <w:tc>
          <w:tcPr>
            <w:tcW w:w="1123" w:type="dxa"/>
            <w:vAlign w:val="center"/>
          </w:tcPr>
          <w:p>
            <w:pPr>
              <w:jc w:val="right"/>
              <w:rPr>
                <w:color w:val="000000"/>
                <w:sz w:val="18"/>
                <w:szCs w:val="18"/>
                <w:highlight w:val="none"/>
              </w:rPr>
            </w:pPr>
            <w:r>
              <w:rPr>
                <w:rFonts w:hint="eastAsia"/>
                <w:color w:val="000000"/>
                <w:sz w:val="18"/>
                <w:szCs w:val="18"/>
                <w:highlight w:val="none"/>
              </w:rPr>
              <w:t>4,804.61</w:t>
            </w:r>
          </w:p>
        </w:tc>
        <w:tc>
          <w:tcPr>
            <w:tcW w:w="1197" w:type="dxa"/>
            <w:vAlign w:val="center"/>
          </w:tcPr>
          <w:p>
            <w:pPr>
              <w:jc w:val="right"/>
              <w:rPr>
                <w:rFonts w:ascii="宋体" w:hAnsi="宋体" w:cs="宋体"/>
                <w:color w:val="000000"/>
                <w:sz w:val="18"/>
                <w:szCs w:val="18"/>
                <w:highlight w:val="none"/>
              </w:rPr>
            </w:pPr>
            <w:r>
              <w:rPr>
                <w:rFonts w:hint="eastAsia"/>
                <w:color w:val="000000"/>
                <w:sz w:val="18"/>
                <w:szCs w:val="18"/>
                <w:highlight w:val="none"/>
              </w:rPr>
              <w:t>1,718.53</w:t>
            </w:r>
          </w:p>
        </w:tc>
        <w:tc>
          <w:tcPr>
            <w:tcW w:w="1048" w:type="dxa"/>
            <w:vAlign w:val="center"/>
          </w:tcPr>
          <w:p>
            <w:pPr>
              <w:jc w:val="right"/>
              <w:rPr>
                <w:rFonts w:ascii="宋体" w:hAnsi="宋体" w:cs="宋体"/>
                <w:color w:val="000000"/>
                <w:sz w:val="18"/>
                <w:szCs w:val="18"/>
                <w:highlight w:val="none"/>
              </w:rPr>
            </w:pPr>
            <w:r>
              <w:rPr>
                <w:rFonts w:hint="eastAsia"/>
                <w:color w:val="000000"/>
                <w:sz w:val="18"/>
                <w:szCs w:val="18"/>
                <w:highlight w:val="none"/>
              </w:rPr>
              <w:t>4,056.98</w:t>
            </w:r>
          </w:p>
        </w:tc>
        <w:tc>
          <w:tcPr>
            <w:tcW w:w="1197" w:type="dxa"/>
            <w:vAlign w:val="center"/>
          </w:tcPr>
          <w:p>
            <w:pPr>
              <w:jc w:val="right"/>
              <w:rPr>
                <w:rFonts w:ascii="宋体" w:hAnsi="宋体" w:cs="宋体"/>
                <w:color w:val="000000"/>
                <w:sz w:val="18"/>
                <w:szCs w:val="18"/>
                <w:highlight w:val="none"/>
              </w:rPr>
            </w:pPr>
            <w:r>
              <w:rPr>
                <w:rFonts w:hint="eastAsia"/>
                <w:color w:val="000000"/>
                <w:sz w:val="18"/>
                <w:szCs w:val="18"/>
                <w:highlight w:val="none"/>
              </w:rPr>
              <w:t>1,718.53</w:t>
            </w:r>
          </w:p>
        </w:tc>
        <w:tc>
          <w:tcPr>
            <w:tcW w:w="1047" w:type="dxa"/>
            <w:vAlign w:val="center"/>
          </w:tcPr>
          <w:p>
            <w:pPr>
              <w:jc w:val="right"/>
              <w:rPr>
                <w:rFonts w:ascii="宋体" w:hAnsi="宋体" w:cs="宋体"/>
                <w:color w:val="000000"/>
                <w:sz w:val="18"/>
                <w:szCs w:val="18"/>
                <w:highlight w:val="none"/>
              </w:rPr>
            </w:pPr>
            <w:r>
              <w:rPr>
                <w:rFonts w:hint="eastAsia"/>
                <w:color w:val="000000"/>
                <w:sz w:val="18"/>
                <w:szCs w:val="18"/>
                <w:highlight w:val="none"/>
              </w:rPr>
              <w:t>747.63</w:t>
            </w:r>
          </w:p>
        </w:tc>
        <w:tc>
          <w:tcPr>
            <w:tcW w:w="1047" w:type="dxa"/>
            <w:vAlign w:val="center"/>
          </w:tcPr>
          <w:p>
            <w:pPr>
              <w:jc w:val="right"/>
              <w:rPr>
                <w:rFonts w:ascii="宋体" w:hAnsi="宋体" w:cs="宋体"/>
                <w:color w:val="000000"/>
                <w:sz w:val="18"/>
                <w:szCs w:val="18"/>
                <w:highlight w:val="none"/>
              </w:rPr>
            </w:pPr>
            <w:r>
              <w:rPr>
                <w:rFonts w:hint="eastAsia"/>
                <w:color w:val="000000"/>
                <w:sz w:val="18"/>
                <w:szCs w:val="18"/>
                <w:highlight w:val="none"/>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4" w:hRule="atLeast"/>
        </w:trPr>
        <w:tc>
          <w:tcPr>
            <w:tcW w:w="563" w:type="dxa"/>
          </w:tcPr>
          <w:p>
            <w:pPr>
              <w:widowControl/>
              <w:jc w:val="center"/>
              <w:rPr>
                <w:rFonts w:ascii="等线" w:hAnsi="等线" w:eastAsia="等线" w:cs="宋体"/>
                <w:color w:val="000000"/>
                <w:kern w:val="0"/>
                <w:sz w:val="18"/>
                <w:szCs w:val="18"/>
                <w:highlight w:val="none"/>
              </w:rPr>
            </w:pPr>
          </w:p>
        </w:tc>
        <w:tc>
          <w:tcPr>
            <w:tcW w:w="1419" w:type="dxa"/>
          </w:tcPr>
          <w:p>
            <w:pPr>
              <w:widowControl/>
              <w:jc w:val="center"/>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合计</w:t>
            </w:r>
          </w:p>
        </w:tc>
        <w:tc>
          <w:tcPr>
            <w:tcW w:w="1123" w:type="dxa"/>
            <w:vAlign w:val="center"/>
          </w:tcPr>
          <w:p>
            <w:pPr>
              <w:jc w:val="right"/>
              <w:rPr>
                <w:b/>
                <w:color w:val="000000"/>
                <w:sz w:val="18"/>
                <w:szCs w:val="18"/>
                <w:highlight w:val="none"/>
              </w:rPr>
            </w:pPr>
            <w:r>
              <w:rPr>
                <w:rFonts w:hint="eastAsia"/>
                <w:b/>
                <w:color w:val="000000"/>
                <w:sz w:val="18"/>
                <w:szCs w:val="18"/>
                <w:highlight w:val="none"/>
              </w:rPr>
              <w:t>4,804.61</w:t>
            </w:r>
          </w:p>
        </w:tc>
        <w:tc>
          <w:tcPr>
            <w:tcW w:w="1197" w:type="dxa"/>
            <w:vAlign w:val="center"/>
          </w:tcPr>
          <w:p>
            <w:pPr>
              <w:jc w:val="right"/>
              <w:rPr>
                <w:rFonts w:ascii="宋体" w:hAnsi="宋体" w:cs="宋体"/>
                <w:b/>
                <w:color w:val="000000"/>
                <w:sz w:val="18"/>
                <w:szCs w:val="18"/>
                <w:highlight w:val="none"/>
              </w:rPr>
            </w:pPr>
            <w:r>
              <w:rPr>
                <w:rFonts w:hint="eastAsia"/>
                <w:b/>
                <w:color w:val="000000"/>
                <w:sz w:val="18"/>
                <w:szCs w:val="18"/>
                <w:highlight w:val="none"/>
              </w:rPr>
              <w:t>1,718.53</w:t>
            </w:r>
          </w:p>
        </w:tc>
        <w:tc>
          <w:tcPr>
            <w:tcW w:w="1048" w:type="dxa"/>
            <w:vAlign w:val="center"/>
          </w:tcPr>
          <w:p>
            <w:pPr>
              <w:jc w:val="right"/>
              <w:rPr>
                <w:rFonts w:ascii="宋体" w:hAnsi="宋体" w:cs="宋体"/>
                <w:b/>
                <w:color w:val="000000"/>
                <w:sz w:val="18"/>
                <w:szCs w:val="18"/>
                <w:highlight w:val="none"/>
              </w:rPr>
            </w:pPr>
            <w:r>
              <w:rPr>
                <w:rFonts w:hint="eastAsia"/>
                <w:b/>
                <w:color w:val="000000"/>
                <w:sz w:val="18"/>
                <w:szCs w:val="18"/>
                <w:highlight w:val="none"/>
              </w:rPr>
              <w:t>4,056.98</w:t>
            </w:r>
          </w:p>
        </w:tc>
        <w:tc>
          <w:tcPr>
            <w:tcW w:w="1197" w:type="dxa"/>
            <w:vAlign w:val="center"/>
          </w:tcPr>
          <w:p>
            <w:pPr>
              <w:jc w:val="right"/>
              <w:rPr>
                <w:rFonts w:ascii="宋体" w:hAnsi="宋体" w:cs="宋体"/>
                <w:b/>
                <w:color w:val="000000"/>
                <w:sz w:val="18"/>
                <w:szCs w:val="18"/>
                <w:highlight w:val="none"/>
              </w:rPr>
            </w:pPr>
            <w:r>
              <w:rPr>
                <w:rFonts w:hint="eastAsia"/>
                <w:b/>
                <w:color w:val="000000"/>
                <w:sz w:val="18"/>
                <w:szCs w:val="18"/>
                <w:highlight w:val="none"/>
              </w:rPr>
              <w:t>1,718.53</w:t>
            </w:r>
          </w:p>
        </w:tc>
        <w:tc>
          <w:tcPr>
            <w:tcW w:w="1047" w:type="dxa"/>
            <w:vAlign w:val="center"/>
          </w:tcPr>
          <w:p>
            <w:pPr>
              <w:jc w:val="right"/>
              <w:rPr>
                <w:rFonts w:ascii="宋体" w:hAnsi="宋体" w:cs="宋体"/>
                <w:b/>
                <w:color w:val="000000"/>
                <w:sz w:val="18"/>
                <w:szCs w:val="18"/>
                <w:highlight w:val="none"/>
              </w:rPr>
            </w:pPr>
            <w:r>
              <w:rPr>
                <w:rFonts w:hint="eastAsia"/>
                <w:b/>
                <w:color w:val="000000"/>
                <w:sz w:val="18"/>
                <w:szCs w:val="18"/>
                <w:highlight w:val="none"/>
              </w:rPr>
              <w:t>747.63</w:t>
            </w:r>
          </w:p>
        </w:tc>
        <w:tc>
          <w:tcPr>
            <w:tcW w:w="1047" w:type="dxa"/>
          </w:tcPr>
          <w:p>
            <w:pPr>
              <w:widowControl/>
              <w:jc w:val="right"/>
              <w:rPr>
                <w:rFonts w:ascii="等线" w:hAnsi="等线" w:eastAsia="等线" w:cs="宋体"/>
                <w:b/>
                <w:color w:val="000000"/>
                <w:kern w:val="0"/>
                <w:sz w:val="18"/>
                <w:szCs w:val="18"/>
                <w:highlight w:val="none"/>
              </w:rPr>
            </w:pPr>
            <w:r>
              <w:rPr>
                <w:rFonts w:hint="eastAsia" w:ascii="等线" w:hAnsi="等线" w:eastAsia="等线" w:cs="宋体"/>
                <w:b/>
                <w:color w:val="000000"/>
                <w:kern w:val="0"/>
                <w:sz w:val="18"/>
                <w:szCs w:val="18"/>
                <w:highlight w:val="none"/>
              </w:rPr>
              <w:t>-</w:t>
            </w:r>
          </w:p>
        </w:tc>
      </w:tr>
    </w:tbl>
    <w:p>
      <w:pPr>
        <w:spacing w:line="560" w:lineRule="exact"/>
        <w:rPr>
          <w:rFonts w:ascii="宋体" w:hAnsi="宋体"/>
          <w:bCs/>
          <w:sz w:val="24"/>
          <w:szCs w:val="24"/>
          <w:highlight w:val="none"/>
          <w:lang w:val="en-GB"/>
        </w:rPr>
      </w:pPr>
      <w:r>
        <w:rPr>
          <w:rFonts w:hint="eastAsia" w:ascii="宋体" w:hAnsi="宋体"/>
          <w:bCs/>
          <w:sz w:val="24"/>
          <w:szCs w:val="24"/>
          <w:highlight w:val="none"/>
          <w:lang w:val="en-GB"/>
        </w:rPr>
        <w:t>项目支出明细详见附表2</w:t>
      </w:r>
    </w:p>
    <w:p>
      <w:pPr>
        <w:spacing w:line="560" w:lineRule="exact"/>
        <w:ind w:firstLine="360" w:firstLineChars="150"/>
        <w:rPr>
          <w:rFonts w:ascii="宋体" w:hAnsi="宋体"/>
          <w:bCs/>
          <w:sz w:val="24"/>
          <w:szCs w:val="24"/>
          <w:highlight w:val="none"/>
          <w:lang w:val="en-GB"/>
        </w:rPr>
      </w:pPr>
      <w:r>
        <w:rPr>
          <w:rFonts w:hint="eastAsia" w:ascii="宋体" w:hAnsi="宋体"/>
          <w:bCs/>
          <w:sz w:val="24"/>
          <w:szCs w:val="24"/>
          <w:highlight w:val="none"/>
          <w:lang w:val="en-GB"/>
        </w:rPr>
        <w:t>（2）政府采购执行情况</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评价组查看了所有项目的政府采购文件、合同、付款流程等相关文件，项目基本均符合财务管理制度的规定。</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五.存在问题</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（一）绩效目标制定方面存在问题</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（1）绩效目标表中制定指标不完整，例如：绩效指标中没有制定成本指标。</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（二）项目业务管理方面存在问题</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w:t>
      </w:r>
      <w:r>
        <w:rPr>
          <w:rFonts w:hint="eastAsia" w:ascii="宋体" w:hAnsi="宋体"/>
          <w:bCs/>
          <w:color w:val="000000" w:themeColor="text1"/>
          <w:sz w:val="24"/>
          <w:szCs w:val="24"/>
          <w:highlight w:val="none"/>
          <w:lang w:val="en-GB"/>
        </w:rPr>
        <w:t>1）合同的审查不符</w:t>
      </w:r>
      <w:r>
        <w:rPr>
          <w:rFonts w:hint="eastAsia" w:ascii="宋体" w:hAnsi="宋体"/>
          <w:bCs/>
          <w:color w:val="000000" w:themeColor="text1"/>
          <w:sz w:val="24"/>
          <w:szCs w:val="24"/>
          <w:highlight w:val="none"/>
        </w:rPr>
        <w:t>合</w:t>
      </w:r>
      <w:r>
        <w:rPr>
          <w:rFonts w:hint="eastAsia" w:ascii="宋体" w:hAnsi="宋体"/>
          <w:bCs/>
          <w:color w:val="000000" w:themeColor="text1"/>
          <w:sz w:val="24"/>
          <w:szCs w:val="24"/>
          <w:highlight w:val="none"/>
          <w:lang w:val="en-GB"/>
        </w:rPr>
        <w:t>合同管理制度的要求。</w:t>
      </w:r>
      <w:r>
        <w:rPr>
          <w:rFonts w:hint="eastAsia" w:ascii="宋体" w:hAnsi="宋体"/>
          <w:bCs/>
          <w:sz w:val="24"/>
          <w:szCs w:val="24"/>
          <w:highlight w:val="none"/>
          <w:lang w:val="en-GB"/>
        </w:rPr>
        <w:t>例如：</w:t>
      </w:r>
      <w:r>
        <w:rPr>
          <w:rFonts w:hint="eastAsia" w:ascii="宋体" w:hAnsi="宋体"/>
          <w:bCs/>
          <w:sz w:val="24"/>
          <w:szCs w:val="24"/>
          <w:highlight w:val="none"/>
        </w:rPr>
        <w:t>津南</w:t>
      </w:r>
      <w:r>
        <w:rPr>
          <w:rFonts w:hint="eastAsia" w:ascii="宋体" w:hAnsi="宋体"/>
          <w:bCs/>
          <w:sz w:val="24"/>
          <w:szCs w:val="24"/>
          <w:highlight w:val="none"/>
          <w:lang w:val="en-GB"/>
        </w:rPr>
        <w:t>区教育局2020年度学校功能及教学设备等提升资金项目中与天津天佳立得数码科技有限公司、天津市创翔电子科技有限公司等单位签订的合同无签订日期。</w:t>
      </w:r>
    </w:p>
    <w:p>
      <w:pPr>
        <w:spacing w:line="560" w:lineRule="exact"/>
        <w:ind w:firstLine="470" w:firstLineChars="196"/>
        <w:rPr>
          <w:rFonts w:ascii="宋体" w:hAnsi="宋体"/>
          <w:bCs/>
          <w:color w:val="000000" w:themeColor="text1"/>
          <w:sz w:val="24"/>
          <w:szCs w:val="24"/>
          <w:highlight w:val="none"/>
          <w:lang w:val="en-GB"/>
        </w:rPr>
      </w:pPr>
      <w:r>
        <w:rPr>
          <w:rFonts w:hint="eastAsia" w:ascii="宋体" w:hAnsi="宋体"/>
          <w:bCs/>
          <w:sz w:val="24"/>
          <w:szCs w:val="24"/>
          <w:highlight w:val="none"/>
          <w:lang w:val="en-GB"/>
        </w:rPr>
        <w:t>（三）</w:t>
      </w:r>
      <w:r>
        <w:rPr>
          <w:rFonts w:hint="eastAsia" w:ascii="宋体" w:hAnsi="宋体"/>
          <w:bCs/>
          <w:sz w:val="24"/>
          <w:szCs w:val="24"/>
          <w:highlight w:val="none"/>
        </w:rPr>
        <w:t>津南</w:t>
      </w:r>
      <w:r>
        <w:rPr>
          <w:rFonts w:hint="eastAsia" w:ascii="宋体" w:hAnsi="宋体"/>
          <w:bCs/>
          <w:sz w:val="24"/>
          <w:szCs w:val="24"/>
          <w:highlight w:val="none"/>
          <w:lang w:val="en-GB"/>
        </w:rPr>
        <w:t>区教育局学校功能及教学设备等提升资金项目</w:t>
      </w:r>
      <w:r>
        <w:rPr>
          <w:rFonts w:hint="eastAsia" w:ascii="宋体" w:hAnsi="宋体"/>
          <w:bCs/>
          <w:color w:val="000000" w:themeColor="text1"/>
          <w:sz w:val="24"/>
          <w:szCs w:val="24"/>
          <w:highlight w:val="none"/>
          <w:lang w:val="en-GB"/>
        </w:rPr>
        <w:t>未申报项目自评表，未申报项目自评报告。</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六.评价结论及建议</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（一）评价结论。</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通过实地核查和指标分析，绩效评价组认为：</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1. 津南区教育局2020年度学校功能及教学设备等提升资金项目已完成既定工作目标，津南区教育局2020年度学校功能及教学设备等提升资金项目已完工，并通过验收；</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2. 津南区教育局2020年度学校功能及教学设备等提升资金项目制定的管理办法合法、合规，项目资金拨付及使用基本符合财务管理制度，管理制度较完善，但项目执行过程中存在若干问题。</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评价结论：根据《天津市津南区教育局2020年度学校功能及教学设备等提升资金项目绩效评价指标评分表》，项目绩效评价最终评分为</w:t>
      </w:r>
      <w:r>
        <w:rPr>
          <w:rFonts w:hint="eastAsia" w:ascii="宋体" w:hAnsi="宋体"/>
          <w:bCs/>
          <w:color w:val="000000" w:themeColor="text1"/>
          <w:sz w:val="24"/>
          <w:szCs w:val="24"/>
          <w:highlight w:val="none"/>
          <w:lang w:val="en-GB"/>
        </w:rPr>
        <w:t>8</w:t>
      </w:r>
      <w:r>
        <w:rPr>
          <w:rFonts w:hint="eastAsia" w:ascii="宋体" w:hAnsi="宋体"/>
          <w:bCs/>
          <w:color w:val="000000" w:themeColor="text1"/>
          <w:sz w:val="24"/>
          <w:szCs w:val="24"/>
          <w:highlight w:val="none"/>
          <w:lang w:val="en-US" w:eastAsia="zh-CN"/>
        </w:rPr>
        <w:t>6</w:t>
      </w:r>
      <w:r>
        <w:rPr>
          <w:rFonts w:hint="eastAsia" w:ascii="宋体" w:hAnsi="宋体"/>
          <w:bCs/>
          <w:color w:val="000000" w:themeColor="text1"/>
          <w:sz w:val="24"/>
          <w:szCs w:val="24"/>
          <w:highlight w:val="none"/>
          <w:lang w:val="en-GB"/>
        </w:rPr>
        <w:t>.</w:t>
      </w:r>
      <w:r>
        <w:rPr>
          <w:rFonts w:hint="eastAsia" w:ascii="宋体" w:hAnsi="宋体"/>
          <w:bCs/>
          <w:color w:val="000000" w:themeColor="text1"/>
          <w:sz w:val="24"/>
          <w:szCs w:val="24"/>
          <w:highlight w:val="none"/>
          <w:lang w:val="en-US" w:eastAsia="zh-CN"/>
        </w:rPr>
        <w:t>68</w:t>
      </w:r>
      <w:r>
        <w:rPr>
          <w:rFonts w:hint="eastAsia" w:ascii="宋体" w:hAnsi="宋体"/>
          <w:bCs/>
          <w:color w:val="000000" w:themeColor="text1"/>
          <w:sz w:val="24"/>
          <w:szCs w:val="24"/>
          <w:highlight w:val="none"/>
          <w:lang w:val="en-GB"/>
        </w:rPr>
        <w:t>分，</w:t>
      </w:r>
      <w:r>
        <w:rPr>
          <w:rFonts w:hint="eastAsia" w:ascii="宋体" w:hAnsi="宋体"/>
          <w:bCs/>
          <w:sz w:val="24"/>
          <w:szCs w:val="24"/>
          <w:highlight w:val="none"/>
          <w:lang w:val="en-GB"/>
        </w:rPr>
        <w:t>项目绩效评价结果</w:t>
      </w:r>
      <w:r>
        <w:rPr>
          <w:rFonts w:hint="eastAsia" w:ascii="宋体" w:hAnsi="宋体"/>
          <w:bCs/>
          <w:color w:val="000000" w:themeColor="text1"/>
          <w:sz w:val="24"/>
          <w:szCs w:val="24"/>
          <w:highlight w:val="none"/>
          <w:lang w:val="en-GB"/>
        </w:rPr>
        <w:t>为良</w:t>
      </w:r>
      <w:r>
        <w:rPr>
          <w:rFonts w:hint="eastAsia" w:ascii="宋体" w:hAnsi="宋体"/>
          <w:bCs/>
          <w:sz w:val="24"/>
          <w:szCs w:val="24"/>
          <w:highlight w:val="none"/>
          <w:lang w:val="en-GB"/>
        </w:rPr>
        <w:t>。</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（二）相关建议。</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1. 建议提高绩效目标表的质量，制定合理、合规的绩效指标。</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2．建议加强业务管理，</w:t>
      </w:r>
      <w:bookmarkStart w:id="0" w:name="_Hlk36115159"/>
      <w:r>
        <w:rPr>
          <w:rFonts w:hint="eastAsia" w:ascii="宋体" w:hAnsi="宋体"/>
          <w:bCs/>
          <w:sz w:val="24"/>
          <w:szCs w:val="24"/>
          <w:highlight w:val="none"/>
          <w:lang w:val="en-GB"/>
        </w:rPr>
        <w:t>严格按照</w:t>
      </w:r>
      <w:bookmarkEnd w:id="0"/>
      <w:r>
        <w:rPr>
          <w:rFonts w:hint="eastAsia" w:ascii="宋体" w:hAnsi="宋体"/>
          <w:bCs/>
          <w:sz w:val="24"/>
          <w:szCs w:val="24"/>
          <w:highlight w:val="none"/>
          <w:lang w:val="en-GB"/>
        </w:rPr>
        <w:t>制定的相关业务规章制度执行。</w:t>
      </w:r>
    </w:p>
    <w:p>
      <w:pPr>
        <w:spacing w:line="560" w:lineRule="exact"/>
        <w:ind w:firstLine="470" w:firstLineChars="196"/>
        <w:rPr>
          <w:rFonts w:ascii="宋体" w:hAnsi="宋体"/>
          <w:bCs/>
          <w:sz w:val="24"/>
          <w:szCs w:val="24"/>
          <w:highlight w:val="none"/>
          <w:lang w:val="en-GB"/>
        </w:rPr>
      </w:pPr>
      <w:r>
        <w:rPr>
          <w:rFonts w:hint="eastAsia" w:ascii="宋体" w:hAnsi="宋体"/>
          <w:bCs/>
          <w:sz w:val="24"/>
          <w:szCs w:val="24"/>
          <w:highlight w:val="none"/>
          <w:lang w:val="en-GB"/>
        </w:rPr>
        <w:t xml:space="preserve">3. 项目自评报告撰写、自评报告表填写质量达到相关要求。 </w:t>
      </w:r>
    </w:p>
    <w:p>
      <w:pPr>
        <w:spacing w:line="560" w:lineRule="exact"/>
        <w:ind w:firstLine="470" w:firstLineChars="196"/>
        <w:jc w:val="right"/>
        <w:rPr>
          <w:rFonts w:ascii="宋体" w:hAnsi="宋体"/>
          <w:bCs/>
          <w:sz w:val="24"/>
          <w:szCs w:val="24"/>
          <w:highlight w:val="none"/>
          <w:lang w:val="en-GB"/>
        </w:rPr>
      </w:pPr>
    </w:p>
    <w:p>
      <w:pPr>
        <w:spacing w:line="560" w:lineRule="exact"/>
        <w:ind w:firstLine="470" w:firstLineChars="196"/>
        <w:jc w:val="right"/>
        <w:rPr>
          <w:rFonts w:ascii="宋体" w:hAnsi="宋体"/>
          <w:bCs/>
          <w:sz w:val="24"/>
          <w:szCs w:val="24"/>
          <w:highlight w:val="none"/>
          <w:lang w:val="en-GB"/>
        </w:rPr>
      </w:pPr>
    </w:p>
    <w:p>
      <w:pPr>
        <w:spacing w:line="560" w:lineRule="exact"/>
        <w:ind w:firstLine="470" w:firstLineChars="196"/>
        <w:jc w:val="right"/>
        <w:rPr>
          <w:rFonts w:ascii="宋体" w:hAnsi="宋体"/>
          <w:bCs/>
          <w:sz w:val="24"/>
          <w:szCs w:val="24"/>
          <w:highlight w:val="none"/>
          <w:lang w:val="en-GB"/>
        </w:rPr>
      </w:pPr>
      <w:r>
        <w:rPr>
          <w:rFonts w:hint="eastAsia" w:ascii="宋体" w:hAnsi="宋体"/>
          <w:sz w:val="24"/>
          <w:szCs w:val="24"/>
          <w:highlight w:val="none"/>
        </w:rPr>
        <w:t xml:space="preserve">普华津融（天津）税务师事务所有限公司   </w:t>
      </w:r>
    </w:p>
    <w:p>
      <w:pPr>
        <w:spacing w:line="560" w:lineRule="exact"/>
        <w:ind w:firstLine="470" w:firstLineChars="196"/>
        <w:jc w:val="right"/>
        <w:rPr>
          <w:rFonts w:ascii="宋体" w:hAnsi="宋体"/>
          <w:bCs/>
          <w:sz w:val="24"/>
          <w:szCs w:val="24"/>
          <w:highlight w:val="none"/>
          <w:lang w:val="en-GB"/>
        </w:rPr>
      </w:pPr>
      <w:r>
        <w:rPr>
          <w:rFonts w:hint="eastAsia" w:ascii="宋体" w:hAnsi="宋体"/>
          <w:bCs/>
          <w:sz w:val="24"/>
          <w:szCs w:val="24"/>
          <w:highlight w:val="none"/>
          <w:lang w:val="en-GB"/>
        </w:rPr>
        <w:t>二○二一年九月三十日</w:t>
      </w:r>
    </w:p>
    <w:p>
      <w:pPr>
        <w:spacing w:line="560" w:lineRule="exact"/>
        <w:ind w:firstLine="470" w:firstLineChars="196"/>
        <w:rPr>
          <w:rFonts w:ascii="宋体" w:hAnsi="宋体"/>
          <w:bCs/>
          <w:sz w:val="24"/>
          <w:szCs w:val="24"/>
          <w:highlight w:val="none"/>
          <w:lang w:val="en-GB"/>
        </w:rPr>
      </w:pPr>
    </w:p>
    <w:p>
      <w:pPr>
        <w:rPr>
          <w:highlight w:val="none"/>
        </w:rPr>
      </w:pPr>
    </w:p>
    <w:bookmarkEnd w:id="1"/>
    <w:sectPr>
      <w:footerReference r:id="rId3" w:type="default"/>
      <w:pgSz w:w="11906" w:h="16838"/>
      <w:pgMar w:top="1440" w:right="1701" w:bottom="1440" w:left="1701" w:header="680"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Narrow">
    <w:altName w:val="DejaVu Sans"/>
    <w:panose1 w:val="020B0606020202030204"/>
    <w:charset w:val="00"/>
    <w:family w:val="swiss"/>
    <w:pitch w:val="default"/>
    <w:sig w:usb0="00000000" w:usb1="00000000" w:usb2="00000000" w:usb3="00000000" w:csb0="0000009F"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22"/>
        <w:tab w:val="clear" w:pos="8306"/>
      </w:tabs>
      <w:jc w:val="center"/>
      <w:rPr>
        <w:szCs w:val="18"/>
      </w:rPr>
    </w:pPr>
    <w:r>
      <w:rPr>
        <w:rFonts w:hint="eastAsia"/>
        <w:szCs w:val="18"/>
      </w:rPr>
      <w:t>第</w:t>
    </w:r>
    <w:r>
      <w:rPr>
        <w:szCs w:val="18"/>
      </w:rPr>
      <w:fldChar w:fldCharType="begin"/>
    </w:r>
    <w:r>
      <w:rPr>
        <w:szCs w:val="18"/>
      </w:rPr>
      <w:instrText xml:space="preserve">PAGE   \* MERGEFORMAT</w:instrText>
    </w:r>
    <w:r>
      <w:rPr>
        <w:szCs w:val="18"/>
      </w:rPr>
      <w:fldChar w:fldCharType="separate"/>
    </w:r>
    <w:r>
      <w:rPr>
        <w:szCs w:val="18"/>
        <w:lang w:val="zh-CN"/>
      </w:rPr>
      <w:t>5</w:t>
    </w:r>
    <w:r>
      <w:rPr>
        <w:szCs w:val="18"/>
      </w:rPr>
      <w:fldChar w:fldCharType="end"/>
    </w:r>
    <w:r>
      <w:rPr>
        <w:rFonts w:hint="eastAsia"/>
        <w:szCs w:val="18"/>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278815"/>
    <w:multiLevelType w:val="singleLevel"/>
    <w:tmpl w:val="F527881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AF84EE8"/>
    <w:rsid w:val="000036D0"/>
    <w:rsid w:val="00022959"/>
    <w:rsid w:val="00077075"/>
    <w:rsid w:val="000D7D8B"/>
    <w:rsid w:val="000F7C64"/>
    <w:rsid w:val="0015778D"/>
    <w:rsid w:val="00167FD2"/>
    <w:rsid w:val="00193972"/>
    <w:rsid w:val="00212864"/>
    <w:rsid w:val="00224BCE"/>
    <w:rsid w:val="002B0F90"/>
    <w:rsid w:val="002B66B2"/>
    <w:rsid w:val="002F56C1"/>
    <w:rsid w:val="003717FA"/>
    <w:rsid w:val="0037342B"/>
    <w:rsid w:val="003854A9"/>
    <w:rsid w:val="0038796B"/>
    <w:rsid w:val="003B536D"/>
    <w:rsid w:val="003D2B42"/>
    <w:rsid w:val="00413245"/>
    <w:rsid w:val="0041459D"/>
    <w:rsid w:val="00442948"/>
    <w:rsid w:val="004724F6"/>
    <w:rsid w:val="00481DD3"/>
    <w:rsid w:val="004C1EE7"/>
    <w:rsid w:val="004E5F79"/>
    <w:rsid w:val="00515DFD"/>
    <w:rsid w:val="00570710"/>
    <w:rsid w:val="00575FC7"/>
    <w:rsid w:val="005C75FD"/>
    <w:rsid w:val="00613622"/>
    <w:rsid w:val="00614421"/>
    <w:rsid w:val="00687FCB"/>
    <w:rsid w:val="006A7800"/>
    <w:rsid w:val="006B2DED"/>
    <w:rsid w:val="006B460F"/>
    <w:rsid w:val="007E7126"/>
    <w:rsid w:val="008158A9"/>
    <w:rsid w:val="008261BB"/>
    <w:rsid w:val="00836EA7"/>
    <w:rsid w:val="008731D7"/>
    <w:rsid w:val="008905D6"/>
    <w:rsid w:val="00897413"/>
    <w:rsid w:val="00915E73"/>
    <w:rsid w:val="00985CF4"/>
    <w:rsid w:val="009C37CC"/>
    <w:rsid w:val="00A02B94"/>
    <w:rsid w:val="00A266F2"/>
    <w:rsid w:val="00AB1242"/>
    <w:rsid w:val="00AC453C"/>
    <w:rsid w:val="00B14C09"/>
    <w:rsid w:val="00B31D01"/>
    <w:rsid w:val="00BB558C"/>
    <w:rsid w:val="00BD4D29"/>
    <w:rsid w:val="00BE6EC1"/>
    <w:rsid w:val="00C153C9"/>
    <w:rsid w:val="00C31446"/>
    <w:rsid w:val="00C75B4F"/>
    <w:rsid w:val="00C8378B"/>
    <w:rsid w:val="00C973E9"/>
    <w:rsid w:val="00CE6A28"/>
    <w:rsid w:val="00CF4FC5"/>
    <w:rsid w:val="00CF60C1"/>
    <w:rsid w:val="00D1461A"/>
    <w:rsid w:val="00D36E9B"/>
    <w:rsid w:val="00D82C40"/>
    <w:rsid w:val="00DC10D5"/>
    <w:rsid w:val="00DD4B40"/>
    <w:rsid w:val="00DF01CF"/>
    <w:rsid w:val="00E64265"/>
    <w:rsid w:val="00E92F71"/>
    <w:rsid w:val="00EC0274"/>
    <w:rsid w:val="00EC4A9D"/>
    <w:rsid w:val="00EE6D2E"/>
    <w:rsid w:val="00EF024A"/>
    <w:rsid w:val="00F469AB"/>
    <w:rsid w:val="00F5207B"/>
    <w:rsid w:val="03043BE0"/>
    <w:rsid w:val="03B56C3A"/>
    <w:rsid w:val="0DCF469E"/>
    <w:rsid w:val="382A4CB4"/>
    <w:rsid w:val="49083E39"/>
    <w:rsid w:val="50E255A3"/>
    <w:rsid w:val="5AF84EE8"/>
    <w:rsid w:val="79B2571C"/>
    <w:rsid w:val="FFFDEF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qFormat/>
    <w:uiPriority w:val="99"/>
    <w:pPr>
      <w:tabs>
        <w:tab w:val="center" w:pos="4153"/>
        <w:tab w:val="right" w:pos="8306"/>
      </w:tabs>
      <w:snapToGrid w:val="0"/>
      <w:jc w:val="left"/>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kern w:val="0"/>
      <w:sz w:val="18"/>
    </w:rPr>
  </w:style>
  <w:style w:type="table" w:styleId="7">
    <w:name w:val="Table Grid"/>
    <w:basedOn w:val="6"/>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annotation reference"/>
    <w:basedOn w:val="8"/>
    <w:qFormat/>
    <w:uiPriority w:val="0"/>
    <w:rPr>
      <w:sz w:val="21"/>
      <w:szCs w:val="21"/>
    </w:rPr>
  </w:style>
  <w:style w:type="character" w:customStyle="1" w:styleId="10">
    <w:name w:val="批注框文本 Char"/>
    <w:basedOn w:val="8"/>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460</Words>
  <Characters>2622</Characters>
  <Lines>21</Lines>
  <Paragraphs>6</Paragraphs>
  <TotalTime>282</TotalTime>
  <ScaleCrop>false</ScaleCrop>
  <LinksUpToDate>false</LinksUpToDate>
  <CharactersWithSpaces>3076</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2021-10-07T11:55:00Z</dcterms:created>
  <dc:creator>陈莉</dc:creator>
  <cp:lastModifiedBy>greatwall</cp:lastModifiedBy>
  <dcterms:modified xsi:type="dcterms:W3CDTF">2022-09-14T20:36:08Z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04FAD54128124380B9752C39DA812223</vt:lpwstr>
  </property>
</Properties>
</file>