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2685"/>
        </w:tabs>
        <w:spacing w:line="720" w:lineRule="auto"/>
        <w:jc w:val="left"/>
        <w:rPr>
          <w:rFonts w:ascii="黑体" w:eastAsia="黑体" w:hAnsi="黑体" w:hint="eastAsia"/>
          <w:b/>
          <w:sz w:val="36"/>
          <w:lang w:val="en-US" w:eastAsia="zh-CN"/>
          <w:highlight w:val="auto"/>
        </w:rPr>
      </w:pPr>
      <w:bookmarkStart w:id="0" w:name="_GoBack"/>
      <w:bookmarkEnd w:id="0"/>
      <w:r>
        <w:rPr>
          <w:rFonts w:ascii="黑体" w:eastAsia="黑体" w:hAnsi="黑体" w:hint="eastAsia"/>
          <w:b/>
          <w:sz w:val="36"/>
          <w:lang w:val="en-US" w:eastAsia="zh-CN"/>
          <w:highlight w:val="auto"/>
        </w:rPr>
        <w:t xml:space="preserve"> </w:t>
      </w:r>
    </w:p>
    <w:p>
      <w:pPr>
        <w:jc w:val="center"/>
        <w:rPr>
          <w:rFonts w:ascii="黑体" w:eastAsia="黑体" w:hAnsi="黑体"/>
          <w:b/>
          <w:sz w:val="36"/>
          <w:szCs w:val="36"/>
          <w:highlight w:val="auto"/>
        </w:rPr>
      </w:pPr>
      <w:r>
        <w:rPr>
          <w:rFonts w:ascii="黑体" w:eastAsia="黑体" w:hAnsi="黑体" w:hint="eastAsia"/>
          <w:b/>
          <w:sz w:val="36"/>
          <w:szCs w:val="36"/>
          <w:highlight w:val="auto"/>
        </w:rPr>
        <w:t>天津市</w:t>
      </w:r>
      <w:r>
        <w:rPr>
          <w:rFonts w:ascii="黑体" w:eastAsia="黑体" w:hAnsi="黑体" w:hint="eastAsia"/>
          <w:b/>
          <w:sz w:val="36"/>
          <w:szCs w:val="36"/>
          <w:lang w:val="en-US" w:eastAsia="zh-CN"/>
          <w:highlight w:val="auto"/>
        </w:rPr>
        <w:t>津南区</w:t>
      </w:r>
      <w:r>
        <w:rPr>
          <w:rFonts w:ascii="黑体" w:eastAsia="黑体" w:hAnsi="黑体" w:hint="eastAsia"/>
          <w:b/>
          <w:sz w:val="36"/>
          <w:szCs w:val="36"/>
          <w:highlight w:val="auto"/>
        </w:rPr>
        <w:t>教育局</w:t>
      </w:r>
      <w:r>
        <w:rPr>
          <w:rFonts w:ascii="黑体" w:eastAsia="黑体" w:hAnsi="黑体"/>
          <w:b/>
          <w:sz w:val="36"/>
          <w:szCs w:val="36"/>
          <w:highlight w:val="auto"/>
        </w:rPr>
        <w:t xml:space="preserve"> </w:t>
      </w:r>
    </w:p>
    <w:p>
      <w:pPr>
        <w:jc w:val="center"/>
        <w:rPr>
          <w:rFonts w:ascii="Arial Narrow" w:hAnsi="Arial Narrow"/>
          <w:sz w:val="24"/>
          <w:highlight w:val="auto"/>
        </w:rPr>
      </w:pPr>
      <w:r>
        <w:rPr>
          <w:rFonts w:ascii="黑体" w:eastAsia="黑体" w:hAnsi="黑体" w:hint="eastAsia"/>
          <w:b/>
          <w:sz w:val="36"/>
          <w:szCs w:val="36"/>
          <w:highlight w:val="auto"/>
        </w:rPr>
        <w:t>2</w:t>
      </w:r>
      <w:r>
        <w:rPr>
          <w:rFonts w:ascii="黑体" w:eastAsia="黑体" w:hAnsi="黑体"/>
          <w:b/>
          <w:sz w:val="36"/>
          <w:szCs w:val="36"/>
          <w:highlight w:val="auto"/>
        </w:rPr>
        <w:t>0</w:t>
      </w:r>
      <w:r>
        <w:rPr>
          <w:rFonts w:ascii="黑体" w:eastAsia="黑体" w:hAnsi="黑体" w:hint="eastAsia"/>
          <w:b/>
          <w:sz w:val="36"/>
          <w:szCs w:val="36"/>
          <w:lang w:val="en-US" w:eastAsia="zh-CN"/>
          <w:highlight w:val="auto"/>
        </w:rPr>
        <w:t>20</w:t>
      </w:r>
      <w:r>
        <w:rPr>
          <w:rFonts w:ascii="黑体" w:eastAsia="黑体" w:hAnsi="黑体" w:hint="eastAsia"/>
          <w:b/>
          <w:sz w:val="36"/>
          <w:szCs w:val="36"/>
          <w:highlight w:val="auto"/>
        </w:rPr>
        <w:t>年度津南区渌水道（双林农场）公共租赁住房J地块配套公建中学改造工程项目绩效评价报告</w:t>
      </w:r>
    </w:p>
    <w:p>
      <w:pPr>
        <w:snapToGrid w:val="0"/>
        <w:spacing w:afterLines="100" w:after="312" w:line="240" w:lineRule="atLeast"/>
        <w:jc w:val="center"/>
        <w:rPr>
          <w:rFonts w:ascii="宋体" w:hAnsi="宋体" w:hint="eastAsia"/>
          <w:szCs w:val="21"/>
          <w:highlight w:val="auto"/>
        </w:rPr>
      </w:pPr>
      <w:r>
        <w:rPr>
          <w:rFonts w:ascii="宋体" w:hAnsi="宋体"/>
          <w:b/>
          <w:sz w:val="24"/>
          <w:szCs w:val="24"/>
          <w:highlight w:val="auto"/>
        </w:rPr>
        <w:tab/>
      </w:r>
      <w:r>
        <w:rPr>
          <w:rFonts w:ascii="宋体" w:hAnsi="宋体" w:hint="eastAsia"/>
          <w:b/>
          <w:sz w:val="24"/>
          <w:szCs w:val="24"/>
          <w:lang w:val="en-US" w:eastAsia="zh-CN"/>
          <w:highlight w:val="auto"/>
        </w:rPr>
        <w:t xml:space="preserve">                          </w:t>
      </w:r>
      <w:r>
        <w:rPr>
          <w:rFonts w:ascii="宋体" w:hAnsi="宋体" w:hint="eastAsia"/>
          <w:szCs w:val="21"/>
          <w:highlight w:val="auto"/>
        </w:rPr>
        <w:t>津税普华鉴</w:t>
      </w:r>
      <w:r>
        <w:rPr>
          <w:rFonts w:ascii="宋体" w:hAnsi="宋体" w:hint="eastAsia"/>
          <w:szCs w:val="21"/>
          <w:lang w:val="en-US" w:eastAsia="zh-CN"/>
          <w:highlight w:val="auto"/>
        </w:rPr>
        <w:t>咨</w:t>
      </w:r>
      <w:r>
        <w:rPr>
          <w:rFonts w:ascii="宋体" w:hAnsi="宋体" w:hint="eastAsia"/>
          <w:szCs w:val="21"/>
          <w:highlight w:val="auto"/>
        </w:rPr>
        <w:t>字[2021]第00号</w:t>
      </w:r>
    </w:p>
    <w:p>
      <w:pPr>
        <w:tabs>
          <w:tab w:val="right" w:pos="8300"/>
        </w:tabs>
        <w:wordWrap w:val="0"/>
        <w:spacing w:line="276" w:lineRule="auto"/>
        <w:rPr>
          <w:rFonts w:ascii="Arial Narrow" w:hAnsi="Arial Narrow" w:hint="eastAsia"/>
          <w:b/>
          <w:sz w:val="24"/>
          <w:szCs w:val="24"/>
          <w:highlight w:val="auto"/>
        </w:rPr>
      </w:pPr>
    </w:p>
    <w:p>
      <w:pPr>
        <w:spacing w:before="240" w:after="240" w:line="560" w:lineRule="exact"/>
        <w:jc w:val="left"/>
        <w:rPr>
          <w:rFonts w:ascii="宋体" w:hAnsi="宋体"/>
          <w:b/>
          <w:bCs/>
          <w:sz w:val="24"/>
          <w:szCs w:val="24"/>
          <w:lang w:val="en-GB"/>
          <w:highlight w:val="auto"/>
        </w:rPr>
      </w:pPr>
      <w:r>
        <w:rPr>
          <w:rFonts w:ascii="宋体" w:hAnsi="宋体" w:hint="eastAsia"/>
          <w:b/>
          <w:bCs/>
          <w:sz w:val="24"/>
          <w:szCs w:val="24"/>
          <w:lang w:val="en-GB"/>
          <w:highlight w:val="auto"/>
        </w:rPr>
        <w:t>天津市</w:t>
      </w:r>
      <w:r>
        <w:rPr>
          <w:rFonts w:ascii="宋体" w:hAnsi="宋体" w:hint="eastAsia"/>
          <w:b/>
          <w:bCs/>
          <w:sz w:val="24"/>
          <w:szCs w:val="24"/>
          <w:lang w:val="en-US" w:eastAsia="zh-CN"/>
          <w:highlight w:val="auto"/>
        </w:rPr>
        <w:t>津南</w:t>
      </w:r>
      <w:r>
        <w:rPr>
          <w:rFonts w:ascii="宋体" w:hAnsi="宋体" w:hint="eastAsia"/>
          <w:b/>
          <w:bCs/>
          <w:sz w:val="24"/>
          <w:szCs w:val="24"/>
          <w:lang w:val="en-GB"/>
          <w:highlight w:val="auto"/>
        </w:rPr>
        <w:t>区财政局</w:t>
      </w:r>
      <w:r>
        <w:rPr>
          <w:rFonts w:ascii="宋体" w:hAnsi="宋体"/>
          <w:b/>
          <w:bCs/>
          <w:sz w:val="24"/>
          <w:szCs w:val="24"/>
          <w:lang w:val="en-GB"/>
          <w:highlight w:val="auto"/>
        </w:rPr>
        <w:t>：</w:t>
      </w:r>
    </w:p>
    <w:p>
      <w:pPr>
        <w:spacing w:line="560" w:lineRule="exact"/>
        <w:ind w:firstLineChars="296" w:firstLine="710"/>
        <w:rPr>
          <w:rFonts w:ascii="宋体" w:hAnsi="宋体" w:hint="eastAsia"/>
          <w:bCs/>
          <w:sz w:val="24"/>
          <w:szCs w:val="24"/>
          <w:lang w:val="en-GB"/>
          <w:highlight w:val="auto"/>
        </w:rPr>
      </w:pPr>
      <w:r>
        <w:rPr>
          <w:rFonts w:ascii="宋体" w:hAnsi="宋体" w:hint="eastAsia"/>
          <w:bCs/>
          <w:sz w:val="24"/>
          <w:szCs w:val="24"/>
          <w:lang w:val="en-GB"/>
          <w:highlight w:val="auto"/>
        </w:rPr>
        <w:t>我们接受了委托，为规范和加强财政支出管理，强化支出责任，提高财政资金使用效益，根据市政府办公厅《转发市财政局拟定的天津市财政项目支出绩效评价管理办法的通知》（津政办发〔2012〕2号）精神的要求，</w:t>
      </w:r>
      <w:r>
        <w:rPr>
          <w:rFonts w:ascii="宋体" w:hAnsi="宋体" w:hint="eastAsia"/>
          <w:bCs/>
          <w:sz w:val="24"/>
          <w:szCs w:val="24"/>
          <w:lang w:val="en-US" w:eastAsia="zh-CN"/>
          <w:highlight w:val="auto"/>
        </w:rPr>
        <w:t>由</w:t>
      </w:r>
      <w:r>
        <w:rPr>
          <w:rFonts w:ascii="宋体" w:hAnsi="宋体" w:hint="eastAsia"/>
          <w:sz w:val="24"/>
          <w:szCs w:val="24"/>
          <w:highlight w:val="auto"/>
        </w:rPr>
        <w:t>普华津融（天津）税务师事务所有限公司</w:t>
      </w:r>
      <w:r>
        <w:rPr>
          <w:rFonts w:ascii="宋体" w:hAnsi="宋体" w:hint="eastAsia"/>
          <w:bCs/>
          <w:sz w:val="24"/>
          <w:szCs w:val="24"/>
          <w:lang w:val="en-GB"/>
          <w:highlight w:val="auto"/>
        </w:rPr>
        <w:t>（以下简称“</w:t>
      </w:r>
      <w:r>
        <w:rPr>
          <w:rFonts w:ascii="宋体" w:hAnsi="宋体" w:hint="eastAsia"/>
          <w:sz w:val="24"/>
          <w:szCs w:val="24"/>
          <w:highlight w:val="auto"/>
        </w:rPr>
        <w:t>普华津融</w:t>
      </w:r>
      <w:r>
        <w:rPr>
          <w:rFonts w:ascii="宋体" w:hAnsi="宋体" w:hint="eastAsia"/>
          <w:bCs/>
          <w:sz w:val="24"/>
          <w:szCs w:val="24"/>
          <w:lang w:val="en-GB"/>
          <w:highlight w:val="auto"/>
        </w:rPr>
        <w:t>”）绩效评价组对天津市</w:t>
      </w:r>
      <w:r>
        <w:rPr>
          <w:rFonts w:ascii="宋体" w:hAnsi="宋体" w:hint="eastAsia"/>
          <w:bCs/>
          <w:sz w:val="24"/>
          <w:szCs w:val="24"/>
          <w:lang w:val="en-US" w:eastAsia="zh-CN"/>
          <w:highlight w:val="auto"/>
        </w:rPr>
        <w:t>津南</w:t>
      </w:r>
      <w:r>
        <w:rPr>
          <w:rFonts w:ascii="宋体" w:hAnsi="宋体" w:hint="eastAsia"/>
          <w:bCs/>
          <w:sz w:val="24"/>
          <w:szCs w:val="24"/>
          <w:lang w:val="en-GB"/>
          <w:highlight w:val="auto"/>
        </w:rPr>
        <w:t>区教育局津南区渌水道（双林农场）公共租赁住房J地块配套公建中学改造工程项目进行了绩效评价，现将有关情况报告如下：</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一.基本概况</w:t>
      </w:r>
    </w:p>
    <w:p>
      <w:pPr>
        <w:spacing w:line="560" w:lineRule="exact"/>
        <w:ind w:firstLineChars="196" w:firstLine="470"/>
        <w:rPr>
          <w:rFonts w:ascii="宋体" w:eastAsia="宋体" w:hAnsi="宋体" w:hint="eastAsia"/>
          <w:bCs/>
          <w:sz w:val="24"/>
          <w:szCs w:val="24"/>
          <w:lang w:val="en-GB" w:eastAsia="zh-CN"/>
          <w:highlight w:val="auto"/>
        </w:rPr>
      </w:pPr>
      <w:r>
        <w:rPr>
          <w:rFonts w:ascii="宋体" w:hAnsi="宋体" w:hint="eastAsia"/>
          <w:bCs/>
          <w:sz w:val="24"/>
          <w:szCs w:val="24"/>
          <w:lang w:val="en-GB"/>
          <w:highlight w:val="auto"/>
        </w:rPr>
        <w:t>天津市</w:t>
      </w:r>
      <w:r>
        <w:rPr>
          <w:rFonts w:ascii="宋体" w:hAnsi="宋体" w:hint="eastAsia"/>
          <w:bCs/>
          <w:sz w:val="24"/>
          <w:szCs w:val="24"/>
          <w:lang w:val="en-US" w:eastAsia="zh-CN"/>
          <w:highlight w:val="auto"/>
        </w:rPr>
        <w:t>津南</w:t>
      </w:r>
      <w:r>
        <w:rPr>
          <w:rFonts w:ascii="宋体" w:hAnsi="宋体" w:hint="eastAsia"/>
          <w:bCs/>
          <w:sz w:val="24"/>
          <w:szCs w:val="24"/>
          <w:lang w:val="en-GB"/>
          <w:highlight w:val="auto"/>
        </w:rPr>
        <w:t>区教育局（以下简称“</w:t>
      </w:r>
      <w:r>
        <w:rPr>
          <w:rFonts w:ascii="宋体" w:hAnsi="宋体" w:hint="eastAsia"/>
          <w:bCs/>
          <w:sz w:val="24"/>
          <w:szCs w:val="24"/>
          <w:lang w:val="en-US" w:eastAsia="zh-CN"/>
          <w:highlight w:val="auto"/>
        </w:rPr>
        <w:t>津南</w:t>
      </w:r>
      <w:r>
        <w:rPr>
          <w:rFonts w:ascii="宋体" w:hAnsi="宋体" w:hint="eastAsia"/>
          <w:bCs/>
          <w:sz w:val="24"/>
          <w:szCs w:val="24"/>
          <w:lang w:val="en-GB"/>
          <w:highlight w:val="auto"/>
        </w:rPr>
        <w:t>区教育局”）津南区渌水道（双林农场）公共租赁住房J地块配套公建中学改造工程项目依据津南区发展和改革委员会津南发改投资[2019]263号《关于“津南区渌水道（双林农场）公共租赁租房J地块配套公建中学改造工程”项目建议书的批复》、津南区</w:t>
      </w:r>
      <w:r>
        <w:rPr>
          <w:rFonts w:ascii="宋体" w:hAnsi="宋体" w:hint="eastAsia"/>
          <w:bCs/>
          <w:sz w:val="24"/>
          <w:szCs w:val="24"/>
          <w:lang w:val="en-GB"/>
        </w:rPr>
        <w:t>发展和改革委员会</w:t>
      </w:r>
      <w:r>
        <w:rPr>
          <w:rFonts w:ascii="宋体" w:hAnsi="宋体" w:hint="eastAsia"/>
          <w:bCs/>
          <w:sz w:val="24"/>
          <w:szCs w:val="24"/>
          <w:lang w:val="en-GB"/>
          <w:highlight w:val="auto"/>
        </w:rPr>
        <w:t>津南发改投资[2020]14号关于“津南区渌水道（双林农场）公共租赁租房J地块配套公建中学改造工程”项目可行性研究报告的批复、津南区</w:t>
      </w:r>
      <w:r>
        <w:rPr>
          <w:rFonts w:ascii="宋体" w:hAnsi="宋体" w:hint="eastAsia"/>
          <w:bCs/>
          <w:sz w:val="24"/>
          <w:szCs w:val="24"/>
          <w:lang w:val="en-GB"/>
        </w:rPr>
        <w:t>发展和改革委员会</w:t>
      </w:r>
      <w:r>
        <w:rPr>
          <w:rFonts w:ascii="宋体" w:hAnsi="宋体" w:hint="eastAsia"/>
          <w:bCs/>
          <w:sz w:val="24"/>
          <w:szCs w:val="24"/>
          <w:lang w:val="en-GB"/>
          <w:highlight w:val="auto"/>
        </w:rPr>
        <w:t>津南发改投资[2020]54号关于“津南区渌水道（双林农场）公共租赁租房J地块配套公建中学改造工程”项目初步设计的批复</w:t>
      </w:r>
      <w:r>
        <w:rPr>
          <w:rFonts w:ascii="宋体" w:hAnsi="宋体" w:hint="eastAsia"/>
          <w:bCs/>
          <w:sz w:val="24"/>
          <w:szCs w:val="24"/>
          <w:lang w:val="en-GB" w:eastAsia="zh-CN"/>
          <w:highlight w:val="auto"/>
        </w:rPr>
        <w:t>设立</w:t>
      </w:r>
      <w:r>
        <w:rPr>
          <w:rFonts w:ascii="宋体" w:hAnsi="宋体" w:hint="eastAsia"/>
          <w:bCs/>
          <w:sz w:val="24"/>
          <w:szCs w:val="24"/>
          <w:lang w:val="en-GB"/>
          <w:highlight w:val="auto"/>
        </w:rPr>
        <w:t>过程符合相关要求。项目</w:t>
      </w:r>
      <w:r>
        <w:rPr>
          <w:rFonts w:ascii="宋体" w:hAnsi="宋体" w:hint="eastAsia"/>
          <w:bCs/>
          <w:sz w:val="24"/>
          <w:szCs w:val="24"/>
          <w:lang w:val="en-GB" w:eastAsia="zh-CN"/>
          <w:highlight w:val="auto"/>
        </w:rPr>
        <w:t>年初预算</w:t>
      </w:r>
      <w:r>
        <w:rPr>
          <w:rFonts w:ascii="宋体" w:hAnsi="宋体" w:hint="eastAsia"/>
          <w:bCs/>
          <w:sz w:val="24"/>
          <w:szCs w:val="24"/>
          <w:lang w:val="en-US" w:eastAsia="zh-CN"/>
          <w:highlight w:val="auto"/>
        </w:rPr>
        <w:t>1,300.00万元，调整后的预算3,038.75万元，，</w:t>
      </w:r>
      <w:r>
        <w:rPr>
          <w:rFonts w:ascii="宋体" w:hAnsi="宋体" w:hint="eastAsia"/>
          <w:bCs/>
          <w:sz w:val="24"/>
          <w:szCs w:val="24"/>
          <w:lang w:val="en-GB"/>
          <w:highlight w:val="auto"/>
        </w:rPr>
        <w:t>实际</w:t>
      </w:r>
      <w:r>
        <w:rPr>
          <w:rFonts w:ascii="宋体" w:hAnsi="宋体" w:hint="eastAsia"/>
          <w:bCs/>
          <w:sz w:val="24"/>
          <w:szCs w:val="24"/>
          <w:lang w:val="en-GB" w:eastAsia="zh-CN"/>
          <w:highlight w:val="auto"/>
        </w:rPr>
        <w:t>到账</w:t>
      </w:r>
      <w:r>
        <w:rPr>
          <w:rFonts w:ascii="宋体" w:hAnsi="宋体" w:hint="eastAsia"/>
          <w:bCs/>
          <w:sz w:val="24"/>
          <w:szCs w:val="24"/>
          <w:lang w:val="en-GB"/>
          <w:highlight w:val="auto"/>
        </w:rPr>
        <w:t>资金</w:t>
      </w:r>
      <w:r>
        <w:rPr>
          <w:rFonts w:ascii="宋体" w:hAnsi="宋体" w:hint="eastAsia"/>
          <w:bCs/>
          <w:sz w:val="24"/>
          <w:szCs w:val="24"/>
          <w:lang w:val="en-GB" w:eastAsia="zh-CN"/>
          <w:highlight w:val="auto"/>
        </w:rPr>
        <w:t>为</w:t>
      </w:r>
      <w:r>
        <w:rPr>
          <w:rFonts w:ascii="宋体" w:hAnsi="宋体" w:hint="eastAsia"/>
          <w:bCs/>
          <w:color w:val="000000"/>
          <w:sz w:val="24"/>
          <w:szCs w:val="24"/>
          <w14:textFill>
            <w14:solidFill>
              <w14:srgbClr w14:val="000000"/>
            </w14:solidFill>
          </w14:textFill>
          <w:lang w:val="en-US" w:eastAsia="zh-CN"/>
          <w:highlight w:val="auto"/>
        </w:rPr>
        <w:t>3,038.75</w:t>
      </w:r>
      <w:r>
        <w:rPr>
          <w:rFonts w:ascii="宋体" w:hAnsi="宋体" w:hint="eastAsia"/>
          <w:bCs/>
          <w:sz w:val="24"/>
          <w:szCs w:val="24"/>
          <w:lang w:val="en-GB"/>
          <w:highlight w:val="auto"/>
        </w:rPr>
        <w:t>万元，支出</w:t>
      </w:r>
      <w:r>
        <w:rPr>
          <w:rFonts w:ascii="宋体" w:hAnsi="宋体" w:hint="eastAsia"/>
          <w:bCs/>
          <w:sz w:val="24"/>
          <w:szCs w:val="24"/>
          <w:lang w:val="en-US" w:eastAsia="zh-CN"/>
          <w:highlight w:val="auto"/>
        </w:rPr>
        <w:t>2,000.00</w:t>
      </w:r>
      <w:r>
        <w:rPr>
          <w:rFonts w:ascii="宋体" w:hAnsi="宋体" w:hint="eastAsia"/>
          <w:bCs/>
          <w:sz w:val="24"/>
          <w:szCs w:val="24"/>
          <w:lang w:val="en-GB"/>
          <w:highlight w:val="auto"/>
        </w:rPr>
        <w:t>万元，结余资金</w:t>
      </w:r>
      <w:r>
        <w:rPr>
          <w:rFonts w:ascii="宋体" w:hAnsi="宋体" w:hint="eastAsia"/>
          <w:bCs/>
          <w:sz w:val="24"/>
          <w:szCs w:val="24"/>
          <w:lang w:val="en-US" w:eastAsia="zh-CN"/>
          <w:highlight w:val="auto"/>
        </w:rPr>
        <w:t>1,038.75</w:t>
      </w:r>
      <w:r>
        <w:rPr>
          <w:rFonts w:ascii="宋体" w:hAnsi="宋体" w:hint="eastAsia"/>
          <w:bCs/>
          <w:sz w:val="24"/>
          <w:szCs w:val="24"/>
          <w:lang w:val="en-GB"/>
          <w:highlight w:val="auto"/>
        </w:rPr>
        <w:t>万元。</w:t>
      </w:r>
      <w:r>
        <w:rPr>
          <w:rFonts w:ascii="宋体" w:hAnsi="宋体" w:hint="eastAsia"/>
          <w:bCs/>
          <w:sz w:val="24"/>
          <w:szCs w:val="24"/>
          <w:lang w:val="en-US" w:eastAsia="zh-CN"/>
          <w:highlight w:val="auto"/>
        </w:rPr>
        <w:t>我们依据</w:t>
      </w:r>
      <w:r>
        <w:rPr>
          <w:rFonts w:ascii="宋体" w:hAnsi="宋体" w:hint="eastAsia"/>
          <w:bCs/>
          <w:sz w:val="24"/>
          <w:szCs w:val="24"/>
          <w:lang w:val="en-GB" w:eastAsia="zh-CN"/>
          <w:highlight w:val="auto"/>
        </w:rPr>
        <w:t>津南区</w:t>
      </w:r>
      <w:r>
        <w:rPr>
          <w:rFonts w:ascii="宋体" w:hAnsi="宋体" w:hint="eastAsia"/>
          <w:bCs/>
          <w:sz w:val="24"/>
          <w:szCs w:val="24"/>
          <w:lang w:val="en-GB"/>
          <w:highlight w:val="auto"/>
        </w:rPr>
        <w:t>教育局</w:t>
      </w:r>
      <w:r>
        <w:rPr>
          <w:rFonts w:ascii="宋体" w:hAnsi="宋体" w:hint="eastAsia"/>
          <w:bCs/>
          <w:sz w:val="24"/>
          <w:szCs w:val="24"/>
          <w:lang w:val="en-GB" w:eastAsia="zh-CN"/>
          <w:highlight w:val="auto"/>
        </w:rPr>
        <w:t>提供</w:t>
      </w:r>
      <w:r>
        <w:rPr>
          <w:rFonts w:ascii="宋体" w:hAnsi="宋体" w:hint="eastAsia"/>
          <w:bCs/>
          <w:sz w:val="24"/>
          <w:szCs w:val="24"/>
          <w:lang w:val="en-US" w:eastAsia="zh-CN"/>
          <w:highlight w:val="auto"/>
        </w:rPr>
        <w:t>的</w:t>
      </w:r>
      <w:r>
        <w:rPr>
          <w:rFonts w:ascii="宋体" w:hAnsi="宋体" w:hint="eastAsia"/>
          <w:bCs/>
          <w:sz w:val="24"/>
          <w:szCs w:val="24"/>
          <w:lang w:val="en-GB" w:eastAsia="zh-CN"/>
          <w:highlight w:val="auto"/>
        </w:rPr>
        <w:t>《项目支出绩效目标表》</w:t>
      </w:r>
      <w:r>
        <w:rPr>
          <w:rFonts w:ascii="宋体" w:hAnsi="宋体" w:hint="eastAsia"/>
          <w:bCs/>
          <w:sz w:val="24"/>
          <w:szCs w:val="24"/>
          <w:lang w:val="en-GB"/>
          <w:highlight w:val="auto"/>
        </w:rPr>
        <w:t>确定项目的工作目标为</w:t>
      </w:r>
      <w:r>
        <w:rPr>
          <w:rFonts w:ascii="宋体" w:hAnsi="宋体" w:hint="eastAsia"/>
          <w:bCs/>
          <w:sz w:val="24"/>
          <w:szCs w:val="24"/>
          <w:lang w:val="en-GB" w:eastAsia="zh-CN"/>
          <w:highlight w:val="auto"/>
        </w:rPr>
        <w:t>：</w:t>
      </w:r>
    </w:p>
    <w:p>
      <w:pPr>
        <w:numPr>
          <w:ilvl w:val="0"/>
          <w:numId w:val="1"/>
        </w:numPr>
        <w:spacing w:line="560" w:lineRule="exact"/>
        <w:ind w:left="-50" w:firstLine="470"/>
        <w:rPr>
          <w:rFonts w:ascii="宋体" w:hAnsi="宋体" w:hint="eastAsia"/>
          <w:bCs/>
          <w:sz w:val="24"/>
          <w:szCs w:val="24"/>
          <w:lang w:val="en-GB"/>
          <w:highlight w:val="auto"/>
        </w:rPr>
      </w:pPr>
      <w:r>
        <w:rPr>
          <w:rFonts w:ascii="宋体" w:hAnsi="宋体" w:hint="eastAsia"/>
          <w:bCs/>
          <w:sz w:val="24"/>
          <w:szCs w:val="24"/>
          <w:lang w:val="en-US" w:eastAsia="zh-CN"/>
          <w:highlight w:val="auto"/>
        </w:rPr>
        <w:t>完成</w:t>
      </w:r>
      <w:r>
        <w:rPr>
          <w:rFonts w:ascii="宋体" w:hAnsi="宋体" w:hint="eastAsia"/>
          <w:bCs/>
          <w:sz w:val="24"/>
          <w:szCs w:val="24"/>
          <w:lang w:val="en-GB" w:eastAsia="zh-CN"/>
          <w:highlight w:val="auto"/>
        </w:rPr>
        <w:t>教学楼、实验楼、食堂及操场的装修改造</w:t>
      </w:r>
      <w:r>
        <w:rPr>
          <w:rFonts w:ascii="宋体" w:hAnsi="宋体" w:hint="eastAsia"/>
          <w:bCs/>
          <w:sz w:val="24"/>
          <w:szCs w:val="24"/>
          <w:lang w:val="en-GB"/>
          <w:highlight w:val="auto"/>
        </w:rPr>
        <w:t>；</w:t>
      </w:r>
    </w:p>
    <w:p>
      <w:pPr>
        <w:numPr>
          <w:ilvl w:val="0"/>
          <w:numId w:val="1"/>
        </w:numPr>
        <w:spacing w:line="560" w:lineRule="exact"/>
        <w:ind w:left="-50" w:firstLine="470"/>
        <w:rPr>
          <w:rFonts w:ascii="宋体" w:eastAsia="宋体" w:hAnsi="宋体" w:hint="eastAsia"/>
          <w:bCs/>
          <w:sz w:val="24"/>
          <w:szCs w:val="24"/>
          <w:lang w:val="en-US" w:eastAsia="zh-CN"/>
          <w:highlight w:val="auto"/>
        </w:rPr>
      </w:pPr>
      <w:r>
        <w:rPr>
          <w:rFonts w:ascii="宋体" w:hAnsi="宋体" w:hint="eastAsia"/>
          <w:bCs/>
          <w:sz w:val="24"/>
          <w:szCs w:val="24"/>
          <w:lang w:val="en-GB" w:eastAsia="zh-CN"/>
          <w:highlight w:val="auto"/>
        </w:rPr>
        <w:t>购置新的厨房设备</w:t>
      </w:r>
      <w:r>
        <w:rPr>
          <w:rFonts w:ascii="宋体" w:hAnsi="宋体" w:hint="eastAsia"/>
          <w:bCs/>
          <w:sz w:val="24"/>
          <w:szCs w:val="24"/>
          <w:lang w:val="en-GB"/>
          <w:highlight w:val="auto"/>
        </w:rPr>
        <w:t>；</w:t>
      </w:r>
    </w:p>
    <w:p>
      <w:pPr>
        <w:numPr>
          <w:ilvl w:val="0"/>
          <w:numId w:val="1"/>
        </w:numPr>
        <w:spacing w:line="560" w:lineRule="exact"/>
        <w:ind w:left="-50" w:firstLine="470"/>
        <w:rPr>
          <w:rFonts w:ascii="宋体" w:eastAsia="宋体" w:hAnsi="宋体" w:hint="eastAsia"/>
          <w:bCs/>
          <w:sz w:val="24"/>
          <w:szCs w:val="24"/>
          <w:lang w:val="en-US" w:eastAsia="zh-CN"/>
          <w:highlight w:val="auto"/>
        </w:rPr>
      </w:pPr>
      <w:r>
        <w:rPr>
          <w:rFonts w:ascii="宋体" w:hAnsi="宋体" w:hint="eastAsia"/>
          <w:bCs/>
          <w:sz w:val="24"/>
          <w:szCs w:val="24"/>
          <w:lang w:val="en-GB" w:eastAsia="zh-CN"/>
          <w:highlight w:val="auto"/>
        </w:rPr>
        <w:t>装备智能系统</w:t>
      </w:r>
    </w:p>
    <w:p>
      <w:pPr>
        <w:numPr>
          <w:ilvl w:val="0"/>
          <w:numId w:val="1"/>
        </w:numPr>
        <w:spacing w:line="560" w:lineRule="exact"/>
        <w:ind w:left="-50" w:firstLine="470"/>
        <w:rPr>
          <w:rFonts w:ascii="宋体" w:eastAsia="宋体" w:hAnsi="宋体" w:hint="eastAsia"/>
          <w:bCs/>
          <w:sz w:val="24"/>
          <w:szCs w:val="24"/>
          <w:lang w:val="en-US" w:eastAsia="zh-CN"/>
          <w:highlight w:val="auto"/>
        </w:rPr>
      </w:pPr>
      <w:r>
        <w:rPr>
          <w:rFonts w:ascii="宋体" w:hAnsi="宋体" w:hint="eastAsia"/>
          <w:bCs/>
          <w:sz w:val="24"/>
          <w:szCs w:val="24"/>
          <w:lang w:val="en-US" w:eastAsia="zh-CN"/>
          <w:highlight w:val="auto"/>
        </w:rPr>
        <w:t>总计设置30个班可提供1500个学位，增加周边教育资源，满足入学需求</w:t>
      </w:r>
    </w:p>
    <w:p>
      <w:pPr>
        <w:numPr>
          <w:ilvl w:val="0"/>
          <w:numId w:val="1"/>
        </w:numPr>
        <w:spacing w:line="560" w:lineRule="exact"/>
        <w:ind w:left="-50" w:firstLine="470"/>
        <w:rPr>
          <w:rFonts w:ascii="宋体" w:eastAsia="宋体" w:hAnsi="宋体" w:hint="eastAsia"/>
          <w:bCs/>
          <w:sz w:val="24"/>
          <w:szCs w:val="24"/>
          <w:lang w:val="en-US" w:eastAsia="zh-CN"/>
          <w:highlight w:val="auto"/>
        </w:rPr>
      </w:pPr>
      <w:r>
        <w:rPr>
          <w:rFonts w:ascii="宋体" w:hAnsi="宋体" w:hint="eastAsia"/>
          <w:bCs/>
          <w:sz w:val="24"/>
          <w:szCs w:val="24"/>
          <w:lang w:val="en-US" w:eastAsia="zh-CN"/>
          <w:highlight w:val="auto"/>
        </w:rPr>
        <w:t>大大提升我区的办学条件和办学实力</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二.绩效评价的组织实施情况</w:t>
      </w:r>
    </w:p>
    <w:p>
      <w:pPr>
        <w:spacing w:line="560" w:lineRule="exact"/>
        <w:ind w:firstLineChars="196" w:firstLine="470"/>
        <w:rPr>
          <w:rFonts w:ascii="宋体" w:hAnsi="宋体" w:hint="eastAsia"/>
          <w:bCs/>
          <w:color w:val="000000"/>
          <w:sz w:val="24"/>
          <w:szCs w:val="24"/>
          <w14:textFill>
            <w14:solidFill>
              <w14:srgbClr w14:val="000000"/>
            </w14:solidFill>
          </w14:textFill>
          <w:lang w:val="en-GB"/>
          <w:highlight w:val="auto"/>
        </w:rPr>
      </w:pPr>
      <w:r>
        <w:rPr>
          <w:rFonts w:ascii="宋体" w:hAnsi="宋体" w:hint="eastAsia"/>
          <w:bCs/>
          <w:sz w:val="24"/>
          <w:szCs w:val="24"/>
          <w:lang w:val="en-GB"/>
          <w:highlight w:val="auto"/>
        </w:rPr>
        <w:t>（一）评价准备阶段。2020年9月初，绩效评价组赴天津市</w:t>
      </w:r>
      <w:r>
        <w:rPr>
          <w:rFonts w:ascii="宋体" w:hAnsi="宋体" w:hint="eastAsia"/>
          <w:bCs/>
          <w:sz w:val="24"/>
          <w:szCs w:val="24"/>
          <w:highlight w:val="auto"/>
        </w:rPr>
        <w:t>津南</w:t>
      </w:r>
      <w:r>
        <w:rPr>
          <w:rFonts w:ascii="宋体" w:hAnsi="宋体" w:hint="eastAsia"/>
          <w:bCs/>
          <w:sz w:val="24"/>
          <w:szCs w:val="24"/>
          <w:lang w:val="en-GB"/>
          <w:highlight w:val="auto"/>
        </w:rPr>
        <w:t>区教育局参加见面会，听取了津南区渌水道（双林农场）公共租赁租房J地块配套公建中学改造工程项目的申请立项、资金落实、业务管理、财务管理、项目产出、项目效益等方面的情况介绍，并对项目后续评价工作的基本原则及所需的各类资料文件提出了要求。随后评价组对津南区渌水道（双林农场）公共租赁租房J地块配套公建中学改造工程项目自评工作开展了辅导。</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（二）评价工作实施阶段。</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1.正式进驻。评价组2020年9月6日到9月30日正式天津市</w:t>
      </w:r>
      <w:r>
        <w:rPr>
          <w:rFonts w:ascii="宋体" w:hAnsi="宋体" w:hint="eastAsia"/>
          <w:bCs/>
          <w:sz w:val="24"/>
          <w:szCs w:val="24"/>
          <w:lang w:val="en-US" w:eastAsia="zh-CN"/>
          <w:highlight w:val="auto"/>
        </w:rPr>
        <w:t>津南</w:t>
      </w:r>
      <w:r>
        <w:rPr>
          <w:rFonts w:ascii="宋体" w:hAnsi="宋体" w:hint="eastAsia"/>
          <w:bCs/>
          <w:sz w:val="24"/>
          <w:szCs w:val="24"/>
          <w:lang w:val="en-GB"/>
          <w:highlight w:val="auto"/>
        </w:rPr>
        <w:t>教育局实施评价工作。</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2.全面审查。评价组对津南区渌水道（双林农场）公共租赁租房J地块配套公建中学改造工程项目的文件依据、制度制定、制度执行、资金拨付、项目效益等方面进行了全面梳理。根据项目管理办法及相关通知的要求，确定了</w:t>
      </w:r>
      <w:r>
        <w:rPr>
          <w:rFonts w:ascii="宋体" w:hAnsi="宋体" w:hint="eastAsia"/>
          <w:bCs/>
          <w:sz w:val="24"/>
          <w:szCs w:val="24"/>
          <w:lang w:val="en-US" w:eastAsia="zh-CN"/>
          <w:highlight w:val="auto"/>
        </w:rPr>
        <w:t>津南</w:t>
      </w:r>
      <w:r>
        <w:rPr>
          <w:rFonts w:ascii="宋体" w:hAnsi="宋体" w:hint="eastAsia"/>
          <w:bCs/>
          <w:sz w:val="24"/>
          <w:szCs w:val="24"/>
          <w:lang w:val="en-GB"/>
          <w:highlight w:val="auto"/>
        </w:rPr>
        <w:t>区</w:t>
      </w:r>
      <w:r>
        <w:rPr>
          <w:rFonts w:ascii="宋体" w:hAnsi="宋体" w:hint="eastAsia"/>
          <w:bCs/>
          <w:sz w:val="24"/>
          <w:szCs w:val="24"/>
          <w:lang w:val="en-GB" w:eastAsia="zh-CN"/>
          <w:highlight w:val="auto"/>
        </w:rPr>
        <w:t>渌水道（双林农场）公共租赁租房J地块配套公建中学改造工程项目</w:t>
      </w:r>
      <w:r>
        <w:rPr>
          <w:rFonts w:ascii="宋体" w:hAnsi="宋体" w:hint="eastAsia"/>
          <w:bCs/>
          <w:sz w:val="24"/>
          <w:szCs w:val="24"/>
          <w:lang w:val="en-GB"/>
          <w:highlight w:val="auto"/>
        </w:rPr>
        <w:t>的政策方向；根据</w:t>
      </w:r>
      <w:r>
        <w:rPr>
          <w:rFonts w:ascii="宋体" w:hAnsi="宋体" w:hint="eastAsia"/>
          <w:bCs/>
          <w:sz w:val="24"/>
          <w:szCs w:val="24"/>
          <w:lang w:val="en-US" w:eastAsia="zh-CN"/>
          <w:highlight w:val="auto"/>
        </w:rPr>
        <w:t>津南</w:t>
      </w:r>
      <w:r>
        <w:rPr>
          <w:rFonts w:ascii="宋体" w:hAnsi="宋体" w:hint="eastAsia"/>
          <w:bCs/>
          <w:sz w:val="24"/>
          <w:szCs w:val="24"/>
          <w:lang w:val="en-GB"/>
          <w:highlight w:val="auto"/>
        </w:rPr>
        <w:t>区</w:t>
      </w:r>
      <w:r>
        <w:rPr>
          <w:rFonts w:ascii="宋体" w:hAnsi="宋体" w:hint="eastAsia"/>
          <w:bCs/>
          <w:sz w:val="24"/>
          <w:szCs w:val="24"/>
          <w:lang w:val="en-GB" w:eastAsia="zh-CN"/>
          <w:highlight w:val="auto"/>
        </w:rPr>
        <w:t>渌水道（双林农场）公共租赁租房J地块配套公建中学改造工程项目</w:t>
      </w:r>
      <w:r>
        <w:rPr>
          <w:rFonts w:ascii="宋体" w:hAnsi="宋体" w:hint="eastAsia"/>
          <w:bCs/>
          <w:sz w:val="24"/>
          <w:szCs w:val="24"/>
          <w:lang w:val="en-GB"/>
          <w:highlight w:val="auto"/>
        </w:rPr>
        <w:t>实施的申请材料</w:t>
      </w:r>
      <w:r>
        <w:rPr>
          <w:rFonts w:ascii="宋体" w:hAnsi="宋体" w:hint="eastAsia"/>
          <w:bCs/>
          <w:sz w:val="24"/>
          <w:szCs w:val="24"/>
          <w:lang w:val="en-GB" w:eastAsia="zh-CN"/>
          <w:highlight w:val="auto"/>
        </w:rPr>
        <w:t>、津南区教育局的内控制度</w:t>
      </w:r>
      <w:r>
        <w:rPr>
          <w:rFonts w:ascii="宋体" w:hAnsi="宋体" w:hint="eastAsia"/>
          <w:bCs/>
          <w:sz w:val="24"/>
          <w:szCs w:val="24"/>
          <w:lang w:val="en-GB"/>
          <w:highlight w:val="auto"/>
        </w:rPr>
        <w:t>、</w:t>
      </w:r>
      <w:r>
        <w:rPr>
          <w:rFonts w:ascii="宋体" w:hAnsi="宋体" w:hint="eastAsia"/>
          <w:bCs/>
          <w:sz w:val="24"/>
          <w:szCs w:val="24"/>
          <w:lang w:val="en-GB" w:eastAsia="zh-CN"/>
          <w:highlight w:val="auto"/>
        </w:rPr>
        <w:t>津南区</w:t>
      </w:r>
      <w:r>
        <w:rPr>
          <w:rFonts w:ascii="宋体" w:hAnsi="宋体" w:hint="eastAsia"/>
          <w:bCs/>
          <w:sz w:val="24"/>
          <w:szCs w:val="24"/>
          <w:lang w:val="en-GB"/>
          <w:highlight w:val="auto"/>
        </w:rPr>
        <w:t>财政局经费划拨等资料，对</w:t>
      </w:r>
      <w:r>
        <w:rPr>
          <w:rFonts w:ascii="宋体" w:hAnsi="宋体" w:hint="eastAsia"/>
          <w:bCs/>
          <w:sz w:val="24"/>
          <w:szCs w:val="24"/>
          <w:lang w:val="en-GB" w:eastAsia="zh-CN"/>
          <w:highlight w:val="auto"/>
        </w:rPr>
        <w:t>津南区渌水道（双林农场）公共租赁租房J地块配套公建中学改造工程</w:t>
      </w:r>
      <w:r>
        <w:rPr>
          <w:rFonts w:ascii="宋体" w:hAnsi="宋体" w:hint="eastAsia"/>
          <w:bCs/>
          <w:sz w:val="24"/>
          <w:szCs w:val="24"/>
          <w:lang w:val="en-GB"/>
          <w:highlight w:val="auto"/>
        </w:rPr>
        <w:t>的实施过程、验收环节、付款进度等内容进行了整体评价。</w:t>
      </w:r>
    </w:p>
    <w:p>
      <w:pPr>
        <w:spacing w:line="560" w:lineRule="exact"/>
        <w:ind w:firstLineChars="196" w:firstLine="470"/>
        <w:rPr>
          <w:rFonts w:ascii="宋体" w:hAnsi="宋体" w:hint="eastAsia"/>
          <w:bCs/>
          <w:sz w:val="24"/>
          <w:szCs w:val="24"/>
          <w:lang w:val="en-GB"/>
          <w:highlight w:val="auto"/>
        </w:rPr>
      </w:pPr>
      <w:r>
        <w:rPr>
          <w:rFonts w:ascii="宋体" w:hAnsi="宋体"/>
          <w:bCs/>
          <w:sz w:val="24"/>
          <w:szCs w:val="24"/>
          <w:lang w:val="en-GB"/>
          <w:highlight w:val="auto"/>
        </w:rPr>
        <w:t>3</w:t>
      </w:r>
      <w:r>
        <w:rPr>
          <w:rFonts w:ascii="宋体" w:hAnsi="宋体" w:hint="eastAsia"/>
          <w:bCs/>
          <w:sz w:val="24"/>
          <w:szCs w:val="24"/>
          <w:lang w:val="en-GB"/>
          <w:highlight w:val="auto"/>
        </w:rPr>
        <w:t>.评价打分。按照绩效评价指标体系编制了工作底稿对各绩效指标进行了评分。</w:t>
      </w:r>
    </w:p>
    <w:p>
      <w:pPr>
        <w:spacing w:line="560" w:lineRule="exact"/>
        <w:ind w:firstLineChars="196" w:firstLine="470"/>
        <w:rPr>
          <w:rFonts w:ascii="宋体" w:hAnsi="宋体" w:hint="eastAsia"/>
          <w:bCs/>
          <w:sz w:val="24"/>
          <w:szCs w:val="24"/>
          <w:lang w:val="en-GB"/>
          <w:highlight w:val="auto"/>
        </w:rPr>
      </w:pPr>
      <w:r>
        <w:rPr>
          <w:rFonts w:ascii="宋体" w:hAnsi="宋体"/>
          <w:bCs/>
          <w:sz w:val="24"/>
          <w:szCs w:val="24"/>
          <w:lang w:val="en-GB"/>
          <w:highlight w:val="auto"/>
        </w:rPr>
        <w:t>4</w:t>
      </w:r>
      <w:r>
        <w:rPr>
          <w:rFonts w:ascii="宋体" w:hAnsi="宋体" w:hint="eastAsia"/>
          <w:bCs/>
          <w:sz w:val="24"/>
          <w:szCs w:val="24"/>
          <w:lang w:val="en-GB"/>
          <w:highlight w:val="auto"/>
        </w:rPr>
        <w:t>.编制报告。评价组根据核查和打分情况，起草绩效评价报告，全面梳理本项目取得的成效、存在问题及工作建议。并向</w:t>
      </w:r>
      <w:r>
        <w:rPr>
          <w:rFonts w:ascii="宋体" w:hAnsi="宋体" w:hint="eastAsia"/>
          <w:bCs/>
          <w:sz w:val="24"/>
          <w:szCs w:val="24"/>
          <w:lang w:val="en-US" w:eastAsia="zh-CN"/>
          <w:highlight w:val="auto"/>
        </w:rPr>
        <w:t>津南</w:t>
      </w:r>
      <w:r>
        <w:rPr>
          <w:rFonts w:ascii="宋体" w:hAnsi="宋体" w:hint="eastAsia"/>
          <w:bCs/>
          <w:sz w:val="24"/>
          <w:szCs w:val="24"/>
          <w:lang w:val="en-GB"/>
          <w:highlight w:val="auto"/>
        </w:rPr>
        <w:t>区教育局征求意见后报送</w:t>
      </w:r>
      <w:r>
        <w:rPr>
          <w:rFonts w:ascii="宋体" w:hAnsi="宋体" w:hint="eastAsia"/>
          <w:bCs/>
          <w:sz w:val="24"/>
          <w:szCs w:val="24"/>
          <w:lang w:val="en-US" w:eastAsia="zh-CN"/>
          <w:highlight w:val="auto"/>
        </w:rPr>
        <w:t>津南</w:t>
      </w:r>
      <w:r>
        <w:rPr>
          <w:rFonts w:ascii="宋体" w:hAnsi="宋体" w:hint="eastAsia"/>
          <w:bCs/>
          <w:sz w:val="24"/>
          <w:szCs w:val="24"/>
          <w:lang w:val="en-GB"/>
          <w:highlight w:val="auto"/>
        </w:rPr>
        <w:t>区财政局。</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三.绩效评价指标体系和评价方法</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（一）绩效评价指标体系。</w:t>
      </w:r>
    </w:p>
    <w:p>
      <w:pPr>
        <w:spacing w:line="560" w:lineRule="exact"/>
        <w:ind w:firstLineChars="196" w:firstLine="470"/>
        <w:rPr>
          <w:rFonts w:ascii="宋体" w:hAnsi="宋体"/>
          <w:bCs/>
          <w:sz w:val="24"/>
          <w:szCs w:val="24"/>
          <w:lang w:val="en-GB"/>
          <w:highlight w:val="auto"/>
        </w:rPr>
      </w:pPr>
      <w:r>
        <w:rPr>
          <w:rFonts w:ascii="宋体" w:hAnsi="宋体" w:hint="eastAsia"/>
          <w:bCs/>
          <w:sz w:val="24"/>
          <w:szCs w:val="24"/>
          <w:lang w:val="en-GB"/>
          <w:highlight w:val="auto"/>
        </w:rPr>
        <w:t>项目绩效评价指标体系</w:t>
      </w:r>
      <w:r>
        <w:rPr>
          <w:rFonts w:ascii="宋体" w:hAnsi="宋体" w:hint="eastAsia"/>
          <w:bCs/>
          <w:color w:val="000000"/>
          <w:sz w:val="24"/>
          <w:szCs w:val="24"/>
          <w14:textFill>
            <w14:solidFill>
              <w14:srgbClr w14:val="000000"/>
            </w14:solidFill>
          </w14:textFill>
          <w:lang w:val="en-GB"/>
          <w:highlight w:val="auto"/>
        </w:rPr>
        <w:t>投入、过程、产出、效果及自评指标</w:t>
      </w:r>
      <w:r>
        <w:rPr>
          <w:rFonts w:ascii="宋体" w:hAnsi="宋体" w:hint="eastAsia"/>
          <w:bCs/>
          <w:color w:val="000000"/>
          <w:sz w:val="24"/>
          <w:szCs w:val="24"/>
          <w14:textFill>
            <w14:solidFill>
              <w14:srgbClr w14:val="000000"/>
            </w14:solidFill>
          </w14:textFill>
          <w:lang w:val="en-US" w:eastAsia="zh-CN"/>
          <w:highlight w:val="auto"/>
        </w:rPr>
        <w:t>五</w:t>
      </w:r>
      <w:r>
        <w:rPr>
          <w:rFonts w:ascii="宋体" w:hAnsi="宋体" w:hint="eastAsia"/>
          <w:bCs/>
          <w:color w:val="000000"/>
          <w:sz w:val="24"/>
          <w:szCs w:val="24"/>
          <w14:textFill>
            <w14:solidFill>
              <w14:srgbClr w14:val="000000"/>
            </w14:solidFill>
          </w14:textFill>
          <w:lang w:val="en-GB"/>
          <w:highlight w:val="auto"/>
        </w:rPr>
        <w:t>部</w:t>
      </w:r>
      <w:r>
        <w:rPr>
          <w:rFonts w:ascii="宋体" w:hAnsi="宋体" w:hint="eastAsia"/>
          <w:bCs/>
          <w:sz w:val="24"/>
          <w:szCs w:val="24"/>
          <w:lang w:val="en-GB"/>
          <w:highlight w:val="auto"/>
        </w:rPr>
        <w:t>分指标构成。此体系满分100分，各项指标综合得分90分（含）以上为优；80分（含）至90为良；60分（含）至80分为中；60分以下为差。</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项目绩效评价指标体系及评分结果详见附件1。</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（二）评价方法。</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本次评价主要使用了比较法和抽查法。</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四.绩效目标的实现程度</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（一）绩效目标实现程度。</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1.项目完成情况</w:t>
      </w:r>
    </w:p>
    <w:p>
      <w:pPr>
        <w:spacing w:line="560" w:lineRule="exact"/>
        <w:ind w:left="0" w:firstLineChars="200" w:firstLine="480"/>
        <w:rPr>
          <w:rFonts w:ascii="宋体" w:hAnsi="宋体" w:hint="eastAsia"/>
          <w:bCs/>
          <w:sz w:val="24"/>
          <w:szCs w:val="24"/>
          <w:lang w:val="en-GB"/>
          <w:highlight w:val="auto"/>
        </w:rPr>
      </w:pPr>
      <w:r>
        <w:rPr>
          <w:rFonts w:ascii="宋体" w:hAnsi="宋体" w:hint="eastAsia"/>
          <w:bCs/>
          <w:sz w:val="24"/>
          <w:szCs w:val="24"/>
          <w:lang w:val="en-GB" w:eastAsia="zh-CN"/>
          <w:highlight w:val="auto"/>
        </w:rPr>
        <w:t>津南区渌水道（双林农场）公共租赁租房J地块配套公建中学改造工程项目</w:t>
      </w:r>
      <w:r>
        <w:rPr>
          <w:rFonts w:ascii="宋体" w:hAnsi="宋体" w:hint="eastAsia"/>
          <w:bCs/>
          <w:sz w:val="24"/>
          <w:szCs w:val="24"/>
          <w:lang w:val="en-GB"/>
          <w:highlight w:val="auto"/>
        </w:rPr>
        <w:t>主要完成工作：</w:t>
      </w:r>
    </w:p>
    <w:p>
      <w:pPr>
        <w:spacing w:line="560" w:lineRule="exact"/>
        <w:ind w:left="0" w:firstLineChars="100" w:firstLine="240"/>
        <w:rPr>
          <w:rFonts w:ascii="宋体" w:hAnsi="宋体" w:hint="eastAsia"/>
          <w:bCs/>
          <w:sz w:val="24"/>
          <w:szCs w:val="24"/>
          <w:lang w:val="en-GB"/>
          <w:highlight w:val="auto"/>
        </w:rPr>
      </w:pPr>
      <w:r>
        <w:rPr>
          <w:rFonts w:ascii="宋体" w:hAnsi="宋体" w:hint="eastAsia"/>
          <w:bCs/>
          <w:sz w:val="24"/>
          <w:szCs w:val="24"/>
          <w:lang w:val="en-US" w:eastAsia="zh-CN"/>
          <w:highlight w:val="auto"/>
        </w:rPr>
        <w:t>（1）完成</w:t>
      </w:r>
      <w:r>
        <w:rPr>
          <w:rFonts w:ascii="宋体" w:hAnsi="宋体" w:hint="eastAsia"/>
          <w:bCs/>
          <w:sz w:val="24"/>
          <w:szCs w:val="24"/>
          <w:lang w:val="en-GB" w:eastAsia="zh-CN"/>
          <w:highlight w:val="auto"/>
        </w:rPr>
        <w:t>教学楼、实验楼、食堂及操场的装修改造</w:t>
      </w:r>
      <w:r>
        <w:rPr>
          <w:rFonts w:ascii="宋体" w:hAnsi="宋体" w:hint="eastAsia"/>
          <w:bCs/>
          <w:sz w:val="24"/>
          <w:szCs w:val="24"/>
          <w:lang w:val="en-GB"/>
          <w:highlight w:val="auto"/>
        </w:rPr>
        <w:t>；</w:t>
      </w:r>
    </w:p>
    <w:p>
      <w:pPr>
        <w:spacing w:line="560" w:lineRule="exact"/>
        <w:ind w:left="0" w:firstLineChars="100" w:firstLine="240"/>
        <w:rPr>
          <w:rFonts w:ascii="宋体" w:eastAsia="宋体" w:hAnsi="宋体" w:hint="eastAsia"/>
          <w:bCs/>
          <w:sz w:val="24"/>
          <w:szCs w:val="24"/>
          <w:lang w:val="en-US" w:eastAsia="zh-CN"/>
          <w:highlight w:val="auto"/>
        </w:rPr>
      </w:pPr>
      <w:r>
        <w:rPr>
          <w:rFonts w:ascii="宋体" w:hAnsi="宋体" w:hint="eastAsia"/>
          <w:bCs/>
          <w:sz w:val="24"/>
          <w:szCs w:val="24"/>
          <w:lang w:val="en-US" w:eastAsia="zh-CN"/>
          <w:highlight w:val="auto"/>
        </w:rPr>
        <w:t>（2）</w:t>
      </w:r>
      <w:r>
        <w:rPr>
          <w:rFonts w:ascii="宋体" w:hAnsi="宋体" w:hint="eastAsia"/>
          <w:bCs/>
          <w:sz w:val="24"/>
          <w:szCs w:val="24"/>
          <w:lang w:val="en-GB" w:eastAsia="zh-CN"/>
          <w:highlight w:val="auto"/>
        </w:rPr>
        <w:t>购置新的厨房设备</w:t>
      </w:r>
      <w:r>
        <w:rPr>
          <w:rFonts w:ascii="宋体" w:hAnsi="宋体" w:hint="eastAsia"/>
          <w:bCs/>
          <w:sz w:val="24"/>
          <w:szCs w:val="24"/>
          <w:lang w:val="en-GB"/>
          <w:highlight w:val="auto"/>
        </w:rPr>
        <w:t>；</w:t>
      </w:r>
    </w:p>
    <w:p>
      <w:pPr>
        <w:spacing w:line="560" w:lineRule="exact"/>
        <w:ind w:left="0" w:firstLineChars="100" w:firstLine="240"/>
        <w:rPr>
          <w:rFonts w:ascii="宋体" w:eastAsia="宋体" w:hAnsi="宋体" w:hint="eastAsia"/>
          <w:bCs/>
          <w:sz w:val="24"/>
          <w:szCs w:val="24"/>
          <w:lang w:val="en-US" w:eastAsia="zh-CN"/>
          <w:highlight w:val="auto"/>
        </w:rPr>
      </w:pPr>
      <w:r>
        <w:rPr>
          <w:rFonts w:ascii="宋体" w:hAnsi="宋体" w:hint="eastAsia"/>
          <w:bCs/>
          <w:sz w:val="24"/>
          <w:szCs w:val="24"/>
          <w:lang w:val="en-US" w:eastAsia="zh-CN"/>
          <w:highlight w:val="auto"/>
        </w:rPr>
        <w:t>（3）</w:t>
      </w:r>
      <w:r>
        <w:rPr>
          <w:rFonts w:ascii="宋体" w:hAnsi="宋体" w:hint="eastAsia"/>
          <w:bCs/>
          <w:sz w:val="24"/>
          <w:szCs w:val="24"/>
          <w:lang w:val="en-GB" w:eastAsia="zh-CN"/>
          <w:highlight w:val="auto"/>
        </w:rPr>
        <w:t>装备智能系统</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eastAsia="zh-CN"/>
          <w:highlight w:val="auto"/>
        </w:rPr>
        <w:t>该项目全部已于</w:t>
      </w:r>
      <w:r>
        <w:rPr>
          <w:rFonts w:ascii="宋体" w:hAnsi="宋体" w:hint="eastAsia"/>
          <w:bCs/>
          <w:sz w:val="24"/>
          <w:szCs w:val="24"/>
          <w:lang w:val="en-US" w:eastAsia="zh-CN"/>
          <w:highlight w:val="auto"/>
        </w:rPr>
        <w:t>9月16日</w:t>
      </w:r>
      <w:r>
        <w:rPr>
          <w:rFonts w:ascii="宋体" w:hAnsi="宋体" w:hint="eastAsia"/>
          <w:bCs/>
          <w:sz w:val="24"/>
          <w:szCs w:val="24"/>
          <w:lang w:val="en-GB"/>
          <w:highlight w:val="auto"/>
        </w:rPr>
        <w:t>施工完毕，并验收合格。</w:t>
      </w:r>
    </w:p>
    <w:p>
      <w:pPr>
        <w:numPr>
          <w:ilvl w:val="0"/>
          <w:numId w:val="2"/>
        </w:numPr>
        <w:spacing w:line="560" w:lineRule="exact"/>
        <w:ind w:left="0"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 xml:space="preserve">社会效益 </w:t>
      </w:r>
    </w:p>
    <w:p>
      <w:pPr>
        <w:spacing w:line="560" w:lineRule="exact"/>
        <w:rPr>
          <w:rFonts w:ascii="宋体" w:eastAsia="宋体" w:hAnsi="宋体"/>
          <w:bCs/>
          <w:sz w:val="24"/>
          <w:szCs w:val="24"/>
          <w:lang w:val="en-US" w:eastAsia="zh-CN"/>
          <w:highlight w:val="auto"/>
        </w:rPr>
      </w:pPr>
      <w:r>
        <w:rPr>
          <w:rFonts w:ascii="宋体" w:hAnsi="宋体" w:hint="eastAsia"/>
          <w:bCs/>
          <w:sz w:val="24"/>
          <w:szCs w:val="24"/>
          <w:lang w:val="en-US" w:eastAsia="zh-CN"/>
          <w:highlight w:val="auto"/>
        </w:rPr>
        <w:t xml:space="preserve">      津南区渌水道（双林农场）公共租赁住房J地块配套公建中学改造工程项目采购的智能系统，使教学装备得到了提升，操场层面的建设为学生的体育教育提供了条件，厨房设备的采购，为学生的生活提供了保障，改善了学校的环境，所有项目全部验收合格，质量达标，为全校师生提供了完好的设施。</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3. 可持续影响方面</w:t>
      </w:r>
    </w:p>
    <w:p>
      <w:pPr>
        <w:spacing w:line="560" w:lineRule="exact"/>
        <w:ind w:firstLineChars="196" w:firstLine="470"/>
        <w:rPr>
          <w:rFonts w:ascii="宋体" w:hAnsi="宋体" w:hint="eastAsia"/>
          <w:bCs/>
          <w:sz w:val="24"/>
          <w:szCs w:val="24"/>
          <w:lang w:val="en-GB" w:eastAsia="zh-CN"/>
          <w:highlight w:val="auto"/>
        </w:rPr>
      </w:pPr>
      <w:r>
        <w:rPr>
          <w:rFonts w:ascii="宋体" w:hAnsi="宋体" w:hint="eastAsia"/>
          <w:bCs/>
          <w:sz w:val="24"/>
          <w:szCs w:val="24"/>
          <w:lang w:val="en-GB" w:eastAsia="zh-CN"/>
          <w:highlight w:val="auto"/>
        </w:rPr>
        <w:t>（</w:t>
      </w:r>
      <w:r>
        <w:rPr>
          <w:rFonts w:ascii="宋体" w:hAnsi="宋体" w:hint="eastAsia"/>
          <w:bCs/>
          <w:sz w:val="24"/>
          <w:szCs w:val="24"/>
          <w:lang w:val="en-US" w:eastAsia="zh-CN"/>
          <w:highlight w:val="auto"/>
        </w:rPr>
        <w:t>1</w:t>
      </w:r>
      <w:r>
        <w:rPr>
          <w:rFonts w:ascii="宋体" w:hAnsi="宋体" w:hint="eastAsia"/>
          <w:bCs/>
          <w:sz w:val="24"/>
          <w:szCs w:val="24"/>
          <w:lang w:val="en-GB" w:eastAsia="zh-CN"/>
          <w:highlight w:val="auto"/>
        </w:rPr>
        <w:t>）</w:t>
      </w:r>
      <w:r>
        <w:rPr>
          <w:rFonts w:ascii="宋体" w:hAnsi="宋体" w:hint="eastAsia"/>
          <w:bCs/>
          <w:sz w:val="24"/>
          <w:szCs w:val="24"/>
          <w:lang w:val="en-GB"/>
          <w:highlight w:val="auto"/>
        </w:rPr>
        <w:t>总计设置30个班，提供学位1500个 ，可满足学校附近小区居民就近入学要求</w:t>
      </w:r>
      <w:r>
        <w:rPr>
          <w:rFonts w:ascii="宋体" w:hAnsi="宋体" w:hint="eastAsia"/>
          <w:bCs/>
          <w:sz w:val="24"/>
          <w:szCs w:val="24"/>
          <w:lang w:val="en-GB" w:eastAsia="zh-CN"/>
          <w:highlight w:val="auto"/>
        </w:rPr>
        <w:t>。</w:t>
      </w:r>
    </w:p>
    <w:p>
      <w:pPr>
        <w:spacing w:line="560" w:lineRule="exact"/>
        <w:ind w:firstLineChars="196" w:firstLine="470"/>
        <w:rPr>
          <w:rFonts w:ascii="宋体" w:hAnsi="宋体"/>
          <w:bCs/>
          <w:sz w:val="24"/>
          <w:szCs w:val="24"/>
          <w:lang w:val="en-US" w:eastAsia="zh-CN"/>
          <w:highlight w:val="auto"/>
        </w:rPr>
      </w:pPr>
      <w:r>
        <w:rPr>
          <w:rFonts w:ascii="宋体" w:hAnsi="宋体" w:hint="eastAsia"/>
          <w:bCs/>
          <w:sz w:val="24"/>
          <w:szCs w:val="24"/>
          <w:lang w:val="en-GB" w:eastAsia="zh-CN"/>
          <w:highlight w:val="auto"/>
        </w:rPr>
        <w:t>（</w:t>
      </w:r>
      <w:r>
        <w:rPr>
          <w:rFonts w:ascii="宋体" w:hAnsi="宋体" w:hint="eastAsia"/>
          <w:bCs/>
          <w:sz w:val="24"/>
          <w:szCs w:val="24"/>
          <w:lang w:val="en-US" w:eastAsia="zh-CN"/>
          <w:highlight w:val="auto"/>
        </w:rPr>
        <w:t>2</w:t>
      </w:r>
      <w:r>
        <w:rPr>
          <w:rFonts w:ascii="宋体" w:hAnsi="宋体" w:hint="eastAsia"/>
          <w:bCs/>
          <w:sz w:val="24"/>
          <w:szCs w:val="24"/>
          <w:lang w:val="en-GB" w:eastAsia="zh-CN"/>
          <w:highlight w:val="auto"/>
        </w:rPr>
        <w:t>）</w:t>
      </w:r>
      <w:r>
        <w:rPr>
          <w:rFonts w:ascii="宋体" w:hAnsi="宋体" w:hint="eastAsia"/>
          <w:bCs/>
          <w:sz w:val="24"/>
          <w:szCs w:val="24"/>
          <w:lang w:val="en-US" w:eastAsia="zh-CN"/>
          <w:highlight w:val="auto"/>
        </w:rPr>
        <w:t>大大提升我区的办学条件和办学实力</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（二）资金使用及管理情况。</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（1）资金管理、资金使用情况</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eastAsia="zh-CN"/>
          <w:highlight w:val="auto"/>
        </w:rPr>
        <w:t>津南区</w:t>
      </w:r>
      <w:r>
        <w:rPr>
          <w:rFonts w:ascii="宋体" w:hAnsi="宋体" w:hint="eastAsia"/>
          <w:bCs/>
          <w:sz w:val="24"/>
          <w:szCs w:val="24"/>
          <w:lang w:val="en-GB"/>
          <w:highlight w:val="auto"/>
        </w:rPr>
        <w:t>教育局没有制定专门的项目资金管理办法，按照《</w:t>
      </w:r>
      <w:r>
        <w:rPr>
          <w:rFonts w:ascii="宋体" w:hAnsi="宋体" w:hint="eastAsia"/>
          <w:bCs/>
          <w:sz w:val="24"/>
          <w:szCs w:val="24"/>
          <w:lang w:val="en-GB" w:eastAsia="zh-CN"/>
          <w:highlight w:val="auto"/>
        </w:rPr>
        <w:t>津南区</w:t>
      </w:r>
      <w:r>
        <w:rPr>
          <w:rFonts w:ascii="宋体" w:hAnsi="宋体" w:hint="eastAsia"/>
          <w:bCs/>
          <w:sz w:val="24"/>
          <w:szCs w:val="24"/>
          <w:lang w:val="en-GB"/>
          <w:highlight w:val="auto"/>
        </w:rPr>
        <w:t>教育局单位经费支出管理制度》使用资金；财务管理制度符合相关财务会计制度的规定。截至20</w:t>
      </w:r>
      <w:r>
        <w:rPr>
          <w:rFonts w:ascii="宋体" w:hAnsi="宋体" w:hint="eastAsia"/>
          <w:bCs/>
          <w:sz w:val="24"/>
          <w:szCs w:val="24"/>
          <w:lang w:val="en-US" w:eastAsia="zh-CN"/>
          <w:highlight w:val="auto"/>
        </w:rPr>
        <w:t>20</w:t>
      </w:r>
      <w:r>
        <w:rPr>
          <w:rFonts w:ascii="宋体" w:hAnsi="宋体" w:hint="eastAsia"/>
          <w:bCs/>
          <w:sz w:val="24"/>
          <w:szCs w:val="24"/>
          <w:lang w:val="en-GB"/>
          <w:highlight w:val="auto"/>
        </w:rPr>
        <w:t>年底，</w:t>
      </w:r>
      <w:r>
        <w:rPr>
          <w:rFonts w:ascii="宋体" w:hAnsi="宋体" w:hint="eastAsia"/>
          <w:bCs/>
          <w:sz w:val="24"/>
          <w:szCs w:val="24"/>
          <w:lang w:val="en-GB" w:eastAsia="zh-CN"/>
          <w:highlight w:val="auto"/>
        </w:rPr>
        <w:t>津南区</w:t>
      </w:r>
      <w:r>
        <w:rPr>
          <w:rFonts w:ascii="宋体" w:hAnsi="宋体" w:hint="eastAsia"/>
          <w:bCs/>
          <w:sz w:val="24"/>
          <w:szCs w:val="24"/>
          <w:lang w:val="en-GB"/>
          <w:highlight w:val="auto"/>
        </w:rPr>
        <w:t>财政局通过授权支付的方式向</w:t>
      </w:r>
      <w:r>
        <w:rPr>
          <w:rFonts w:ascii="宋体" w:hAnsi="宋体" w:hint="eastAsia"/>
          <w:bCs/>
          <w:sz w:val="24"/>
          <w:szCs w:val="24"/>
          <w:lang w:val="en-GB" w:eastAsia="zh-CN"/>
          <w:highlight w:val="auto"/>
        </w:rPr>
        <w:t>津南区</w:t>
      </w:r>
      <w:r>
        <w:rPr>
          <w:rFonts w:ascii="宋体" w:hAnsi="宋体" w:hint="eastAsia"/>
          <w:bCs/>
          <w:sz w:val="24"/>
          <w:szCs w:val="24"/>
          <w:lang w:val="en-GB"/>
          <w:highlight w:val="auto"/>
        </w:rPr>
        <w:t>教育局拨付项目资金</w:t>
      </w:r>
      <w:r>
        <w:rPr>
          <w:rFonts w:ascii="宋体" w:hAnsi="宋体" w:hint="eastAsia"/>
          <w:bCs/>
          <w:sz w:val="24"/>
          <w:szCs w:val="24"/>
          <w:lang w:val="en-US" w:eastAsia="zh-CN"/>
          <w:highlight w:val="auto"/>
        </w:rPr>
        <w:t>3,038.75</w:t>
      </w:r>
      <w:r>
        <w:rPr>
          <w:rFonts w:ascii="宋体" w:hAnsi="宋体" w:hint="eastAsia"/>
          <w:bCs/>
          <w:sz w:val="24"/>
          <w:szCs w:val="24"/>
          <w:lang w:val="en-GB"/>
          <w:highlight w:val="auto"/>
        </w:rPr>
        <w:t>元，截至20</w:t>
      </w:r>
      <w:r>
        <w:rPr>
          <w:rFonts w:ascii="宋体" w:hAnsi="宋体" w:hint="eastAsia"/>
          <w:bCs/>
          <w:sz w:val="24"/>
          <w:szCs w:val="24"/>
          <w:lang w:val="en-US" w:eastAsia="zh-CN"/>
          <w:highlight w:val="auto"/>
        </w:rPr>
        <w:t>20</w:t>
      </w:r>
      <w:r>
        <w:rPr>
          <w:rFonts w:ascii="宋体" w:hAnsi="宋体" w:hint="eastAsia"/>
          <w:bCs/>
          <w:sz w:val="24"/>
          <w:szCs w:val="24"/>
          <w:lang w:val="en-GB"/>
          <w:highlight w:val="auto"/>
        </w:rPr>
        <w:t>年</w:t>
      </w:r>
      <w:r>
        <w:rPr>
          <w:rFonts w:ascii="宋体" w:hAnsi="宋体"/>
          <w:bCs/>
          <w:sz w:val="24"/>
          <w:szCs w:val="24"/>
          <w:lang w:val="en-GB"/>
          <w:highlight w:val="auto"/>
        </w:rPr>
        <w:t>12</w:t>
      </w:r>
      <w:r>
        <w:rPr>
          <w:rFonts w:ascii="宋体" w:hAnsi="宋体" w:hint="eastAsia"/>
          <w:bCs/>
          <w:sz w:val="24"/>
          <w:szCs w:val="24"/>
          <w:lang w:val="en-GB"/>
          <w:highlight w:val="auto"/>
        </w:rPr>
        <w:t>月底共支出2</w:t>
      </w:r>
      <w:r>
        <w:rPr>
          <w:rFonts w:ascii="宋体" w:hAnsi="宋体"/>
          <w:bCs/>
          <w:sz w:val="24"/>
          <w:szCs w:val="24"/>
          <w:lang w:val="en-GB"/>
          <w:highlight w:val="auto"/>
        </w:rPr>
        <w:t>,</w:t>
      </w:r>
      <w:r>
        <w:rPr>
          <w:rFonts w:ascii="宋体" w:hAnsi="宋体" w:hint="eastAsia"/>
          <w:bCs/>
          <w:sz w:val="24"/>
          <w:szCs w:val="24"/>
          <w:lang w:val="en-US" w:eastAsia="zh-CN"/>
          <w:highlight w:val="auto"/>
        </w:rPr>
        <w:t>000</w:t>
      </w:r>
      <w:r>
        <w:rPr>
          <w:rFonts w:ascii="宋体" w:hAnsi="宋体" w:hint="eastAsia"/>
          <w:bCs/>
          <w:sz w:val="24"/>
          <w:szCs w:val="24"/>
          <w:lang w:val="en-GB"/>
          <w:highlight w:val="auto"/>
        </w:rPr>
        <w:t>.</w:t>
      </w:r>
      <w:r>
        <w:rPr>
          <w:rFonts w:ascii="宋体" w:hAnsi="宋体" w:hint="eastAsia"/>
          <w:bCs/>
          <w:sz w:val="24"/>
          <w:szCs w:val="24"/>
          <w:lang w:val="en-US" w:eastAsia="zh-CN"/>
          <w:highlight w:val="auto"/>
        </w:rPr>
        <w:t>0</w:t>
      </w:r>
      <w:r>
        <w:rPr>
          <w:rFonts w:ascii="宋体" w:hAnsi="宋体" w:hint="eastAsia"/>
          <w:bCs/>
          <w:sz w:val="24"/>
          <w:szCs w:val="24"/>
          <w:lang w:val="en-GB"/>
          <w:highlight w:val="auto"/>
        </w:rPr>
        <w:t>0万元，</w:t>
      </w:r>
      <w:r>
        <w:rPr>
          <w:rFonts w:ascii="宋体" w:hAnsi="宋体" w:hint="eastAsia"/>
          <w:bCs/>
          <w:sz w:val="24"/>
          <w:szCs w:val="24"/>
          <w:lang w:val="en-US" w:eastAsia="zh-CN"/>
          <w:highlight w:val="auto"/>
        </w:rPr>
        <w:t>项目结余1,038.75</w:t>
      </w:r>
      <w:r>
        <w:rPr>
          <w:rFonts w:ascii="宋体" w:hAnsi="宋体" w:hint="eastAsia"/>
          <w:bCs/>
          <w:sz w:val="24"/>
          <w:szCs w:val="24"/>
          <w:lang w:val="en-GB"/>
          <w:highlight w:val="auto"/>
        </w:rPr>
        <w:t>万元。</w:t>
      </w:r>
    </w:p>
    <w:p>
      <w:pPr>
        <w:spacing w:line="560" w:lineRule="exact"/>
        <w:ind w:firstLineChars="196" w:firstLine="470"/>
        <w:jc w:val="center"/>
        <w:rPr>
          <w:rFonts w:ascii="宋体" w:hAnsi="宋体" w:hint="eastAsia"/>
          <w:bCs/>
          <w:sz w:val="24"/>
          <w:szCs w:val="24"/>
          <w:lang w:val="en-GB"/>
          <w:highlight w:val="auto"/>
        </w:rPr>
      </w:pPr>
      <w:r>
        <w:rPr>
          <w:rFonts w:ascii="宋体" w:hAnsi="宋体" w:hint="eastAsia"/>
          <w:bCs/>
          <w:sz w:val="24"/>
          <w:szCs w:val="24"/>
          <w:lang w:val="en-GB"/>
          <w:highlight w:val="auto"/>
        </w:rPr>
        <w:t>项目支出明细表</w:t>
      </w:r>
    </w:p>
    <w:tbl>
      <w:tblPr>
        <w:jc w:val="left"/>
        <w:tblInd w:w="0" w:type="dxa"/>
        <w:tblW w:w="7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563"/>
        <w:gridCol w:w="3301"/>
        <w:gridCol w:w="1215"/>
        <w:gridCol w:w="1230"/>
        <w:gridCol w:w="1455"/>
      </w:tblGrid>
      <w:tr>
        <w:trPr>
          <w:trHeight w:val="539"/>
        </w:trPr>
        <w:tc>
          <w:tcPr>
            <w:tcW w:w="563" w:type="dxa"/>
          </w:tcPr>
          <w:p>
            <w:pPr>
              <w:widowControl/>
              <w:jc w:val="center"/>
              <w:rPr>
                <w:rFonts w:ascii="等线" w:eastAsia="等线" w:cs="宋体" w:hAnsi="等线"/>
                <w:b/>
                <w:color w:val="000000"/>
                <w:kern w:val="0"/>
                <w:sz w:val="18"/>
                <w:szCs w:val="18"/>
                <w:highlight w:val="auto"/>
              </w:rPr>
            </w:pPr>
            <w:r>
              <w:rPr>
                <w:rFonts w:ascii="等线" w:eastAsia="等线" w:cs="宋体" w:hAnsi="等线" w:hint="eastAsia"/>
                <w:b/>
                <w:color w:val="000000"/>
                <w:kern w:val="0"/>
                <w:sz w:val="18"/>
                <w:szCs w:val="18"/>
                <w:highlight w:val="auto"/>
              </w:rPr>
              <w:t>序号</w:t>
            </w:r>
          </w:p>
        </w:tc>
        <w:tc>
          <w:tcPr>
            <w:tcW w:w="3301" w:type="dxa"/>
          </w:tcPr>
          <w:p>
            <w:pPr>
              <w:spacing w:line="560" w:lineRule="exact"/>
              <w:jc w:val="center"/>
              <w:rPr>
                <w:rFonts w:ascii="等线" w:eastAsia="等线" w:cs="宋体" w:hAnsi="等线"/>
                <w:b/>
                <w:color w:val="000000"/>
                <w:kern w:val="0"/>
                <w:sz w:val="18"/>
                <w:szCs w:val="18"/>
                <w:highlight w:val="auto"/>
              </w:rPr>
            </w:pPr>
            <w:r>
              <w:rPr>
                <w:rFonts w:ascii="等线" w:eastAsia="等线" w:cs="宋体" w:hAnsi="等线" w:hint="eastAsia"/>
                <w:b/>
                <w:color w:val="000000"/>
                <w:kern w:val="0"/>
                <w:sz w:val="18"/>
                <w:szCs w:val="18"/>
                <w:highlight w:val="auto"/>
              </w:rPr>
              <w:t>项目名称</w:t>
            </w:r>
          </w:p>
        </w:tc>
        <w:tc>
          <w:tcPr>
            <w:tcW w:w="1215" w:type="dxa"/>
          </w:tcPr>
          <w:p>
            <w:pPr>
              <w:spacing w:line="560" w:lineRule="exact"/>
              <w:jc w:val="center"/>
              <w:rPr>
                <w:rFonts w:ascii="等线" w:eastAsia="等线" w:cs="宋体" w:hAnsi="等线"/>
                <w:b/>
                <w:color w:val="000000"/>
                <w:kern w:val="0"/>
                <w:sz w:val="18"/>
                <w:szCs w:val="18"/>
                <w:highlight w:val="auto"/>
              </w:rPr>
            </w:pPr>
            <w:r>
              <w:rPr>
                <w:rFonts w:ascii="等线" w:eastAsia="等线" w:cs="宋体" w:hAnsi="等线" w:hint="eastAsia"/>
                <w:b/>
                <w:color w:val="000000"/>
                <w:kern w:val="0"/>
                <w:sz w:val="18"/>
                <w:szCs w:val="18"/>
                <w:highlight w:val="auto"/>
              </w:rPr>
              <w:t>预算金额</w:t>
            </w:r>
          </w:p>
        </w:tc>
        <w:tc>
          <w:tcPr>
            <w:tcW w:w="1230" w:type="dxa"/>
          </w:tcPr>
          <w:p>
            <w:pPr>
              <w:spacing w:line="560" w:lineRule="exact"/>
              <w:jc w:val="center"/>
              <w:rPr>
                <w:rFonts w:ascii="等线" w:eastAsia="等线" w:cs="宋体" w:hAnsi="等线"/>
                <w:b/>
                <w:color w:val="000000"/>
                <w:kern w:val="0"/>
                <w:sz w:val="18"/>
                <w:szCs w:val="18"/>
                <w:highlight w:val="auto"/>
              </w:rPr>
            </w:pPr>
            <w:r>
              <w:rPr>
                <w:rFonts w:ascii="等线" w:eastAsia="等线" w:cs="宋体" w:hAnsi="等线" w:hint="eastAsia"/>
                <w:b/>
                <w:color w:val="000000"/>
                <w:kern w:val="0"/>
                <w:sz w:val="18"/>
                <w:szCs w:val="18"/>
                <w:highlight w:val="auto"/>
              </w:rPr>
              <w:t>支出金额</w:t>
            </w:r>
          </w:p>
        </w:tc>
        <w:tc>
          <w:tcPr>
            <w:tcW w:w="1455" w:type="dxa"/>
          </w:tcPr>
          <w:p>
            <w:pPr>
              <w:spacing w:line="560" w:lineRule="exact"/>
              <w:jc w:val="center"/>
              <w:rPr>
                <w:rFonts w:ascii="等线" w:eastAsia="等线" w:cs="宋体" w:hAnsi="等线"/>
                <w:b/>
                <w:color w:val="000000"/>
                <w:kern w:val="0"/>
                <w:sz w:val="18"/>
                <w:szCs w:val="18"/>
                <w:highlight w:val="auto"/>
              </w:rPr>
            </w:pPr>
            <w:r>
              <w:rPr>
                <w:rFonts w:ascii="等线" w:eastAsia="等线" w:cs="宋体" w:hAnsi="等线" w:hint="eastAsia"/>
                <w:b/>
                <w:color w:val="000000"/>
                <w:kern w:val="0"/>
                <w:sz w:val="18"/>
                <w:szCs w:val="18"/>
                <w:highlight w:val="auto"/>
              </w:rPr>
              <w:t>项目结余</w:t>
            </w:r>
          </w:p>
        </w:tc>
      </w:tr>
      <w:tr>
        <w:trPr>
          <w:trHeight w:val="771"/>
        </w:trPr>
        <w:tc>
          <w:tcPr>
            <w:tcW w:w="563" w:type="dxa"/>
          </w:tcPr>
          <w:p>
            <w:pPr>
              <w:widowControl/>
              <w:jc w:val="center"/>
              <w:rPr>
                <w:rFonts w:ascii="等线" w:eastAsia="等线" w:cs="宋体" w:hAnsi="等线"/>
                <w:color w:val="000000"/>
                <w:kern w:val="0"/>
                <w:sz w:val="18"/>
                <w:szCs w:val="18"/>
                <w:highlight w:val="auto"/>
              </w:rPr>
            </w:pPr>
            <w:r>
              <w:rPr>
                <w:rFonts w:ascii="等线" w:eastAsia="等线" w:cs="宋体" w:hAnsi="等线" w:hint="eastAsia"/>
                <w:color w:val="000000"/>
                <w:kern w:val="0"/>
                <w:sz w:val="18"/>
                <w:szCs w:val="18"/>
                <w:highlight w:val="auto"/>
              </w:rPr>
              <w:t>1</w:t>
            </w:r>
          </w:p>
        </w:tc>
        <w:tc>
          <w:tcPr>
            <w:tcW w:w="3301" w:type="dxa"/>
            <w:tcBorders>
              <w:top w:val="single" w:sz="4" w:space="0" w:color="000000"/>
              <w:left w:val="single" w:sz="4" w:space="0" w:color="000000"/>
              <w:right w:val="single" w:sz="4" w:space="0" w:color="000000"/>
            </w:tcBorders>
          </w:tcPr>
          <w:p>
            <w:pPr>
              <w:widowControl/>
              <w:jc w:val="center"/>
              <w:rPr>
                <w:rFonts w:ascii="等线" w:eastAsia="等线" w:cs="宋体" w:hAnsi="等线" w:hint="eastAsia"/>
                <w:color w:val="000000"/>
                <w:kern w:val="0"/>
                <w:sz w:val="18"/>
                <w:szCs w:val="18"/>
                <w:lang w:eastAsia="zh-CN"/>
                <w:highlight w:val="auto"/>
              </w:rPr>
            </w:pPr>
            <w:r>
              <w:rPr>
                <w:rFonts w:ascii="等线" w:eastAsia="等线" w:cs="宋体" w:hAnsi="等线" w:hint="eastAsia"/>
                <w:color w:val="000000"/>
                <w:kern w:val="0"/>
                <w:sz w:val="18"/>
                <w:szCs w:val="18"/>
                <w:lang w:eastAsia="zh-CN"/>
                <w:highlight w:val="auto"/>
              </w:rPr>
              <w:t>津南区渌水道（双林农场）</w:t>
            </w:r>
            <w:r>
              <w:rPr>
                <w:rFonts w:ascii="等线" w:eastAsia="等线" w:cs="宋体" w:hAnsi="等线" w:hint="eastAsia"/>
                <w:color w:val="000000"/>
                <w:kern w:val="0"/>
                <w:sz w:val="18"/>
                <w:szCs w:val="18"/>
                <w:lang w:val="en-GB" w:eastAsia="zh-CN"/>
                <w:highlight w:val="auto"/>
              </w:rPr>
              <w:t>公共租赁租房J地块配套公建中学改造工程</w:t>
            </w:r>
            <w:r>
              <w:rPr>
                <w:rFonts w:ascii="等线" w:eastAsia="等线" w:cs="宋体" w:hAnsi="等线" w:hint="eastAsia"/>
                <w:color w:val="000000"/>
                <w:kern w:val="0"/>
                <w:sz w:val="18"/>
                <w:szCs w:val="18"/>
                <w:lang w:eastAsia="zh-CN"/>
                <w:highlight w:val="auto"/>
              </w:rPr>
              <w:t>项目</w:t>
            </w:r>
          </w:p>
        </w:tc>
        <w:tc>
          <w:tcPr>
            <w:tcW w:w="1215" w:type="dxa"/>
            <w:tcBorders>
              <w:top w:val="single" w:sz="4" w:space="0" w:color="000000"/>
              <w:left w:val="single" w:sz="4" w:space="0" w:color="000000"/>
              <w:right w:val="single" w:sz="4" w:space="0" w:color="000000"/>
            </w:tcBorders>
            <w:vAlign w:val="center"/>
          </w:tcPr>
          <w:p>
            <w:pPr>
              <w:jc w:val="right"/>
              <w:rPr>
                <w:rFonts w:ascii="宋体" w:eastAsia="宋体" w:cs="宋体" w:hAnsi="宋体"/>
                <w:color w:val="000000"/>
                <w:sz w:val="18"/>
                <w:szCs w:val="18"/>
                <w:lang w:val="en-US" w:eastAsia="zh-CN"/>
                <w:highlight w:val="auto"/>
              </w:rPr>
            </w:pPr>
            <w:r>
              <w:rPr>
                <w:rFonts w:ascii="宋体" w:cs="宋体" w:hAnsi="宋体" w:hint="eastAsia"/>
                <w:color w:val="000000"/>
                <w:sz w:val="18"/>
                <w:szCs w:val="18"/>
                <w:lang w:val="en-US" w:eastAsia="zh-CN"/>
                <w:highlight w:val="auto"/>
              </w:rPr>
              <w:t>3,038.75</w:t>
            </w:r>
          </w:p>
        </w:tc>
        <w:tc>
          <w:tcPr>
            <w:tcW w:w="1230" w:type="dxa"/>
            <w:tcBorders>
              <w:top w:val="single" w:sz="4" w:space="0" w:color="000000"/>
              <w:left w:val="single" w:sz="4" w:space="0" w:color="000000"/>
              <w:right w:val="single" w:sz="4" w:space="0" w:color="000000"/>
            </w:tcBorders>
            <w:vAlign w:val="center"/>
          </w:tcPr>
          <w:p>
            <w:pPr>
              <w:jc w:val="center"/>
              <w:rPr>
                <w:rFonts w:ascii="宋体" w:cs="宋体" w:hAnsi="宋体"/>
                <w:color w:val="000000"/>
                <w:sz w:val="18"/>
                <w:szCs w:val="18"/>
                <w:lang w:val="en-US"/>
                <w:highlight w:val="auto"/>
              </w:rPr>
            </w:pPr>
            <w:r>
              <w:rPr>
                <w:rFonts w:ascii="宋体" w:cs="宋体" w:hAnsi="宋体" w:hint="eastAsia"/>
                <w:color w:val="000000"/>
                <w:sz w:val="18"/>
                <w:szCs w:val="18"/>
                <w:lang w:val="en-US" w:eastAsia="zh-CN"/>
                <w:highlight w:val="auto"/>
              </w:rPr>
              <w:t>2,000.00</w:t>
            </w:r>
          </w:p>
        </w:tc>
        <w:tc>
          <w:tcPr>
            <w:tcW w:w="1455" w:type="dxa"/>
            <w:vAlign w:val="bottom"/>
          </w:tcPr>
          <w:p>
            <w:pPr>
              <w:jc w:val="center"/>
              <w:rPr>
                <w:rFonts w:ascii="宋体" w:cs="宋体" w:hAnsi="宋体"/>
                <w:color w:val="000000"/>
                <w:sz w:val="18"/>
                <w:szCs w:val="18"/>
                <w:lang w:val="en-US" w:eastAsia="zh-CN"/>
                <w:highlight w:val="auto"/>
              </w:rPr>
            </w:pPr>
            <w:r>
              <w:rPr>
                <w:rFonts w:ascii="宋体" w:cs="宋体" w:hAnsi="宋体" w:hint="eastAsia"/>
                <w:color w:val="000000"/>
                <w:sz w:val="18"/>
                <w:szCs w:val="18"/>
                <w:lang w:val="en-US" w:eastAsia="zh-CN"/>
                <w:highlight w:val="auto"/>
              </w:rPr>
              <w:t>1,038.75</w:t>
            </w:r>
          </w:p>
          <w:p>
            <w:pPr>
              <w:jc w:val="center"/>
              <w:rPr>
                <w:rFonts w:ascii="宋体" w:cs="宋体" w:hAnsi="宋体" w:hint="eastAsia"/>
                <w:color w:val="000000"/>
                <w:sz w:val="18"/>
                <w:szCs w:val="18"/>
                <w:lang w:val="en-US" w:eastAsia="zh-CN"/>
                <w:highlight w:val="auto"/>
              </w:rPr>
            </w:pPr>
          </w:p>
        </w:tc>
      </w:tr>
      <w:tr>
        <w:trPr>
          <w:trHeight w:val="634"/>
        </w:trPr>
        <w:tc>
          <w:tcPr>
            <w:tcW w:w="563" w:type="dxa"/>
          </w:tcPr>
          <w:p>
            <w:pPr>
              <w:widowControl/>
              <w:jc w:val="center"/>
              <w:rPr>
                <w:rFonts w:ascii="等线" w:eastAsia="等线" w:cs="宋体" w:hAnsi="等线"/>
                <w:color w:val="000000"/>
                <w:kern w:val="0"/>
                <w:sz w:val="18"/>
                <w:szCs w:val="18"/>
                <w:highlight w:val="auto"/>
              </w:rPr>
            </w:pPr>
          </w:p>
        </w:tc>
        <w:tc>
          <w:tcPr>
            <w:tcW w:w="3301" w:type="dxa"/>
            <w:tcBorders>
              <w:top w:val="single" w:sz="4" w:space="0" w:color="000000"/>
              <w:left w:val="single" w:sz="4" w:space="0" w:color="000000"/>
              <w:right w:val="single" w:sz="4" w:space="0" w:color="000000"/>
            </w:tcBorders>
            <w:vAlign w:val="center"/>
          </w:tcPr>
          <w:p>
            <w:pPr>
              <w:widowControl/>
              <w:jc w:val="center"/>
              <w:rPr>
                <w:rFonts w:ascii="等线" w:eastAsia="等线" w:cs="宋体" w:hAnsi="等线"/>
                <w:b/>
                <w:color w:val="000000"/>
                <w:kern w:val="0"/>
                <w:sz w:val="18"/>
                <w:szCs w:val="18"/>
                <w:highlight w:val="auto"/>
              </w:rPr>
            </w:pPr>
            <w:r>
              <w:rPr>
                <w:rFonts w:ascii="等线" w:eastAsia="等线" w:cs="宋体" w:hAnsi="等线" w:hint="eastAsia"/>
                <w:b/>
                <w:color w:val="000000"/>
                <w:kern w:val="0"/>
                <w:sz w:val="18"/>
                <w:szCs w:val="18"/>
                <w:highlight w:val="auto"/>
              </w:rPr>
              <w:t>合计</w:t>
            </w:r>
          </w:p>
        </w:tc>
        <w:tc>
          <w:tcPr>
            <w:tcW w:w="1215" w:type="dxa"/>
            <w:tcBorders>
              <w:top w:val="single" w:sz="4" w:space="0" w:color="000000"/>
              <w:left w:val="single" w:sz="4" w:space="0" w:color="000000"/>
              <w:right w:val="single" w:sz="4" w:space="0" w:color="000000"/>
            </w:tcBorders>
            <w:vAlign w:val="center"/>
          </w:tcPr>
          <w:p>
            <w:pPr>
              <w:jc w:val="right"/>
              <w:rPr>
                <w:rFonts w:ascii="宋体" w:eastAsia="宋体" w:cs="宋体" w:hAnsi="宋体"/>
                <w:b/>
                <w:color w:val="000000"/>
                <w:sz w:val="18"/>
                <w:szCs w:val="18"/>
                <w:lang w:val="en-US" w:eastAsia="zh-CN"/>
                <w:highlight w:val="auto"/>
              </w:rPr>
            </w:pPr>
            <w:r>
              <w:rPr>
                <w:rFonts w:ascii="宋体" w:cs="宋体" w:hAnsi="宋体" w:hint="eastAsia"/>
                <w:b w:val="0"/>
                <w:bCs/>
                <w:color w:val="000000"/>
                <w:sz w:val="18"/>
                <w:szCs w:val="18"/>
                <w:lang w:val="en-US" w:eastAsia="zh-CN"/>
                <w:highlight w:val="auto"/>
              </w:rPr>
              <w:t>3,038.75</w:t>
            </w:r>
          </w:p>
        </w:tc>
        <w:tc>
          <w:tcPr>
            <w:tcW w:w="1230" w:type="dxa"/>
            <w:tcBorders>
              <w:top w:val="single" w:sz="4" w:space="0" w:color="000000"/>
              <w:left w:val="single" w:sz="4" w:space="0" w:color="000000"/>
              <w:right w:val="single" w:sz="4" w:space="0" w:color="000000"/>
            </w:tcBorders>
            <w:vAlign w:val="center"/>
          </w:tcPr>
          <w:p>
            <w:pPr>
              <w:jc w:val="center"/>
              <w:rPr>
                <w:rFonts w:ascii="宋体" w:cs="宋体" w:hAnsi="宋体"/>
                <w:b/>
                <w:color w:val="000000"/>
                <w:sz w:val="18"/>
                <w:szCs w:val="18"/>
                <w:lang w:val="en-US"/>
                <w:highlight w:val="auto"/>
              </w:rPr>
            </w:pPr>
            <w:r>
              <w:rPr>
                <w:rFonts w:ascii="宋体" w:cs="宋体" w:hAnsi="宋体" w:hint="eastAsia"/>
                <w:color w:val="000000"/>
                <w:sz w:val="18"/>
                <w:szCs w:val="18"/>
                <w:lang w:val="en-US" w:eastAsia="zh-CN"/>
                <w:highlight w:val="auto"/>
              </w:rPr>
              <w:t>2,000.00</w:t>
            </w:r>
          </w:p>
        </w:tc>
        <w:tc>
          <w:tcPr>
            <w:tcW w:w="1455" w:type="dxa"/>
            <w:vAlign w:val="center"/>
          </w:tcPr>
          <w:p>
            <w:pPr>
              <w:widowControl/>
              <w:jc w:val="center"/>
              <w:rPr>
                <w:rFonts w:ascii="等线" w:eastAsia="等线" w:cs="宋体" w:hAnsi="等线"/>
                <w:b/>
                <w:color w:val="000000"/>
                <w:kern w:val="0"/>
                <w:sz w:val="18"/>
                <w:szCs w:val="18"/>
                <w:lang w:val="en-US" w:eastAsia="zh-CN"/>
                <w:highlight w:val="auto"/>
              </w:rPr>
            </w:pPr>
            <w:r>
              <w:rPr>
                <w:rFonts w:ascii="宋体" w:eastAsia="宋体" w:cs="宋体" w:hAnsi="宋体" w:hint="eastAsia"/>
                <w:b w:val="0"/>
                <w:bCs/>
                <w:color w:val="000000"/>
                <w:kern w:val="0"/>
                <w:sz w:val="18"/>
                <w:szCs w:val="18"/>
                <w:lang w:val="en-US" w:eastAsia="zh-CN"/>
                <w:highlight w:val="auto"/>
              </w:rPr>
              <w:t>1,038.75</w:t>
            </w:r>
          </w:p>
        </w:tc>
      </w:tr>
    </w:tbl>
    <w:p>
      <w:pPr>
        <w:spacing w:line="560" w:lineRule="exact"/>
        <w:jc w:val="both"/>
        <w:rPr>
          <w:rFonts w:ascii="宋体" w:eastAsia="宋体" w:hAnsi="宋体"/>
          <w:bCs/>
          <w:sz w:val="24"/>
          <w:szCs w:val="24"/>
          <w:lang w:val="en-US" w:eastAsia="zh-CN"/>
          <w:highlight w:val="auto"/>
        </w:rPr>
      </w:pPr>
      <w:r>
        <w:rPr>
          <w:rFonts w:ascii="宋体" w:hAnsi="宋体" w:hint="eastAsia"/>
          <w:bCs/>
          <w:sz w:val="24"/>
          <w:szCs w:val="24"/>
          <w:lang w:val="en-GB" w:eastAsia="zh-CN"/>
          <w:highlight w:val="auto"/>
        </w:rPr>
        <w:t>备注：项目支出明细详见附表</w:t>
      </w:r>
      <w:r>
        <w:rPr>
          <w:rFonts w:ascii="宋体" w:hAnsi="宋体" w:hint="eastAsia"/>
          <w:bCs/>
          <w:sz w:val="24"/>
          <w:szCs w:val="24"/>
          <w:lang w:val="en-US" w:eastAsia="zh-CN"/>
          <w:highlight w:val="auto"/>
        </w:rPr>
        <w:t>2</w:t>
      </w:r>
    </w:p>
    <w:p>
      <w:pPr>
        <w:spacing w:line="560" w:lineRule="exact"/>
        <w:ind w:firstLineChars="196" w:firstLine="470"/>
        <w:jc w:val="center"/>
        <w:rPr>
          <w:rFonts w:ascii="宋体" w:hAnsi="宋体" w:hint="eastAsia"/>
          <w:bCs/>
          <w:sz w:val="24"/>
          <w:szCs w:val="24"/>
          <w:lang w:val="en-GB"/>
          <w:highlight w:val="auto"/>
        </w:rPr>
      </w:pPr>
    </w:p>
    <w:p>
      <w:pPr>
        <w:spacing w:line="560" w:lineRule="exact"/>
        <w:rPr>
          <w:rFonts w:ascii="宋体" w:hAnsi="宋体" w:hint="eastAsia"/>
          <w:bCs/>
          <w:sz w:val="24"/>
          <w:szCs w:val="24"/>
          <w:lang w:val="en-GB"/>
          <w:highlight w:val="auto"/>
        </w:rPr>
      </w:pPr>
      <w:r>
        <w:rPr>
          <w:rFonts w:ascii="宋体" w:hAnsi="宋体" w:hint="eastAsia"/>
          <w:bCs/>
          <w:sz w:val="24"/>
          <w:szCs w:val="24"/>
          <w:lang w:val="en-GB"/>
          <w:highlight w:val="auto"/>
        </w:rPr>
        <w:t>（2）政府采购执行情况</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评价组查看了所有项目的政府采购文件、合同、付款流程等相关文件，项目基本符合财务管理制度的规定。</w:t>
      </w:r>
    </w:p>
    <w:p>
      <w:pPr>
        <w:numPr>
          <w:ilvl w:val="0"/>
          <w:numId w:val="3"/>
        </w:numPr>
        <w:spacing w:line="560" w:lineRule="exact"/>
        <w:ind w:left="0"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存在问题</w:t>
      </w:r>
    </w:p>
    <w:p>
      <w:pPr>
        <w:spacing w:line="560" w:lineRule="exact"/>
        <w:ind w:firstLineChars="196" w:firstLine="470"/>
        <w:rPr>
          <w:rFonts w:ascii="宋体" w:hAnsi="宋体"/>
          <w:bCs/>
          <w:sz w:val="24"/>
          <w:szCs w:val="24"/>
          <w:lang w:val="en-GB"/>
          <w:highlight w:val="auto"/>
        </w:rPr>
      </w:pPr>
      <w:r>
        <w:rPr>
          <w:rFonts w:ascii="宋体" w:hAnsi="宋体" w:hint="eastAsia"/>
          <w:bCs/>
          <w:sz w:val="24"/>
          <w:szCs w:val="24"/>
          <w:lang w:val="en-GB"/>
          <w:highlight w:val="auto"/>
        </w:rPr>
        <w:t>（</w:t>
      </w:r>
      <w:r>
        <w:rPr>
          <w:rFonts w:ascii="宋体" w:hAnsi="宋体" w:hint="eastAsia"/>
          <w:bCs/>
          <w:sz w:val="24"/>
          <w:szCs w:val="24"/>
          <w:lang w:val="en-US" w:eastAsia="zh-CN"/>
          <w:highlight w:val="auto"/>
        </w:rPr>
        <w:t>一</w:t>
      </w:r>
      <w:r>
        <w:rPr>
          <w:rFonts w:ascii="宋体" w:hAnsi="宋体" w:hint="eastAsia"/>
          <w:bCs/>
          <w:sz w:val="24"/>
          <w:szCs w:val="24"/>
          <w:lang w:val="en-GB"/>
          <w:highlight w:val="auto"/>
        </w:rPr>
        <w:t>）项目业务管理方面存在问题。</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w:t>
      </w:r>
      <w:r>
        <w:rPr>
          <w:rFonts w:ascii="宋体" w:hAnsi="宋体" w:hint="eastAsia"/>
          <w:bCs/>
          <w:sz w:val="24"/>
          <w:szCs w:val="24"/>
          <w:lang w:val="en-US" w:eastAsia="zh-CN"/>
          <w:highlight w:val="auto"/>
        </w:rPr>
        <w:t>1</w:t>
      </w:r>
      <w:r>
        <w:rPr>
          <w:rFonts w:ascii="宋体" w:hAnsi="宋体" w:hint="eastAsia"/>
          <w:bCs/>
          <w:sz w:val="24"/>
          <w:szCs w:val="24"/>
          <w:lang w:val="en-GB"/>
          <w:highlight w:val="auto"/>
        </w:rPr>
        <w:t>）</w:t>
      </w:r>
      <w:r>
        <w:rPr>
          <w:rFonts w:ascii="宋体" w:hAnsi="宋体" w:hint="eastAsia"/>
          <w:bCs/>
          <w:sz w:val="24"/>
          <w:szCs w:val="24"/>
          <w:lang w:val="en-US" w:eastAsia="zh-CN"/>
          <w:highlight w:val="auto"/>
        </w:rPr>
        <w:t>合同的审查不符合合同管理制度的要求。</w:t>
      </w:r>
      <w:r>
        <w:rPr>
          <w:rFonts w:ascii="宋体" w:hAnsi="宋体" w:hint="eastAsia"/>
          <w:bCs/>
          <w:sz w:val="24"/>
          <w:szCs w:val="24"/>
          <w:lang w:val="en-GB"/>
          <w:highlight w:val="auto"/>
        </w:rPr>
        <w:t>例如：</w:t>
      </w:r>
      <w:r>
        <w:rPr>
          <w:rFonts w:ascii="宋体" w:hAnsi="宋体"/>
          <w:bCs/>
          <w:sz w:val="24"/>
          <w:szCs w:val="24"/>
          <w:lang w:val="en-GB"/>
          <w:highlight w:val="auto"/>
        </w:rPr>
        <w:t xml:space="preserve"> </w:t>
      </w:r>
      <w:r>
        <w:rPr>
          <w:rFonts w:ascii="宋体" w:hAnsi="宋体" w:hint="eastAsia"/>
          <w:bCs/>
          <w:sz w:val="24"/>
          <w:szCs w:val="24"/>
          <w:lang w:val="en-GB" w:eastAsia="zh-CN"/>
          <w:highlight w:val="auto"/>
        </w:rPr>
        <w:t>厨房设备采购合同未标明合同签订日期；《天津市建设施工合同》</w:t>
      </w:r>
      <w:r>
        <w:rPr>
          <w:rFonts w:ascii="宋体" w:hAnsi="宋体" w:hint="eastAsia"/>
          <w:bCs/>
          <w:sz w:val="24"/>
          <w:szCs w:val="24"/>
          <w:lang w:val="en-GB"/>
          <w:highlight w:val="auto"/>
        </w:rPr>
        <w:t>合同约定由合同管理部门备案后生效，未见相关备案盖章。</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w:t>
      </w:r>
      <w:r>
        <w:rPr>
          <w:rFonts w:ascii="宋体" w:hAnsi="宋体" w:hint="eastAsia"/>
          <w:bCs/>
          <w:sz w:val="24"/>
          <w:szCs w:val="24"/>
          <w:lang w:val="en-US" w:eastAsia="zh-CN"/>
          <w:highlight w:val="auto"/>
        </w:rPr>
        <w:t>2</w:t>
      </w:r>
      <w:r>
        <w:rPr>
          <w:rFonts w:ascii="宋体" w:hAnsi="宋体" w:hint="eastAsia"/>
          <w:bCs/>
          <w:sz w:val="24"/>
          <w:szCs w:val="24"/>
          <w:lang w:val="en-GB"/>
          <w:highlight w:val="auto"/>
        </w:rPr>
        <w:t>）招投标环节实施细节把控不严。例如：</w:t>
      </w:r>
      <w:r>
        <w:rPr>
          <w:rFonts w:ascii="宋体" w:hAnsi="宋体" w:hint="eastAsia"/>
          <w:bCs/>
          <w:sz w:val="24"/>
          <w:szCs w:val="24"/>
          <w:lang w:val="en-GB" w:eastAsia="zh-CN"/>
          <w:highlight w:val="auto"/>
        </w:rPr>
        <w:t>工程监理的招投标资料中无中标公示截图</w:t>
      </w:r>
    </w:p>
    <w:p>
      <w:pPr>
        <w:spacing w:line="560" w:lineRule="exact"/>
        <w:ind w:firstLineChars="196" w:firstLine="470"/>
        <w:rPr>
          <w:rFonts w:ascii="宋体" w:eastAsia="宋体" w:hAnsi="宋体"/>
          <w:bCs/>
          <w:sz w:val="24"/>
          <w:szCs w:val="24"/>
          <w:lang w:val="en-US" w:eastAsia="zh-CN"/>
          <w:highlight w:val="auto"/>
        </w:rPr>
      </w:pPr>
      <w:r>
        <w:rPr>
          <w:rFonts w:ascii="宋体" w:hAnsi="宋体" w:hint="eastAsia"/>
          <w:bCs/>
          <w:sz w:val="24"/>
          <w:szCs w:val="24"/>
          <w:lang w:val="en-GB" w:eastAsia="zh-CN"/>
          <w:highlight w:val="auto"/>
        </w:rPr>
        <w:t>（</w:t>
      </w:r>
      <w:r>
        <w:rPr>
          <w:rFonts w:ascii="宋体" w:hAnsi="宋体" w:hint="eastAsia"/>
          <w:bCs/>
          <w:sz w:val="24"/>
          <w:szCs w:val="24"/>
          <w:lang w:val="en-US" w:eastAsia="zh-CN"/>
          <w:highlight w:val="auto"/>
        </w:rPr>
        <w:t>3</w:t>
      </w:r>
      <w:r>
        <w:rPr>
          <w:rFonts w:ascii="宋体" w:hAnsi="宋体" w:hint="eastAsia"/>
          <w:bCs/>
          <w:sz w:val="24"/>
          <w:szCs w:val="24"/>
          <w:lang w:val="en-GB" w:eastAsia="zh-CN"/>
          <w:highlight w:val="auto"/>
        </w:rPr>
        <w:t>）文件审核不严格，存在数据不一致的情况。</w:t>
      </w:r>
      <w:r>
        <w:rPr>
          <w:rFonts w:ascii="宋体" w:hAnsi="宋体" w:hint="eastAsia"/>
          <w:bCs/>
          <w:sz w:val="24"/>
          <w:szCs w:val="24"/>
          <w:lang w:val="en-US" w:eastAsia="zh-CN"/>
          <w:highlight w:val="auto"/>
        </w:rPr>
        <w:t>例</w:t>
      </w:r>
      <w:r>
        <w:rPr>
          <w:rFonts w:ascii="宋体" w:hAnsi="宋体" w:hint="eastAsia"/>
          <w:bCs/>
          <w:sz w:val="24"/>
          <w:szCs w:val="24"/>
          <w:lang w:val="en-GB" w:eastAsia="zh-CN"/>
          <w:highlight w:val="auto"/>
        </w:rPr>
        <w:t>如：项目决算审计报告中注明开工日期为</w:t>
      </w:r>
      <w:r>
        <w:rPr>
          <w:rFonts w:ascii="宋体" w:hAnsi="宋体" w:hint="eastAsia"/>
          <w:bCs/>
          <w:sz w:val="24"/>
          <w:szCs w:val="24"/>
          <w:lang w:val="en-US" w:eastAsia="zh-CN"/>
          <w:highlight w:val="auto"/>
        </w:rPr>
        <w:t>2020年6月5日，竣工日期为2020年10月5日，工程竣工验收报告中注明开工日期为2020年4月20日，验收报告中最晚的时间为2020年9月16日，决算审计报告中预算投资额金额（注明为全部合同结算价款总数）为3,041.24万元，但实际合同金额为3,049.44万元。</w:t>
      </w:r>
    </w:p>
    <w:p>
      <w:pPr>
        <w:spacing w:line="560" w:lineRule="exact"/>
        <w:ind w:firstLineChars="196" w:firstLine="470"/>
        <w:rPr>
          <w:rFonts w:ascii="宋体" w:hAnsi="宋体" w:hint="eastAsia"/>
          <w:bCs/>
          <w:sz w:val="24"/>
          <w:szCs w:val="24"/>
          <w:lang w:val="en-US" w:eastAsia="zh-CN"/>
          <w:highlight w:val="auto"/>
        </w:rPr>
      </w:pPr>
      <w:r>
        <w:rPr>
          <w:rFonts w:ascii="宋体" w:hAnsi="宋体" w:hint="eastAsia"/>
          <w:bCs/>
          <w:sz w:val="24"/>
          <w:szCs w:val="24"/>
          <w:lang w:val="en-GB" w:eastAsia="zh-CN"/>
          <w:highlight w:val="auto"/>
        </w:rPr>
        <w:t>（</w:t>
      </w:r>
      <w:r>
        <w:rPr>
          <w:rFonts w:ascii="宋体" w:hAnsi="宋体" w:hint="eastAsia"/>
          <w:bCs/>
          <w:sz w:val="24"/>
          <w:szCs w:val="24"/>
          <w:lang w:val="en-US" w:eastAsia="zh-CN"/>
          <w:highlight w:val="auto"/>
        </w:rPr>
        <w:t>二</w:t>
      </w:r>
      <w:r>
        <w:rPr>
          <w:rFonts w:ascii="宋体" w:hAnsi="宋体" w:hint="eastAsia"/>
          <w:bCs/>
          <w:sz w:val="24"/>
          <w:szCs w:val="24"/>
          <w:lang w:val="en-GB" w:eastAsia="zh-CN"/>
          <w:highlight w:val="auto"/>
        </w:rPr>
        <w:t>）</w:t>
      </w:r>
      <w:r>
        <w:rPr>
          <w:rFonts w:ascii="宋体" w:hAnsi="宋体" w:hint="eastAsia"/>
          <w:bCs/>
          <w:sz w:val="24"/>
          <w:szCs w:val="24"/>
          <w:lang w:val="en-US" w:eastAsia="zh-CN"/>
          <w:highlight w:val="auto"/>
        </w:rPr>
        <w:t>项目自评表及自评报告中存在的问题</w:t>
      </w:r>
    </w:p>
    <w:p>
      <w:pPr>
        <w:spacing w:line="560" w:lineRule="exact"/>
        <w:ind w:firstLineChars="196" w:firstLine="470"/>
        <w:rPr>
          <w:rFonts w:ascii="宋体" w:hAnsi="宋体"/>
          <w:bCs/>
          <w:sz w:val="24"/>
          <w:szCs w:val="24"/>
          <w:lang w:val="en-US"/>
          <w:highlight w:val="auto"/>
        </w:rPr>
      </w:pPr>
      <w:r>
        <w:rPr>
          <w:rFonts w:ascii="宋体" w:hAnsi="宋体" w:hint="eastAsia"/>
          <w:bCs/>
          <w:sz w:val="24"/>
          <w:szCs w:val="24"/>
          <w:lang w:val="en-US" w:eastAsia="zh-CN"/>
          <w:highlight w:val="auto"/>
        </w:rPr>
        <w:t>津南</w:t>
      </w:r>
      <w:r>
        <w:rPr>
          <w:rFonts w:ascii="宋体" w:hAnsi="宋体" w:hint="eastAsia"/>
          <w:bCs/>
          <w:sz w:val="24"/>
          <w:szCs w:val="24"/>
          <w:lang w:val="en-GB"/>
          <w:highlight w:val="auto"/>
        </w:rPr>
        <w:t>区教育局津南区渌水道（双林农场）公共租赁住房J地块配套公建中学改造工程项目</w:t>
      </w:r>
      <w:r>
        <w:rPr>
          <w:rFonts w:ascii="宋体" w:hAnsi="宋体" w:hint="eastAsia"/>
          <w:bCs/>
          <w:sz w:val="24"/>
          <w:szCs w:val="24"/>
          <w:lang w:val="en-GB" w:eastAsia="zh-CN"/>
          <w:highlight w:val="auto"/>
        </w:rPr>
        <w:t>自评报告</w:t>
      </w:r>
      <w:r>
        <w:rPr>
          <w:rFonts w:ascii="宋体" w:hAnsi="宋体" w:hint="eastAsia"/>
          <w:bCs/>
          <w:sz w:val="24"/>
          <w:szCs w:val="24"/>
          <w:lang w:val="en-US" w:eastAsia="zh-CN"/>
          <w:highlight w:val="auto"/>
        </w:rPr>
        <w:t>论述不够详实</w:t>
      </w:r>
      <w:r>
        <w:rPr>
          <w:rFonts w:ascii="宋体" w:hAnsi="宋体" w:hint="eastAsia"/>
          <w:bCs/>
          <w:sz w:val="24"/>
          <w:szCs w:val="24"/>
          <w:lang w:val="en-GB" w:eastAsia="zh-CN"/>
          <w:highlight w:val="auto"/>
        </w:rPr>
        <w:t>。</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六.评价结论及建议</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（一）评价结论。</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通过实地核查和指标分析，绩效评价组认为：</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1.</w:t>
      </w:r>
      <w:r>
        <w:rPr>
          <w:rFonts w:ascii="宋体" w:hAnsi="宋体" w:hint="eastAsia"/>
          <w:bCs/>
          <w:sz w:val="24"/>
          <w:szCs w:val="24"/>
          <w:lang w:val="en-GB" w:eastAsia="zh-CN"/>
          <w:highlight w:val="auto"/>
        </w:rPr>
        <w:t>津南区</w:t>
      </w:r>
      <w:r>
        <w:rPr>
          <w:rFonts w:ascii="宋体" w:hAnsi="宋体" w:hint="eastAsia"/>
          <w:bCs/>
          <w:sz w:val="24"/>
          <w:szCs w:val="24"/>
          <w:lang w:val="en-GB"/>
          <w:highlight w:val="auto"/>
        </w:rPr>
        <w:t>渌水道（双林农场）公共租赁住房J地块配套公建中学改造工程既定工作目标，</w:t>
      </w:r>
      <w:r>
        <w:rPr>
          <w:rFonts w:ascii="宋体" w:hAnsi="宋体" w:hint="eastAsia"/>
          <w:bCs/>
          <w:sz w:val="24"/>
          <w:szCs w:val="24"/>
          <w:lang w:val="en-GB" w:eastAsia="zh-CN"/>
          <w:highlight w:val="auto"/>
        </w:rPr>
        <w:t>津南区</w:t>
      </w:r>
      <w:r>
        <w:rPr>
          <w:rFonts w:ascii="宋体" w:hAnsi="宋体" w:hint="eastAsia"/>
          <w:bCs/>
          <w:sz w:val="24"/>
          <w:szCs w:val="24"/>
          <w:lang w:val="en-GB"/>
          <w:highlight w:val="auto"/>
        </w:rPr>
        <w:t>教育局渌水道（双林农场）公共租赁住房J地块配套公建中学改造工程项目工程完工，并通过验收；</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2.渌水道（双林农场）公共租赁住房J地块配套公建中学改造工程项目制定的管理办法合法、合规，项目资金拨付及使用基本符合财务管理制度，管理制度较完善，但项目执行过程中存在若干问题。</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评价结论：根据《渌水道（双林农场）公共租赁住房J地块配套公建中学改造工程项目绩效评价指标评分表》，项目绩效评价最终评分为</w:t>
      </w:r>
      <w:r>
        <w:rPr>
          <w:rFonts w:ascii="宋体" w:hAnsi="宋体" w:hint="eastAsia"/>
          <w:bCs/>
          <w:sz w:val="24"/>
          <w:szCs w:val="24"/>
          <w:lang w:val="en-US" w:eastAsia="zh-CN"/>
          <w:highlight w:val="auto"/>
        </w:rPr>
        <w:t>90.3</w:t>
      </w:r>
      <w:r>
        <w:rPr>
          <w:rFonts w:ascii="宋体" w:hAnsi="宋体" w:hint="eastAsia"/>
          <w:bCs/>
          <w:sz w:val="24"/>
          <w:szCs w:val="24"/>
          <w:lang w:val="en-GB"/>
          <w:highlight w:val="auto"/>
        </w:rPr>
        <w:t>分，项目绩效评价结果为</w:t>
      </w:r>
      <w:r>
        <w:rPr>
          <w:rFonts w:ascii="宋体" w:hAnsi="宋体" w:hint="eastAsia"/>
          <w:bCs/>
          <w:sz w:val="24"/>
          <w:szCs w:val="24"/>
          <w:lang w:val="en-US" w:eastAsia="zh-CN"/>
          <w:highlight w:val="auto"/>
        </w:rPr>
        <w:t>优</w:t>
      </w:r>
      <w:r>
        <w:rPr>
          <w:rFonts w:ascii="宋体" w:hAnsi="宋体" w:hint="eastAsia"/>
          <w:bCs/>
          <w:sz w:val="24"/>
          <w:szCs w:val="24"/>
          <w:lang w:val="en-GB"/>
          <w:highlight w:val="auto"/>
        </w:rPr>
        <w:t>。</w:t>
      </w:r>
    </w:p>
    <w:p>
      <w:pPr>
        <w:spacing w:line="560" w:lineRule="exact"/>
        <w:ind w:firstLineChars="196" w:firstLine="470"/>
        <w:rPr>
          <w:rFonts w:ascii="宋体" w:hAnsi="宋体" w:hint="eastAsia"/>
          <w:bCs/>
          <w:sz w:val="24"/>
          <w:szCs w:val="24"/>
          <w:lang w:val="en-GB"/>
          <w:highlight w:val="auto"/>
        </w:rPr>
      </w:pPr>
      <w:r>
        <w:rPr>
          <w:rFonts w:ascii="宋体" w:hAnsi="宋体" w:hint="eastAsia"/>
          <w:bCs/>
          <w:sz w:val="24"/>
          <w:szCs w:val="24"/>
          <w:lang w:val="en-GB"/>
          <w:highlight w:val="auto"/>
        </w:rPr>
        <w:t>（二）相关建议。</w:t>
      </w:r>
    </w:p>
    <w:p>
      <w:pPr>
        <w:spacing w:line="560" w:lineRule="exact"/>
        <w:ind w:firstLineChars="196" w:firstLine="470"/>
        <w:rPr>
          <w:rFonts w:ascii="宋体" w:hAnsi="宋体"/>
          <w:bCs/>
          <w:sz w:val="24"/>
          <w:szCs w:val="24"/>
          <w:lang w:val="en-GB"/>
          <w:highlight w:val="auto"/>
        </w:rPr>
      </w:pPr>
      <w:r>
        <w:rPr>
          <w:rFonts w:ascii="宋体" w:hAnsi="宋体" w:hint="eastAsia"/>
          <w:bCs/>
          <w:sz w:val="24"/>
          <w:szCs w:val="24"/>
          <w:lang w:val="en-GB"/>
          <w:highlight w:val="auto"/>
        </w:rPr>
        <w:t>1．建议加强业务管理，</w:t>
      </w:r>
      <w:bookmarkStart w:id="1" w:name="_Hlk36115159"/>
      <w:r>
        <w:rPr>
          <w:rFonts w:ascii="宋体" w:hAnsi="宋体" w:hint="eastAsia"/>
          <w:bCs/>
          <w:sz w:val="24"/>
          <w:szCs w:val="24"/>
          <w:lang w:val="en-GB"/>
          <w:highlight w:val="auto"/>
        </w:rPr>
        <w:t>严格按照</w:t>
      </w:r>
      <w:bookmarkEnd w:id="1"/>
      <w:r>
        <w:rPr>
          <w:rFonts w:ascii="宋体" w:hAnsi="宋体" w:hint="eastAsia"/>
          <w:bCs/>
          <w:sz w:val="24"/>
          <w:szCs w:val="24"/>
          <w:lang w:val="en-GB"/>
          <w:highlight w:val="auto"/>
        </w:rPr>
        <w:t>制定的相关业务规章制度执行。</w:t>
      </w:r>
    </w:p>
    <w:p>
      <w:pPr>
        <w:spacing w:line="560" w:lineRule="exact"/>
        <w:ind w:firstLineChars="196" w:firstLine="470"/>
        <w:rPr>
          <w:rFonts w:ascii="宋体" w:hAnsi="宋体"/>
          <w:bCs/>
          <w:sz w:val="24"/>
          <w:szCs w:val="24"/>
          <w:lang w:val="en-GB"/>
          <w:highlight w:val="auto"/>
        </w:rPr>
      </w:pPr>
      <w:r>
        <w:rPr>
          <w:rFonts w:ascii="宋体" w:hAnsi="宋体" w:hint="eastAsia"/>
          <w:bCs/>
          <w:sz w:val="24"/>
          <w:szCs w:val="24"/>
          <w:lang w:val="en-GB"/>
          <w:highlight w:val="auto"/>
        </w:rPr>
        <w:t>2.</w:t>
      </w:r>
      <w:r>
        <w:rPr>
          <w:rFonts w:hint="eastAsia"/>
          <w:highlight w:val="auto"/>
        </w:rPr>
        <w:t xml:space="preserve"> </w:t>
      </w:r>
      <w:r>
        <w:rPr>
          <w:rFonts w:ascii="宋体" w:hAnsi="宋体" w:hint="eastAsia"/>
          <w:bCs/>
          <w:sz w:val="24"/>
          <w:szCs w:val="24"/>
          <w:lang w:val="en-GB" w:eastAsia="zh-CN"/>
          <w:highlight w:val="auto"/>
        </w:rPr>
        <w:t>提高</w:t>
      </w:r>
      <w:r>
        <w:rPr>
          <w:rFonts w:ascii="宋体" w:hAnsi="宋体" w:hint="eastAsia"/>
          <w:bCs/>
          <w:sz w:val="24"/>
          <w:szCs w:val="24"/>
          <w:lang w:val="en-GB"/>
          <w:highlight w:val="auto"/>
        </w:rPr>
        <w:t>自评报告撰写</w:t>
      </w:r>
      <w:r>
        <w:rPr>
          <w:rFonts w:ascii="宋体" w:hAnsi="宋体" w:hint="eastAsia"/>
          <w:bCs/>
          <w:sz w:val="24"/>
          <w:szCs w:val="24"/>
          <w:lang w:val="en-GB" w:eastAsia="zh-CN"/>
          <w:highlight w:val="auto"/>
        </w:rPr>
        <w:t>的质量</w:t>
      </w:r>
      <w:r>
        <w:rPr>
          <w:rFonts w:ascii="宋体" w:hAnsi="宋体" w:hint="eastAsia"/>
          <w:bCs/>
          <w:sz w:val="24"/>
          <w:szCs w:val="24"/>
          <w:lang w:val="en-GB"/>
          <w:highlight w:val="auto"/>
        </w:rPr>
        <w:t xml:space="preserve">。 </w:t>
      </w:r>
      <w:r>
        <w:rPr>
          <w:rFonts w:ascii="宋体" w:hAnsi="宋体"/>
          <w:bCs/>
          <w:sz w:val="24"/>
          <w:szCs w:val="24"/>
          <w:lang w:val="en-GB"/>
          <w:highlight w:val="auto"/>
        </w:rPr>
        <w:t xml:space="preserve">  </w:t>
      </w:r>
    </w:p>
    <w:p>
      <w:pPr>
        <w:spacing w:line="560" w:lineRule="exact"/>
        <w:ind w:firstLineChars="196" w:firstLine="470"/>
        <w:jc w:val="right"/>
        <w:rPr>
          <w:rFonts w:ascii="宋体" w:hAnsi="宋体"/>
          <w:bCs/>
          <w:sz w:val="24"/>
          <w:szCs w:val="24"/>
          <w:lang w:val="en-GB"/>
          <w:highlight w:val="auto"/>
        </w:rPr>
      </w:pPr>
      <w:r>
        <w:rPr>
          <w:rFonts w:ascii="宋体" w:hAnsi="宋体" w:hint="eastAsia"/>
          <w:bCs/>
          <w:sz w:val="24"/>
          <w:szCs w:val="24"/>
          <w:lang w:val="en-GB"/>
          <w:highlight w:val="auto"/>
        </w:rPr>
        <w:t xml:space="preserve"> </w:t>
      </w:r>
    </w:p>
    <w:p>
      <w:pPr>
        <w:spacing w:line="560" w:lineRule="exact"/>
        <w:ind w:firstLineChars="196" w:firstLine="470"/>
        <w:jc w:val="right"/>
        <w:rPr>
          <w:rFonts w:ascii="宋体" w:hAnsi="宋体"/>
          <w:bCs/>
          <w:sz w:val="24"/>
          <w:szCs w:val="24"/>
          <w:lang w:val="en-GB"/>
          <w:highlight w:val="auto"/>
        </w:rPr>
      </w:pPr>
    </w:p>
    <w:p>
      <w:pPr>
        <w:spacing w:line="560" w:lineRule="exact"/>
        <w:ind w:firstLineChars="196" w:firstLine="470"/>
        <w:jc w:val="right"/>
        <w:rPr>
          <w:rFonts w:ascii="宋体" w:hAnsi="宋体"/>
          <w:bCs/>
          <w:sz w:val="24"/>
          <w:szCs w:val="24"/>
          <w:lang w:val="en-GB"/>
          <w:highlight w:val="auto"/>
        </w:rPr>
      </w:pPr>
      <w:r>
        <w:rPr>
          <w:rFonts w:ascii="宋体" w:hAnsi="宋体" w:hint="eastAsia"/>
          <w:sz w:val="24"/>
          <w:szCs w:val="24"/>
          <w:highlight w:val="auto"/>
        </w:rPr>
        <w:t xml:space="preserve">普华津融（天津）税务师事务所有限公司   </w:t>
      </w:r>
    </w:p>
    <w:p>
      <w:pPr>
        <w:spacing w:line="560" w:lineRule="exact"/>
        <w:ind w:firstLineChars="196" w:firstLine="470"/>
        <w:jc w:val="right"/>
        <w:rPr>
          <w:rFonts w:ascii="宋体" w:hAnsi="宋体"/>
          <w:bCs/>
          <w:sz w:val="24"/>
          <w:szCs w:val="24"/>
          <w:lang w:val="en-GB"/>
          <w:highlight w:val="auto"/>
        </w:rPr>
      </w:pPr>
      <w:r>
        <w:rPr>
          <w:rFonts w:ascii="宋体" w:hAnsi="宋体" w:hint="eastAsia"/>
          <w:bCs/>
          <w:sz w:val="24"/>
          <w:szCs w:val="24"/>
          <w:lang w:val="en-GB"/>
          <w:highlight w:val="auto"/>
        </w:rPr>
        <w:t>二○二年</w:t>
      </w:r>
      <w:r>
        <w:rPr>
          <w:rFonts w:ascii="宋体" w:hAnsi="宋体" w:hint="eastAsia"/>
          <w:bCs/>
          <w:sz w:val="24"/>
          <w:szCs w:val="24"/>
          <w:lang w:val="en-GB" w:eastAsia="zh-CN"/>
          <w:highlight w:val="auto"/>
        </w:rPr>
        <w:t>十</w:t>
      </w:r>
      <w:r>
        <w:rPr>
          <w:rFonts w:ascii="宋体" w:hAnsi="宋体" w:hint="eastAsia"/>
          <w:bCs/>
          <w:sz w:val="24"/>
          <w:szCs w:val="24"/>
          <w:lang w:val="en-GB"/>
          <w:highlight w:val="auto"/>
        </w:rPr>
        <w:t>月</w:t>
      </w:r>
      <w:r>
        <w:rPr>
          <w:rFonts w:ascii="宋体" w:hAnsi="宋体" w:hint="eastAsia"/>
          <w:bCs/>
          <w:sz w:val="24"/>
          <w:szCs w:val="24"/>
          <w:lang w:val="en-US" w:eastAsia="zh-CN"/>
          <w:highlight w:val="auto"/>
        </w:rPr>
        <w:t>二十七</w:t>
      </w:r>
      <w:r>
        <w:rPr>
          <w:rFonts w:ascii="宋体" w:hAnsi="宋体" w:hint="eastAsia"/>
          <w:bCs/>
          <w:sz w:val="24"/>
          <w:szCs w:val="24"/>
          <w:lang w:val="en-GB"/>
          <w:highlight w:val="auto"/>
        </w:rPr>
        <w:t>日</w:t>
      </w:r>
    </w:p>
    <w:p>
      <w:pPr>
        <w:spacing w:line="560" w:lineRule="exact"/>
        <w:ind w:firstLineChars="196" w:firstLine="470"/>
        <w:rPr>
          <w:rFonts w:ascii="宋体" w:hAnsi="宋体" w:hint="eastAsia"/>
          <w:bCs/>
          <w:sz w:val="24"/>
          <w:szCs w:val="24"/>
          <w:lang w:val="en-GB"/>
          <w:highlight w:val="auto"/>
        </w:rPr>
      </w:pPr>
    </w:p>
    <w:p>
      <w:pPr>
        <w:rPr>
          <w:highlight w:val="auto"/>
        </w:rPr>
      </w:pPr>
    </w:p>
    <w:sectPr>
      <w:footerReference w:type="default" r:id="rId2"/>
      <w:pgSz w:w="11906" w:h="16838"/>
      <w:pgMar w:top="1440" w:right="1701" w:bottom="1440" w:left="1701" w:header="680" w:footer="454" w:gutter="0"/>
      <w:cols w:num="1" w:space="425"/>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Arial Narrow">
    <w:altName w:val="DejaVu Sans"/>
    <w:panose1 w:val="020B0606020202030204"/>
    <w:charset w:val="00"/>
    <w:family w:val="swiss"/>
    <w:pitch w:val="variable"/>
    <w:sig w:usb0="00000000" w:usb1="00000000" w:usb2="00000000" w:usb3="00000000" w:csb0="2000009F" w:csb1="DFD70000"/>
  </w:font>
  <w:font w:name="宋体">
    <w:altName w:val="方正书宋_GBK"/>
    <w:panose1 w:val="00000000000000000000"/>
    <w:charset w:val="86"/>
    <w:family w:val="auto"/>
    <w:pitch w:val="variable"/>
    <w:sig w:usb0="00000000" w:usb1="00000000" w:usb2="00000000" w:usb3="00000000" w:csb0="00000000" w:csb1="00000000"/>
  </w:font>
  <w:font w:name="等线">
    <w:altName w:val="华文仿宋"/>
    <w:panose1 w:val="02010600030101010101"/>
    <w:charset w:val="86"/>
    <w:family w:val="auto"/>
    <w:pitch w:val="variable"/>
    <w:sig w:usb0="00000000" w:usb1="00000000" w:usb2="00000016" w:usb3="00000000" w:csb0="0004000F" w:csb1="00000000"/>
  </w:font>
  <w:font w:name="Times New Roman">
    <w:panose1 w:val="02020603050405020304"/>
    <w:charset w:val="00"/>
    <w:family w:val="roman"/>
    <w:pitch w:val="variable"/>
    <w:sig w:usb0="20007A87" w:usb1="80000000" w:usb2="00000008" w:usb3="00000000" w:csb0="000001FF" w:csb1="00000000"/>
  </w:font>
  <w:font w:name="Lucida Sans">
    <w:altName w:val="DejaVu Sans"/>
    <w:panose1 w:val="020B0602030504020204"/>
    <w:charset w:val="00"/>
    <w:family w:val="auto"/>
    <w:pitch w:val="variable"/>
    <w:sig w:usb0="00000003" w:usb1="00000000" w:usb2="00000000" w:usb3="00000000" w:csb0="20000001"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6"/>
      <w:tabs>
        <w:tab w:val="clear" w:pos="8306"/>
        <w:tab w:val="center" w:pos="4153"/>
        <w:tab w:val="right" w:pos="8222"/>
      </w:tabs>
      <w:jc w:val="center"/>
      <w:rPr>
        <w:rFonts w:hint="eastAsia"/>
        <w:szCs w:val="18"/>
        <w:lang w:eastAsia="zh-CN"/>
      </w:rPr>
    </w:pPr>
    <w:r>
      <w:rPr>
        <w:rFonts w:hint="eastAsia"/>
        <w:szCs w:val="18"/>
      </w:rPr>
      <w:t>第</w:t>
    </w:r>
    <w:r>
      <w:rPr>
        <w:szCs w:val="18"/>
      </w:rPr>
      <w:fldChar w:fldCharType="begin"/>
    </w:r>
    <w:r>
      <w:rPr>
        <w:szCs w:val="18"/>
      </w:rPr>
      <w:instrText>PAGE   \* MERGEFORMAT</w:instrText>
    </w:r>
    <w:r>
      <w:rPr>
        <w:szCs w:val="18"/>
      </w:rPr>
      <w:fldChar w:fldCharType="separate"/>
    </w:r>
    <w:r>
      <w:rPr>
        <w:szCs w:val="18"/>
        <w:lang w:val="zh-CN"/>
      </w:rPr>
      <w:t>2</w:t>
    </w:r>
    <w:r>
      <w:rPr>
        <w:szCs w:val="18"/>
      </w:rPr>
      <w:fldChar w:fldCharType="end"/>
    </w:r>
    <w:r>
      <w:rPr>
        <w:rFonts w:hint="eastAsia"/>
        <w:szCs w:val="18"/>
      </w:rPr>
      <w:t>页</w:t>
    </w: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91E77D32"/>
    <w:multiLevelType w:val="singleLevel"/>
    <w:tmpl w:val="91E77D32"/>
    <w:lvl w:ilvl="0">
      <w:start w:val="1"/>
      <w:numFmt w:val="decimal"/>
      <w:lvlRestart w:val="0"/>
      <w:lvlText w:val="%1."/>
      <w:lvlJc w:val="left"/>
      <w:pPr>
        <w:tabs>
          <w:tab w:val="num" w:pos="312"/>
        </w:tabs>
      </w:pPr>
    </w:lvl>
  </w:abstractNum>
  <w:abstractNum w:abstractNumId="1">
    <w:nsid w:val="7BA43CD5"/>
    <w:multiLevelType w:val="singleLevel"/>
    <w:tmpl w:val="7BA43CD5"/>
    <w:lvl w:ilvl="0">
      <w:start w:val="2"/>
      <w:numFmt w:val="decimal"/>
      <w:lvlRestart w:val="0"/>
      <w:suff w:val="space"/>
      <w:lvlText w:val="%1."/>
      <w:lvlJc w:val="left"/>
      <w:pPr/>
    </w:lvl>
  </w:abstractNum>
  <w:abstractNum w:abstractNumId="2">
    <w:nsid w:val="04F9894F"/>
    <w:multiLevelType w:val="singleLevel"/>
    <w:tmpl w:val="04F9894F"/>
    <w:lvl w:ilvl="0">
      <w:start w:val="5"/>
      <w:numFmt w:val="chineseCounting"/>
      <w:lvlRestart w:val="0"/>
      <w:lvlText w:val="%1."/>
      <w:lvlJc w:val="left"/>
      <w:pPr>
        <w:tabs>
          <w:tab w:val="num" w:pos="312"/>
        </w:tabs>
      </w:pPr>
      <w:rPr>
        <w:rFonts w:hint="eastAsia"/>
      </w:rPr>
    </w:lvl>
  </w:abstractNum>
  <w:num w:numId="1">
    <w:abstractNumId w:val="0"/>
  </w:num>
  <w:num w:numId="2">
    <w:abstractNumId w:val="1"/>
  </w:num>
  <w:num w:numId="3">
    <w:abstractNumId w:val="2"/>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doNotUseIndentAsNumberingTabStop/>
    <w:useAltKinsokuLineBreakRules/>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0"/>
      <w:lang w:val="en-US" w:eastAsia="zh-CN" w:bidi="ar-SA"/>
    </w:rPr>
  </w:style>
  <w:style w:type="paragraph" w:styleId="1">
    <w:name w:val="heading 1"/>
    <w:basedOn w:val="0"/>
    <w:next w:val="0"/>
    <w:pPr>
      <w:keepNext/>
      <w:keepLines/>
      <w:spacing w:before="340" w:after="330" w:line="578" w:lineRule="auto"/>
      <w:outlineLvl w:val="0"/>
    </w:pPr>
    <w:rPr>
      <w:b/>
      <w:bCs/>
      <w:kern w:val="44"/>
      <w:sz w:val="44"/>
      <w:szCs w:val="44"/>
    </w:rPr>
  </w:style>
  <w:style w:type="paragraph" w:styleId="2">
    <w:name w:val="heading 2"/>
    <w:basedOn w:val="0"/>
    <w:next w:val="0"/>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spacing w:before="260" w:after="260" w:line="415" w:lineRule="auto"/>
      <w:outlineLvl w:val="2"/>
    </w:pPr>
    <w:rPr>
      <w:b/>
      <w:bCs/>
      <w:sz w:val="32"/>
      <w:szCs w:val="32"/>
    </w:rPr>
  </w:style>
  <w:style w:type="character" w:default="1" w:styleId="10">
    <w:name w:val="Default Paragraph Font"/>
  </w:style>
  <w:style w:type="paragraph" w:styleId="15">
    <w:name w:val="annotation text"/>
    <w:basedOn w:val="0"/>
    <w:pPr>
      <w:jc w:val="left"/>
    </w:pPr>
  </w:style>
  <w:style w:type="paragraph" w:styleId="16">
    <w:name w:val="footer"/>
    <w:basedOn w:val="0"/>
    <w:pPr>
      <w:tabs>
        <w:tab w:val="center" w:pos="4153"/>
        <w:tab w:val="right" w:pos="8306"/>
      </w:tabs>
      <w:snapToGrid w:val="0"/>
      <w:jc w:val="left"/>
    </w:pPr>
    <w:rPr>
      <w:kern w:val="0"/>
      <w:sz w:val="18"/>
    </w:rPr>
  </w:style>
  <w:style w:type="paragraph" w:styleId="17">
    <w:name w:val="header"/>
    <w:basedOn w:val="0"/>
    <w:pPr>
      <w:pBdr>
        <w:bottom w:val="single" w:sz="6" w:space="1" w:color="auto"/>
      </w:pBdr>
      <w:tabs>
        <w:tab w:val="center" w:pos="4153"/>
        <w:tab w:val="right" w:pos="8306"/>
      </w:tabs>
      <w:snapToGrid w:val="0"/>
      <w:jc w:val="center"/>
    </w:pPr>
    <w:rPr>
      <w:kern w:val="0"/>
      <w:sz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4776EDF2-54FB-482B-97F7-20A96C364680}">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119</TotalTime>
  <Application>Yozo_Office27021597764231179</Application>
  <Pages>6</Pages>
  <Words>0</Words>
  <Characters>2376</Characters>
  <Lines>0</Lines>
  <Paragraphs>71</Paragraphs>
  <CharactersWithSpaces>3169</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陈莉</dc:creator>
  <cp:lastModifiedBy>greatwall</cp:lastModifiedBy>
  <cp:revision>1</cp:revision>
  <dcterms:created xsi:type="dcterms:W3CDTF">2021-09-23T14:42:00Z</dcterms:created>
  <dcterms:modified xsi:type="dcterms:W3CDTF">2024-10-09T03:03:45Z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2052-11.8.2.9583</vt:lpwstr>
  </property>
  <property fmtid="{D5CDD505-2E9C-101B-9397-08002B2CF9AE}" pid="3" name="ICV">
    <vt:lpwstr>04FAD54128124380B9752C39DA812223</vt:lpwstr>
  </property>
</Properties>
</file>