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780" w:firstLineChars="200"/>
        <w:jc w:val="center"/>
        <w:rPr>
          <w:rFonts w:ascii="方正小标宋简体" w:hAnsi="Times New Roman" w:eastAsia="方正小标宋简体" w:cs="Times New Roman"/>
          <w:spacing w:val="-15"/>
          <w:w w:val="105"/>
          <w:sz w:val="40"/>
          <w:szCs w:val="32"/>
          <w:lang w:eastAsia="zh-CN"/>
        </w:rPr>
      </w:pPr>
      <w:r>
        <w:rPr>
          <w:rFonts w:ascii="方正小标宋简体" w:hAnsi="Times New Roman" w:eastAsia="方正小标宋简体" w:cs="Times New Roman"/>
          <w:spacing w:val="-15"/>
          <w:w w:val="105"/>
          <w:sz w:val="40"/>
          <w:szCs w:val="32"/>
          <w:lang w:eastAsia="zh-CN"/>
        </w:rPr>
        <w:t>津南区再生水利用及河道水生态综合修复</w:t>
      </w:r>
    </w:p>
    <w:p>
      <w:pPr>
        <w:spacing w:line="600" w:lineRule="exact"/>
        <w:ind w:firstLine="840" w:firstLineChars="200"/>
        <w:jc w:val="center"/>
        <w:rPr>
          <w:rFonts w:ascii="方正小标宋简体" w:hAnsi="Times New Roman" w:eastAsia="方正小标宋简体" w:cs="Times New Roman"/>
          <w:spacing w:val="-15"/>
          <w:w w:val="105"/>
          <w:sz w:val="40"/>
          <w:szCs w:val="32"/>
          <w:lang w:eastAsia="zh-CN"/>
        </w:rPr>
      </w:pPr>
      <w:r>
        <w:rPr>
          <w:rFonts w:hint="eastAsia" w:ascii="方正小标宋简体" w:hAnsi="Times New Roman" w:eastAsia="方正小标宋简体" w:cs="Times New Roman"/>
          <w:w w:val="105"/>
          <w:sz w:val="40"/>
          <w:szCs w:val="32"/>
          <w:lang w:eastAsia="zh-CN"/>
        </w:rPr>
        <w:t>项</w:t>
      </w:r>
      <w:r>
        <w:rPr>
          <w:rFonts w:hint="eastAsia" w:ascii="方正小标宋简体" w:hAnsi="Times New Roman" w:eastAsia="方正小标宋简体" w:cs="Times New Roman"/>
          <w:spacing w:val="-128"/>
          <w:w w:val="105"/>
          <w:sz w:val="40"/>
          <w:szCs w:val="32"/>
          <w:lang w:eastAsia="zh-CN"/>
        </w:rPr>
        <w:t xml:space="preserve"> </w:t>
      </w:r>
      <w:r>
        <w:rPr>
          <w:rFonts w:hint="eastAsia" w:ascii="方正小标宋简体" w:hAnsi="Times New Roman" w:eastAsia="方正小标宋简体" w:cs="Times New Roman"/>
          <w:spacing w:val="-15"/>
          <w:w w:val="105"/>
          <w:sz w:val="40"/>
          <w:szCs w:val="32"/>
          <w:lang w:eastAsia="zh-CN"/>
        </w:rPr>
        <w:t>目支出绩效评价报告</w:t>
      </w:r>
    </w:p>
    <w:p>
      <w:pPr>
        <w:spacing w:line="600" w:lineRule="exact"/>
        <w:ind w:firstLine="780" w:firstLineChars="200"/>
        <w:jc w:val="center"/>
        <w:rPr>
          <w:rFonts w:hint="eastAsia" w:ascii="方正小标宋简体" w:hAnsi="Times New Roman" w:eastAsia="方正小标宋简体" w:cs="Times New Roman"/>
          <w:spacing w:val="-15"/>
          <w:w w:val="105"/>
          <w:sz w:val="40"/>
          <w:szCs w:val="32"/>
          <w:lang w:eastAsia="zh-CN"/>
        </w:rPr>
      </w:pP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财政支出绩效评价从深化部门预算改革，加强预算绩效管理的实 际需要出发，通过科学合理的方法，客观公正地评价财政资金使用的 经济性、效率性和效益性，是强化部门预算支出责任、改善财政支出 管理、优化资源配置以及提高公共服务水平的重要手段。</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我部门对2021年再生水项目开展绩效评价。评价组围绕绩效评价指标体系，通过资料核查、数据分析、现场调研及深度访谈等方式，对该项目绩效进 行了客观公正的评价，最终评价结果为</w:t>
      </w:r>
      <w:r>
        <w:rPr>
          <w:rFonts w:hint="eastAsia" w:ascii="Times New Roman" w:hAnsi="Times New Roman" w:eastAsia="仿宋_GB2312" w:cs="Times New Roman"/>
          <w:sz w:val="30"/>
          <w:szCs w:val="30"/>
          <w:lang w:val="en-US" w:eastAsia="zh-CN"/>
        </w:rPr>
        <w:t>100</w:t>
      </w:r>
      <w:r>
        <w:rPr>
          <w:rFonts w:ascii="Times New Roman" w:hAnsi="Times New Roman" w:eastAsia="仿宋_GB2312" w:cs="Times New Roman"/>
          <w:sz w:val="30"/>
          <w:szCs w:val="30"/>
          <w:lang w:eastAsia="zh-CN"/>
        </w:rPr>
        <w:t>分。项目总体产出完成情况较好。现将评价情况报告如下：</w:t>
      </w:r>
    </w:p>
    <w:p>
      <w:pPr>
        <w:spacing w:line="600" w:lineRule="exact"/>
        <w:ind w:firstLine="614" w:firstLineChars="200"/>
        <w:jc w:val="center"/>
        <w:rPr>
          <w:rFonts w:ascii="Times New Roman" w:hAnsi="Times New Roman" w:eastAsia="仿宋_GB2312" w:cs="Times New Roman"/>
          <w:spacing w:val="-4"/>
          <w:w w:val="105"/>
          <w:sz w:val="30"/>
          <w:szCs w:val="30"/>
          <w:lang w:eastAsia="zh-CN"/>
        </w:rPr>
      </w:pPr>
    </w:p>
    <w:p>
      <w:pPr>
        <w:spacing w:line="600" w:lineRule="exact"/>
        <w:ind w:firstLine="614"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pacing w:val="-4"/>
          <w:w w:val="105"/>
          <w:sz w:val="30"/>
          <w:szCs w:val="30"/>
          <w:lang w:eastAsia="zh-CN"/>
        </w:rPr>
        <w:t>一、基本情况</w:t>
      </w:r>
      <w:bookmarkStart w:id="41" w:name="_GoBack"/>
      <w:bookmarkEnd w:id="41"/>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（一）项目概况</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1、项目背景</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津南区再生水利用及河道水生态综合修复项目可行性研究报告由津南区生态环境局牵头编制，于2020年5月由天津市津南区发展和改革委员会审批通过，9月批准列入中央环保项目库，10月津南区区政府批复由津南区水务局组织实施。本工程位于八里台镇、葛沽镇及小站镇。</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2、主要内容</w:t>
      </w:r>
    </w:p>
    <w:p>
      <w:pPr>
        <w:spacing w:line="600" w:lineRule="exact"/>
        <w:ind w:firstLine="600" w:firstLineChars="200"/>
        <w:jc w:val="both"/>
        <w:rPr>
          <w:rFonts w:ascii="Times New Roman" w:hAnsi="Times New Roman" w:eastAsia="仿宋_GB2312" w:cs="Times New Roman"/>
          <w:color w:val="222222"/>
          <w:sz w:val="30"/>
          <w:szCs w:val="30"/>
          <w:lang w:eastAsia="zh-CN"/>
        </w:rPr>
      </w:pPr>
      <w:r>
        <w:rPr>
          <w:rFonts w:ascii="Times New Roman" w:hAnsi="Times New Roman" w:eastAsia="仿宋_GB2312" w:cs="Times New Roman"/>
          <w:sz w:val="30"/>
          <w:szCs w:val="30"/>
          <w:lang w:eastAsia="zh-CN"/>
        </w:rPr>
        <w:t>主要内容包</w:t>
      </w:r>
      <w:r>
        <w:rPr>
          <w:rFonts w:ascii="Times New Roman" w:hAnsi="Times New Roman" w:eastAsia="仿宋_GB2312" w:cs="Times New Roman"/>
          <w:color w:val="222222"/>
          <w:sz w:val="30"/>
          <w:szCs w:val="30"/>
          <w:lang w:eastAsia="zh-CN"/>
        </w:rPr>
        <w:t>括津沽污水处理厂尾水净化利用工程；八里台湾卫南洼生态片区农业面源污染治理工程；马厂减河面源污染控制工程；马厂减河支流污染治理工程；马厂减河水域及缓冲带生态保护修复工程；马厂减河入河排污口规范化建设；初期雨水处理设施的设置。</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color w:val="222222"/>
          <w:sz w:val="30"/>
          <w:szCs w:val="30"/>
          <w:lang w:eastAsia="zh-CN"/>
        </w:rPr>
        <w:t>3、</w:t>
      </w:r>
      <w:r>
        <w:rPr>
          <w:rFonts w:ascii="Times New Roman" w:hAnsi="Times New Roman" w:eastAsia="仿宋_GB2312" w:cs="Times New Roman"/>
          <w:sz w:val="30"/>
          <w:szCs w:val="30"/>
          <w:lang w:eastAsia="zh-CN"/>
        </w:rPr>
        <w:t>实施情况</w:t>
      </w:r>
    </w:p>
    <w:p>
      <w:pPr>
        <w:spacing w:line="600" w:lineRule="exact"/>
        <w:ind w:firstLine="600" w:firstLineChars="200"/>
        <w:jc w:val="both"/>
        <w:rPr>
          <w:rFonts w:ascii="Times New Roman" w:hAnsi="Times New Roman" w:eastAsia="仿宋_GB2312" w:cs="Times New Roman"/>
          <w:color w:val="222222"/>
          <w:sz w:val="30"/>
          <w:szCs w:val="30"/>
          <w:lang w:eastAsia="zh-CN"/>
        </w:rPr>
      </w:pPr>
      <w:r>
        <w:rPr>
          <w:rFonts w:ascii="Times New Roman" w:hAnsi="Times New Roman" w:eastAsia="仿宋_GB2312" w:cs="Times New Roman"/>
          <w:color w:val="222222"/>
          <w:sz w:val="30"/>
          <w:szCs w:val="30"/>
          <w:lang w:eastAsia="zh-CN"/>
        </w:rPr>
        <w:t>截至目前，再生水项目2530亩潜流湿地表流湿地主体结构100%完成，20.28万m³滤料填筑完成35%，394万</w:t>
      </w:r>
      <w:r>
        <w:rPr>
          <w:rFonts w:ascii="Times New Roman" w:hAnsi="Times New Roman" w:eastAsia="Segoe UI Symbol" w:cs="Times New Roman"/>
          <w:color w:val="222222"/>
          <w:sz w:val="30"/>
          <w:szCs w:val="30"/>
          <w:lang w:eastAsia="zh-CN"/>
        </w:rPr>
        <w:t>㎡</w:t>
      </w:r>
      <w:r>
        <w:rPr>
          <w:rFonts w:ascii="Times New Roman" w:hAnsi="Times New Roman" w:eastAsia="仿宋_GB2312" w:cs="Times New Roman"/>
          <w:color w:val="222222"/>
          <w:sz w:val="30"/>
          <w:szCs w:val="30"/>
          <w:lang w:eastAsia="zh-CN"/>
        </w:rPr>
        <w:t>水生植物已种植66%，剩余填筑料及水生植物正在施工中。</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color w:val="222222"/>
          <w:sz w:val="30"/>
          <w:szCs w:val="30"/>
          <w:lang w:eastAsia="zh-CN"/>
        </w:rPr>
        <w:t>4、</w:t>
      </w:r>
      <w:r>
        <w:rPr>
          <w:rFonts w:ascii="Times New Roman" w:hAnsi="Times New Roman" w:eastAsia="仿宋_GB2312" w:cs="Times New Roman"/>
          <w:sz w:val="30"/>
          <w:szCs w:val="30"/>
          <w:lang w:eastAsia="zh-CN"/>
        </w:rPr>
        <w:t>资金投入和使用情况</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color w:val="222222"/>
          <w:sz w:val="30"/>
          <w:szCs w:val="30"/>
          <w:lang w:eastAsia="zh-CN"/>
        </w:rPr>
        <w:t>该项目批复总投资33224.88万元，</w:t>
      </w:r>
      <w:r>
        <w:rPr>
          <w:rFonts w:ascii="Times New Roman" w:hAnsi="Times New Roman" w:eastAsia="仿宋_GB2312" w:cs="Times New Roman"/>
          <w:sz w:val="30"/>
          <w:szCs w:val="30"/>
          <w:lang w:eastAsia="zh-CN"/>
        </w:rPr>
        <w:t>中央财政补助资金16178.0万元已到位。</w:t>
      </w:r>
      <w:r>
        <w:rPr>
          <w:rFonts w:ascii="Times New Roman" w:hAnsi="Times New Roman" w:eastAsia="仿宋_GB2312" w:cs="Times New Roman"/>
          <w:color w:val="222222"/>
          <w:sz w:val="30"/>
          <w:szCs w:val="30"/>
          <w:lang w:eastAsia="zh-CN"/>
        </w:rPr>
        <w:t>2021年申请财政资金总额223.9万元。全年实际到位223.9万元。预算资金执行率100%。</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（二）项目绩效目标。</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1、总体目标</w:t>
      </w:r>
    </w:p>
    <w:p>
      <w:pPr>
        <w:spacing w:line="600" w:lineRule="exact"/>
        <w:ind w:firstLine="600" w:firstLineChars="200"/>
        <w:jc w:val="both"/>
        <w:rPr>
          <w:rFonts w:ascii="Times New Roman" w:hAnsi="Times New Roman" w:eastAsia="仿宋_GB2312" w:cs="Times New Roman"/>
          <w:color w:val="222222"/>
          <w:sz w:val="30"/>
          <w:szCs w:val="30"/>
          <w:lang w:eastAsia="zh-CN"/>
        </w:rPr>
      </w:pPr>
      <w:r>
        <w:rPr>
          <w:rFonts w:ascii="Times New Roman" w:hAnsi="Times New Roman" w:eastAsia="仿宋_GB2312" w:cs="Times New Roman"/>
          <w:color w:val="222222"/>
          <w:sz w:val="30"/>
          <w:szCs w:val="30"/>
          <w:lang w:eastAsia="zh-CN"/>
        </w:rPr>
        <w:t>项目建成后环境绩效目标生态修复面积1.534平方公里。项目实施后，项目实施后，预计可实现主要污染物削减量：COD 645t/a，氨氮61t/a。</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color w:val="222222"/>
          <w:sz w:val="30"/>
          <w:szCs w:val="30"/>
          <w:lang w:eastAsia="zh-CN"/>
        </w:rPr>
        <w:t>2、</w:t>
      </w:r>
      <w:r>
        <w:rPr>
          <w:rFonts w:ascii="Times New Roman" w:hAnsi="Times New Roman" w:eastAsia="仿宋_GB2312" w:cs="Times New Roman"/>
          <w:sz w:val="30"/>
          <w:szCs w:val="30"/>
          <w:lang w:eastAsia="zh-CN"/>
        </w:rPr>
        <w:t>阶段性目标</w:t>
      </w:r>
    </w:p>
    <w:p>
      <w:pPr>
        <w:spacing w:line="600" w:lineRule="exact"/>
        <w:ind w:firstLine="600" w:firstLineChars="200"/>
        <w:jc w:val="both"/>
        <w:rPr>
          <w:rFonts w:ascii="Times New Roman" w:hAnsi="Times New Roman" w:eastAsia="仿宋_GB2312" w:cs="Times New Roman"/>
          <w:color w:val="222222"/>
          <w:sz w:val="30"/>
          <w:szCs w:val="30"/>
          <w:lang w:eastAsia="zh-CN"/>
        </w:rPr>
      </w:pPr>
      <w:r>
        <w:rPr>
          <w:rFonts w:ascii="Times New Roman" w:hAnsi="Times New Roman" w:eastAsia="仿宋_GB2312" w:cs="Times New Roman"/>
          <w:color w:val="222222"/>
          <w:sz w:val="30"/>
          <w:szCs w:val="30"/>
          <w:lang w:eastAsia="zh-CN"/>
        </w:rPr>
        <w:t>2021年度</w:t>
      </w:r>
      <w:r>
        <w:rPr>
          <w:rFonts w:ascii="Times New Roman" w:hAnsi="Times New Roman" w:eastAsia="仿宋_GB2312" w:cs="Times New Roman"/>
          <w:sz w:val="30"/>
          <w:szCs w:val="30"/>
          <w:lang w:eastAsia="zh-CN"/>
        </w:rPr>
        <w:t>绩效指标共设置3个一级指标，8个二级指标，8个三级指标。</w:t>
      </w:r>
    </w:p>
    <w:p>
      <w:pPr>
        <w:spacing w:line="600" w:lineRule="exact"/>
        <w:ind w:firstLine="614" w:firstLineChars="200"/>
        <w:jc w:val="both"/>
        <w:rPr>
          <w:rFonts w:ascii="Times New Roman" w:hAnsi="Times New Roman" w:eastAsia="仿宋_GB2312" w:cs="Times New Roman"/>
          <w:spacing w:val="-4"/>
          <w:w w:val="105"/>
          <w:sz w:val="30"/>
          <w:szCs w:val="30"/>
          <w:lang w:eastAsia="zh-CN"/>
        </w:rPr>
      </w:pPr>
      <w:r>
        <w:rPr>
          <w:rFonts w:ascii="Times New Roman" w:hAnsi="Times New Roman" w:eastAsia="仿宋_GB2312" w:cs="Times New Roman"/>
          <w:spacing w:val="-4"/>
          <w:w w:val="105"/>
          <w:sz w:val="30"/>
          <w:szCs w:val="30"/>
          <w:lang w:eastAsia="zh-CN"/>
        </w:rPr>
        <w:t>二、绩效评价工作开展情况</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（一）绩效评价</w:t>
      </w:r>
      <w:r>
        <w:rPr>
          <w:rFonts w:ascii="Times New Roman" w:hAnsi="Times New Roman" w:eastAsia="仿宋_GB2312" w:cs="Times New Roman"/>
          <w:spacing w:val="-91"/>
          <w:sz w:val="30"/>
          <w:szCs w:val="30"/>
          <w:lang w:eastAsia="zh-CN"/>
        </w:rPr>
        <w:t xml:space="preserve"> </w:t>
      </w:r>
      <w:r>
        <w:rPr>
          <w:rFonts w:ascii="Times New Roman" w:hAnsi="Times New Roman" w:eastAsia="仿宋_GB2312" w:cs="Times New Roman"/>
          <w:spacing w:val="-10"/>
          <w:sz w:val="30"/>
          <w:szCs w:val="30"/>
          <w:lang w:eastAsia="zh-CN"/>
        </w:rPr>
        <w:t>目的</w:t>
      </w:r>
      <w:r>
        <w:rPr>
          <w:rFonts w:ascii="Times New Roman" w:hAnsi="Times New Roman" w:eastAsia="仿宋_GB2312" w:cs="Times New Roman"/>
          <w:sz w:val="30"/>
          <w:szCs w:val="30"/>
          <w:lang w:eastAsia="zh-CN"/>
        </w:rPr>
        <w:t>、对象和范围</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color w:val="222222"/>
          <w:sz w:val="30"/>
          <w:szCs w:val="30"/>
          <w:lang w:eastAsia="zh-CN"/>
        </w:rPr>
        <w:t>1、评价目的</w:t>
      </w:r>
    </w:p>
    <w:p>
      <w:pPr>
        <w:spacing w:line="600" w:lineRule="exact"/>
        <w:ind w:firstLine="600" w:firstLineChars="200"/>
        <w:jc w:val="both"/>
        <w:rPr>
          <w:rFonts w:ascii="Times New Roman" w:hAnsi="Times New Roman" w:eastAsia="仿宋_GB2312" w:cs="Times New Roman"/>
          <w:color w:val="222222"/>
          <w:sz w:val="30"/>
          <w:szCs w:val="30"/>
          <w:lang w:eastAsia="zh-CN"/>
        </w:rPr>
      </w:pPr>
      <w:r>
        <w:rPr>
          <w:rFonts w:ascii="Times New Roman" w:hAnsi="Times New Roman" w:eastAsia="仿宋_GB2312" w:cs="Times New Roman"/>
          <w:color w:val="222222"/>
          <w:sz w:val="30"/>
          <w:szCs w:val="30"/>
          <w:lang w:eastAsia="zh-CN"/>
        </w:rPr>
        <w:t>根据《项目支出绩效评价管理办法》（财预（2020）10号），围绕项目决策、项目过程、项目产出、项目效益等四方面，选择合适的评价指标和标准，运用科学的评价方法，对资金“申、批、拨、付”全过程及其支出的经济性、效率性和效益性等方面进行客观公正的综合评价，以衡量财政资金的使用绩效，分析支出项目是否达到预期目标。同时，及时总结经验，分析存在问题，提出改进意见，优化项目顶层设计，进一步加强资金管理，提高财政资金使用效益。</w:t>
      </w:r>
    </w:p>
    <w:p>
      <w:pPr>
        <w:spacing w:line="600" w:lineRule="exact"/>
        <w:ind w:firstLine="600" w:firstLineChars="200"/>
        <w:jc w:val="both"/>
        <w:rPr>
          <w:rFonts w:ascii="Times New Roman" w:hAnsi="Times New Roman" w:eastAsia="仿宋_GB2312" w:cs="Times New Roman"/>
          <w:color w:val="222222"/>
          <w:sz w:val="30"/>
          <w:szCs w:val="30"/>
          <w:lang w:eastAsia="zh-CN"/>
        </w:rPr>
      </w:pPr>
      <w:r>
        <w:rPr>
          <w:rFonts w:ascii="Times New Roman" w:hAnsi="Times New Roman" w:eastAsia="仿宋_GB2312" w:cs="Times New Roman"/>
          <w:color w:val="222222"/>
          <w:sz w:val="30"/>
          <w:szCs w:val="30"/>
          <w:lang w:eastAsia="zh-CN"/>
        </w:rPr>
        <w:t>2、评价对象和范围</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color w:val="222222"/>
          <w:sz w:val="30"/>
          <w:szCs w:val="30"/>
          <w:lang w:eastAsia="zh-CN"/>
        </w:rPr>
        <w:t>本次绩效评价对象为津南区再生水利用及河道水生态综合修复项目。评价范围为本项目于2021年度的实际使用情况。</w:t>
      </w:r>
    </w:p>
    <w:p>
      <w:pPr>
        <w:spacing w:line="600" w:lineRule="exact"/>
        <w:ind w:firstLine="588" w:firstLineChars="196"/>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（二）</w:t>
      </w:r>
      <w:r>
        <w:rPr>
          <w:rFonts w:ascii="Times New Roman" w:hAnsi="Times New Roman" w:eastAsia="仿宋_GB2312" w:cs="Times New Roman"/>
          <w:spacing w:val="-1"/>
          <w:w w:val="103"/>
          <w:sz w:val="30"/>
          <w:szCs w:val="30"/>
          <w:lang w:eastAsia="zh-CN"/>
        </w:rPr>
        <w:t>绩效评价原则</w:t>
      </w:r>
      <w:r>
        <w:rPr>
          <w:rFonts w:ascii="Times New Roman" w:hAnsi="Times New Roman" w:eastAsia="仿宋_GB2312" w:cs="Times New Roman"/>
          <w:spacing w:val="-106"/>
          <w:w w:val="103"/>
          <w:sz w:val="30"/>
          <w:szCs w:val="30"/>
          <w:lang w:eastAsia="zh-CN"/>
        </w:rPr>
        <w:t xml:space="preserve"> </w:t>
      </w:r>
      <w:r>
        <w:rPr>
          <w:rFonts w:ascii="Times New Roman" w:hAnsi="Times New Roman" w:eastAsia="仿宋_GB2312" w:cs="Times New Roman"/>
          <w:spacing w:val="-7"/>
          <w:w w:val="103"/>
          <w:sz w:val="30"/>
          <w:szCs w:val="30"/>
          <w:lang w:eastAsia="zh-CN"/>
        </w:rPr>
        <w:t>、评价指标体系</w:t>
      </w:r>
      <w:r>
        <w:rPr>
          <w:rFonts w:ascii="Times New Roman" w:hAnsi="Times New Roman" w:eastAsia="仿宋_GB2312" w:cs="Times New Roman"/>
          <w:spacing w:val="-2"/>
          <w:w w:val="103"/>
          <w:sz w:val="30"/>
          <w:szCs w:val="30"/>
          <w:lang w:eastAsia="zh-CN"/>
        </w:rPr>
        <w:t>（</w:t>
      </w:r>
      <w:r>
        <w:rPr>
          <w:rFonts w:ascii="Times New Roman" w:hAnsi="Times New Roman" w:eastAsia="仿宋_GB2312" w:cs="Times New Roman"/>
          <w:w w:val="104"/>
          <w:sz w:val="30"/>
          <w:szCs w:val="30"/>
          <w:lang w:eastAsia="zh-CN"/>
        </w:rPr>
        <w:t>附表说明</w:t>
      </w:r>
      <w:r>
        <w:rPr>
          <w:rFonts w:ascii="Times New Roman" w:hAnsi="Times New Roman" w:eastAsia="仿宋_GB2312" w:cs="Times New Roman"/>
          <w:spacing w:val="-2"/>
          <w:w w:val="103"/>
          <w:sz w:val="30"/>
          <w:szCs w:val="30"/>
          <w:lang w:eastAsia="zh-CN"/>
        </w:rPr>
        <w:t>）</w:t>
      </w:r>
      <w:r>
        <w:rPr>
          <w:rFonts w:ascii="Times New Roman" w:hAnsi="Times New Roman" w:eastAsia="仿宋_GB2312" w:cs="Times New Roman"/>
          <w:sz w:val="30"/>
          <w:szCs w:val="30"/>
          <w:lang w:eastAsia="zh-CN"/>
        </w:rPr>
        <w:t>、评价方法、评价标准</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0" w:name="bookmark44"/>
      <w:r>
        <w:rPr>
          <w:rFonts w:ascii="Times New Roman" w:hAnsi="Times New Roman" w:eastAsia="仿宋_GB2312" w:cs="Times New Roman"/>
          <w:color w:val="222222"/>
          <w:sz w:val="30"/>
          <w:szCs w:val="30"/>
          <w:lang w:eastAsia="zh-CN"/>
        </w:rPr>
        <w:t>1</w:t>
      </w:r>
      <w:bookmarkEnd w:id="0"/>
      <w:r>
        <w:rPr>
          <w:rFonts w:ascii="Times New Roman" w:hAnsi="Times New Roman" w:eastAsia="仿宋_GB2312" w:cs="Times New Roman"/>
          <w:color w:val="222222"/>
          <w:sz w:val="30"/>
          <w:szCs w:val="30"/>
          <w:lang w:eastAsia="zh-CN"/>
        </w:rPr>
        <w:t>、绩效评价原则</w:t>
      </w:r>
    </w:p>
    <w:p>
      <w:pPr>
        <w:spacing w:line="600" w:lineRule="exact"/>
        <w:ind w:firstLine="588" w:firstLineChars="196"/>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绩效评价应当遵循以下基本原则：</w:t>
      </w:r>
    </w:p>
    <w:p>
      <w:pPr>
        <w:spacing w:line="600" w:lineRule="exact"/>
        <w:ind w:firstLine="588" w:firstLineChars="196"/>
        <w:jc w:val="both"/>
        <w:rPr>
          <w:rFonts w:ascii="Times New Roman" w:hAnsi="Times New Roman" w:eastAsia="仿宋_GB2312" w:cs="Times New Roman"/>
          <w:sz w:val="30"/>
          <w:szCs w:val="30"/>
          <w:lang w:eastAsia="zh-CN" w:bidi="zh-TW"/>
        </w:rPr>
      </w:pPr>
      <w:bookmarkStart w:id="1" w:name="bookmark45"/>
      <w:r>
        <w:rPr>
          <w:rFonts w:ascii="Times New Roman" w:hAnsi="Times New Roman" w:eastAsia="仿宋_GB2312" w:cs="Times New Roman"/>
          <w:sz w:val="30"/>
          <w:szCs w:val="30"/>
          <w:lang w:eastAsia="zh-CN" w:bidi="zh-TW"/>
        </w:rPr>
        <w:t>（</w:t>
      </w:r>
      <w:bookmarkEnd w:id="1"/>
      <w:r>
        <w:rPr>
          <w:rFonts w:ascii="Times New Roman" w:hAnsi="Times New Roman" w:eastAsia="仿宋_GB2312" w:cs="Times New Roman"/>
          <w:sz w:val="30"/>
          <w:szCs w:val="30"/>
          <w:lang w:eastAsia="zh-CN" w:bidi="zh-TW"/>
        </w:rPr>
        <w:t>1）科学规范。绩效评价注重财政支出的经济性、效率性和有效性，严格执行规定的程序，采用定量与定性分析相结合的方法。</w:t>
      </w:r>
    </w:p>
    <w:p>
      <w:pPr>
        <w:spacing w:line="600" w:lineRule="exact"/>
        <w:ind w:firstLine="588" w:firstLineChars="196"/>
        <w:jc w:val="both"/>
        <w:rPr>
          <w:rFonts w:ascii="Times New Roman" w:hAnsi="Times New Roman" w:eastAsia="仿宋_GB2312" w:cs="Times New Roman"/>
          <w:sz w:val="30"/>
          <w:szCs w:val="30"/>
          <w:lang w:eastAsia="zh-CN" w:bidi="zh-TW"/>
        </w:rPr>
      </w:pPr>
      <w:bookmarkStart w:id="2" w:name="bookmark46"/>
      <w:r>
        <w:rPr>
          <w:rFonts w:ascii="Times New Roman" w:hAnsi="Times New Roman" w:eastAsia="仿宋_GB2312" w:cs="Times New Roman"/>
          <w:sz w:val="30"/>
          <w:szCs w:val="30"/>
          <w:lang w:eastAsia="zh-CN" w:bidi="zh-TW"/>
        </w:rPr>
        <w:t>（</w:t>
      </w:r>
      <w:bookmarkEnd w:id="2"/>
      <w:r>
        <w:rPr>
          <w:rFonts w:ascii="Times New Roman" w:hAnsi="Times New Roman" w:eastAsia="仿宋_GB2312" w:cs="Times New Roman"/>
          <w:sz w:val="30"/>
          <w:szCs w:val="30"/>
          <w:lang w:eastAsia="zh-CN" w:bidi="zh-TW"/>
        </w:rPr>
        <w:t>2）公正公开。绩效评价客观、公正，标准统一、资料可靠，依法公开并接受监督。</w:t>
      </w:r>
    </w:p>
    <w:p>
      <w:pPr>
        <w:spacing w:line="600" w:lineRule="exact"/>
        <w:ind w:firstLine="588" w:firstLineChars="196"/>
        <w:jc w:val="both"/>
        <w:rPr>
          <w:rFonts w:ascii="Times New Roman" w:hAnsi="Times New Roman" w:eastAsia="仿宋_GB2312" w:cs="Times New Roman"/>
          <w:sz w:val="30"/>
          <w:szCs w:val="30"/>
          <w:lang w:eastAsia="zh-CN" w:bidi="zh-TW"/>
        </w:rPr>
      </w:pPr>
      <w:bookmarkStart w:id="3" w:name="bookmark47"/>
      <w:r>
        <w:rPr>
          <w:rFonts w:ascii="Times New Roman" w:hAnsi="Times New Roman" w:eastAsia="仿宋_GB2312" w:cs="Times New Roman"/>
          <w:sz w:val="30"/>
          <w:szCs w:val="30"/>
          <w:lang w:eastAsia="zh-CN" w:bidi="zh-TW"/>
        </w:rPr>
        <w:t>（</w:t>
      </w:r>
      <w:bookmarkEnd w:id="3"/>
      <w:r>
        <w:rPr>
          <w:rFonts w:ascii="Times New Roman" w:hAnsi="Times New Roman" w:eastAsia="仿宋_GB2312" w:cs="Times New Roman"/>
          <w:sz w:val="30"/>
          <w:szCs w:val="30"/>
          <w:lang w:eastAsia="zh-CN" w:bidi="zh-TW"/>
        </w:rPr>
        <w:t>3）分级分类。绩效评价由根据评价对象的特点，分类组织实施。</w:t>
      </w:r>
    </w:p>
    <w:p>
      <w:pPr>
        <w:spacing w:line="600" w:lineRule="exact"/>
        <w:ind w:firstLine="588" w:firstLineChars="196"/>
        <w:jc w:val="both"/>
        <w:rPr>
          <w:rFonts w:ascii="Times New Roman" w:hAnsi="Times New Roman" w:eastAsia="仿宋_GB2312" w:cs="Times New Roman"/>
          <w:sz w:val="30"/>
          <w:szCs w:val="30"/>
          <w:lang w:eastAsia="zh-CN" w:bidi="zh-TW"/>
        </w:rPr>
      </w:pPr>
      <w:bookmarkStart w:id="4" w:name="bookmark48"/>
      <w:r>
        <w:rPr>
          <w:rFonts w:ascii="Times New Roman" w:hAnsi="Times New Roman" w:eastAsia="仿宋_GB2312" w:cs="Times New Roman"/>
          <w:sz w:val="30"/>
          <w:szCs w:val="30"/>
          <w:lang w:eastAsia="zh-CN" w:bidi="zh-TW"/>
        </w:rPr>
        <w:t>（</w:t>
      </w:r>
      <w:bookmarkEnd w:id="4"/>
      <w:r>
        <w:rPr>
          <w:rFonts w:ascii="Times New Roman" w:hAnsi="Times New Roman" w:eastAsia="仿宋_GB2312" w:cs="Times New Roman"/>
          <w:sz w:val="30"/>
          <w:szCs w:val="30"/>
          <w:lang w:eastAsia="zh-CN" w:bidi="zh-TW"/>
        </w:rPr>
        <w:t>4）绩效相关。绩效评价针对具体支出及其产出绩效进行，评价结果清晰反映支出和产出绩效之间的紧密对应关系。</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5" w:name="bookmark49"/>
      <w:r>
        <w:rPr>
          <w:rFonts w:ascii="Times New Roman" w:hAnsi="Times New Roman" w:eastAsia="仿宋_GB2312" w:cs="Times New Roman"/>
          <w:color w:val="222222"/>
          <w:sz w:val="30"/>
          <w:szCs w:val="30"/>
          <w:lang w:eastAsia="zh-CN"/>
        </w:rPr>
        <w:t>2</w:t>
      </w:r>
      <w:bookmarkEnd w:id="5"/>
      <w:r>
        <w:rPr>
          <w:rFonts w:ascii="Times New Roman" w:hAnsi="Times New Roman" w:eastAsia="仿宋_GB2312" w:cs="Times New Roman"/>
          <w:color w:val="222222"/>
          <w:sz w:val="30"/>
          <w:szCs w:val="30"/>
          <w:lang w:eastAsia="zh-CN"/>
        </w:rPr>
        <w:t>、评价方法</w:t>
      </w:r>
    </w:p>
    <w:p>
      <w:pPr>
        <w:spacing w:line="600" w:lineRule="exact"/>
        <w:ind w:firstLine="588" w:firstLineChars="196"/>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绩效评价方法是指用于分析绩效数据，得出评价结论的各种经济分析、评估和评价方法。绩效评价方法的选用应当坚持简便有效的原则。根据财政部《项目支出绩效评价管理办法》（财预（2020）10号）的规定，绩效评价方法主要采用成本效益分析法、比较法、因素分析法、最低成本法、公众评判法、标杆管理法等。结合项目实际情况，本次宜采用成本效益分析法、比较法、因素分析法和公众评判法。</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6" w:name="bookmark50"/>
      <w:r>
        <w:rPr>
          <w:rFonts w:ascii="Times New Roman" w:hAnsi="Times New Roman" w:eastAsia="仿宋_GB2312" w:cs="Times New Roman"/>
          <w:color w:val="222222"/>
          <w:sz w:val="30"/>
          <w:szCs w:val="30"/>
          <w:lang w:eastAsia="zh-CN"/>
        </w:rPr>
        <w:t>3</w:t>
      </w:r>
      <w:bookmarkEnd w:id="6"/>
      <w:r>
        <w:rPr>
          <w:rFonts w:ascii="Times New Roman" w:hAnsi="Times New Roman" w:eastAsia="仿宋_GB2312" w:cs="Times New Roman"/>
          <w:color w:val="222222"/>
          <w:sz w:val="30"/>
          <w:szCs w:val="30"/>
          <w:lang w:eastAsia="zh-CN"/>
        </w:rPr>
        <w:t>、评价指标体系</w:t>
      </w:r>
    </w:p>
    <w:p>
      <w:pPr>
        <w:spacing w:line="600" w:lineRule="exact"/>
        <w:ind w:firstLine="600" w:firstLineChars="200"/>
        <w:jc w:val="both"/>
        <w:rPr>
          <w:rFonts w:ascii="Times New Roman" w:hAnsi="Times New Roman" w:eastAsia="仿宋_GB2312" w:cs="Times New Roman"/>
          <w:color w:val="222222"/>
          <w:sz w:val="30"/>
          <w:szCs w:val="30"/>
          <w:lang w:eastAsia="zh-CN"/>
        </w:rPr>
      </w:pPr>
      <w:r>
        <w:rPr>
          <w:rFonts w:ascii="Times New Roman" w:hAnsi="Times New Roman" w:eastAsia="仿宋_GB2312" w:cs="Times New Roman"/>
          <w:color w:val="222222"/>
          <w:sz w:val="30"/>
          <w:szCs w:val="30"/>
          <w:lang w:eastAsia="zh-CN"/>
        </w:rPr>
        <w:t>（1）绩效评价指标体系设计原则</w:t>
      </w:r>
    </w:p>
    <w:p>
      <w:pPr>
        <w:spacing w:line="600" w:lineRule="exact"/>
        <w:ind w:firstLine="588" w:firstLineChars="196"/>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绩效评价指标是指衡量绩效目标实现程度的考核工具，应当遵循以下原则：</w:t>
      </w:r>
    </w:p>
    <w:p>
      <w:pPr>
        <w:numPr>
          <w:ilvl w:val="0"/>
          <w:numId w:val="1"/>
        </w:numPr>
        <w:spacing w:line="600" w:lineRule="exact"/>
        <w:ind w:left="147" w:leftChars="67" w:firstLine="588" w:firstLineChars="196"/>
        <w:jc w:val="both"/>
        <w:rPr>
          <w:rFonts w:ascii="Times New Roman" w:hAnsi="Times New Roman" w:eastAsia="仿宋_GB2312" w:cs="Times New Roman"/>
          <w:sz w:val="30"/>
          <w:szCs w:val="30"/>
          <w:lang w:eastAsia="zh-CN" w:bidi="zh-TW"/>
        </w:rPr>
      </w:pPr>
      <w:bookmarkStart w:id="7" w:name="bookmark51"/>
      <w:bookmarkEnd w:id="7"/>
      <w:r>
        <w:rPr>
          <w:rFonts w:ascii="Times New Roman" w:hAnsi="Times New Roman" w:eastAsia="仿宋_GB2312" w:cs="Times New Roman"/>
          <w:sz w:val="30"/>
          <w:szCs w:val="30"/>
          <w:lang w:eastAsia="zh-CN" w:bidi="zh-TW"/>
        </w:rPr>
        <w:t>相关性原则。应当与绩效目标有直接的联系，能够恰当反映目标的实现程度。</w:t>
      </w:r>
    </w:p>
    <w:p>
      <w:pPr>
        <w:numPr>
          <w:ilvl w:val="0"/>
          <w:numId w:val="1"/>
        </w:numPr>
        <w:spacing w:line="600" w:lineRule="exact"/>
        <w:ind w:left="147" w:leftChars="67" w:firstLine="588" w:firstLineChars="196"/>
        <w:jc w:val="both"/>
        <w:rPr>
          <w:rFonts w:ascii="Times New Roman" w:hAnsi="Times New Roman" w:eastAsia="仿宋_GB2312" w:cs="Times New Roman"/>
          <w:sz w:val="30"/>
          <w:szCs w:val="30"/>
          <w:lang w:eastAsia="zh-CN" w:bidi="zh-TW"/>
        </w:rPr>
      </w:pPr>
      <w:bookmarkStart w:id="8" w:name="bookmark52"/>
      <w:bookmarkEnd w:id="8"/>
      <w:r>
        <w:rPr>
          <w:rFonts w:ascii="Times New Roman" w:hAnsi="Times New Roman" w:eastAsia="仿宋_GB2312" w:cs="Times New Roman"/>
          <w:sz w:val="30"/>
          <w:szCs w:val="30"/>
          <w:lang w:eastAsia="zh-CN" w:bidi="zh-TW"/>
        </w:rPr>
        <w:t>重要性原则。应当优先使用最具评价对象代表性、最能反映评价要求的核心指标。</w:t>
      </w:r>
    </w:p>
    <w:p>
      <w:pPr>
        <w:numPr>
          <w:ilvl w:val="0"/>
          <w:numId w:val="2"/>
        </w:numPr>
        <w:spacing w:line="600" w:lineRule="exact"/>
        <w:ind w:left="147" w:leftChars="67" w:firstLine="588" w:firstLineChars="196"/>
        <w:jc w:val="both"/>
        <w:rPr>
          <w:rFonts w:ascii="Times New Roman" w:hAnsi="Times New Roman" w:eastAsia="仿宋_GB2312" w:cs="Times New Roman"/>
          <w:sz w:val="30"/>
          <w:szCs w:val="30"/>
          <w:lang w:eastAsia="zh-CN" w:bidi="zh-TW"/>
        </w:rPr>
      </w:pPr>
      <w:bookmarkStart w:id="9" w:name="bookmark53"/>
      <w:bookmarkEnd w:id="9"/>
      <w:r>
        <w:rPr>
          <w:rFonts w:ascii="Times New Roman" w:hAnsi="Times New Roman" w:eastAsia="仿宋_GB2312" w:cs="Times New Roman"/>
          <w:sz w:val="30"/>
          <w:szCs w:val="30"/>
          <w:lang w:eastAsia="zh-CN" w:bidi="zh-TW"/>
        </w:rPr>
        <w:t>可比性原则。对同类评价对象要设定共性的绩效评价指标，以便于评价结果可以相互比较。</w:t>
      </w:r>
    </w:p>
    <w:p>
      <w:pPr>
        <w:numPr>
          <w:ilvl w:val="0"/>
          <w:numId w:val="2"/>
        </w:numPr>
        <w:spacing w:line="600" w:lineRule="exact"/>
        <w:ind w:left="147" w:leftChars="67" w:firstLine="588" w:firstLineChars="196"/>
        <w:jc w:val="both"/>
        <w:rPr>
          <w:rFonts w:ascii="Times New Roman" w:hAnsi="Times New Roman" w:eastAsia="仿宋_GB2312" w:cs="Times New Roman"/>
          <w:sz w:val="30"/>
          <w:szCs w:val="30"/>
          <w:lang w:eastAsia="zh-CN" w:bidi="zh-TW"/>
        </w:rPr>
      </w:pPr>
      <w:bookmarkStart w:id="10" w:name="bookmark54"/>
      <w:bookmarkEnd w:id="10"/>
      <w:r>
        <w:rPr>
          <w:rFonts w:ascii="Times New Roman" w:hAnsi="Times New Roman" w:eastAsia="仿宋_GB2312" w:cs="Times New Roman"/>
          <w:sz w:val="30"/>
          <w:szCs w:val="30"/>
          <w:lang w:eastAsia="zh-CN" w:bidi="zh-TW"/>
        </w:rPr>
        <w:t>系统性原则。应当将定量指标与定性指标相结合，系统反映财政支出所产生的社会效益、经济效益、环境效益和可持续影响等。</w:t>
      </w:r>
    </w:p>
    <w:p>
      <w:pPr>
        <w:numPr>
          <w:ilvl w:val="0"/>
          <w:numId w:val="2"/>
        </w:numPr>
        <w:spacing w:line="600" w:lineRule="exact"/>
        <w:ind w:left="147" w:leftChars="67" w:firstLine="588" w:firstLineChars="196"/>
        <w:jc w:val="both"/>
        <w:rPr>
          <w:rFonts w:ascii="Times New Roman" w:hAnsi="Times New Roman" w:eastAsia="仿宋_GB2312" w:cs="Times New Roman"/>
          <w:sz w:val="30"/>
          <w:szCs w:val="30"/>
          <w:lang w:eastAsia="zh-CN" w:bidi="zh-TW"/>
        </w:rPr>
      </w:pPr>
      <w:bookmarkStart w:id="11" w:name="bookmark55"/>
      <w:bookmarkEnd w:id="11"/>
      <w:r>
        <w:rPr>
          <w:rFonts w:ascii="Times New Roman" w:hAnsi="Times New Roman" w:eastAsia="仿宋_GB2312" w:cs="Times New Roman"/>
          <w:sz w:val="30"/>
          <w:szCs w:val="30"/>
          <w:lang w:eastAsia="zh-CN" w:bidi="zh-TW"/>
        </w:rPr>
        <w:t>经济性原则。应当通俗易懂、简便易行，数据的获得应当考虑现实条件和可操作性，符合成本效益原则。</w:t>
      </w:r>
    </w:p>
    <w:p>
      <w:pPr>
        <w:spacing w:line="600" w:lineRule="exact"/>
        <w:ind w:firstLine="600" w:firstLineChars="200"/>
        <w:jc w:val="both"/>
        <w:rPr>
          <w:rFonts w:ascii="Times New Roman" w:hAnsi="Times New Roman" w:eastAsia="仿宋_GB2312" w:cs="Times New Roman"/>
          <w:color w:val="222222"/>
          <w:sz w:val="30"/>
          <w:szCs w:val="30"/>
          <w:lang w:eastAsia="zh-CN"/>
        </w:rPr>
      </w:pPr>
      <w:bookmarkStart w:id="12" w:name="bookmark56"/>
      <w:r>
        <w:rPr>
          <w:rFonts w:ascii="Times New Roman" w:hAnsi="Times New Roman" w:eastAsia="仿宋_GB2312" w:cs="Times New Roman"/>
          <w:color w:val="222222"/>
          <w:sz w:val="30"/>
          <w:szCs w:val="30"/>
          <w:lang w:eastAsia="zh-CN"/>
        </w:rPr>
        <w:t>（</w:t>
      </w:r>
      <w:bookmarkEnd w:id="12"/>
      <w:r>
        <w:rPr>
          <w:rFonts w:ascii="Times New Roman" w:hAnsi="Times New Roman" w:eastAsia="仿宋_GB2312" w:cs="Times New Roman"/>
          <w:color w:val="222222"/>
          <w:sz w:val="30"/>
          <w:szCs w:val="30"/>
          <w:lang w:eastAsia="zh-CN"/>
        </w:rPr>
        <w:t>2）绩效评价指标体系设计思路</w:t>
      </w:r>
    </w:p>
    <w:p>
      <w:pPr>
        <w:spacing w:line="600" w:lineRule="exact"/>
        <w:ind w:firstLine="588" w:firstLineChars="196"/>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从绩效指标设计的基本原则分析，结合项目实际情况，本次绩效评价指标设计应重点包括四部分内容，一是项目决策指标，即通过评价项目立项依据充分性、立项程序规范性、绩效目标合理性、绩效指标明确性、预算编制科学性及资金分配合理性来分析项目决策是否科学合理；二是项目过程指标，即通过评价项目资金到位率、预算资金执行率、资金使用合规性、管理制度健全性及制度执行有效性来分析项目实施过程所采取的组织措施是否完备三是项目产出指标，即从产出的数量指标、质量指标、时效指标和成本指标分析管理是否全面、及时执行到位，检测是否符合预期质量要求，检测成本是否合理等四是项目效益指标。</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13" w:name="bookmark57"/>
      <w:r>
        <w:rPr>
          <w:rFonts w:ascii="Times New Roman" w:hAnsi="Times New Roman" w:eastAsia="仿宋_GB2312" w:cs="Times New Roman"/>
          <w:color w:val="222222"/>
          <w:sz w:val="30"/>
          <w:szCs w:val="30"/>
          <w:lang w:eastAsia="zh-CN"/>
        </w:rPr>
        <w:t>（</w:t>
      </w:r>
      <w:bookmarkEnd w:id="13"/>
      <w:r>
        <w:rPr>
          <w:rFonts w:ascii="Times New Roman" w:hAnsi="Times New Roman" w:eastAsia="仿宋_GB2312" w:cs="Times New Roman"/>
          <w:color w:val="222222"/>
          <w:sz w:val="30"/>
          <w:szCs w:val="30"/>
          <w:lang w:eastAsia="zh-CN"/>
        </w:rPr>
        <w:t>3）</w:t>
      </w:r>
      <w:r>
        <w:rPr>
          <w:rFonts w:ascii="Times New Roman" w:hAnsi="Times New Roman" w:eastAsia="仿宋_GB2312" w:cs="Times New Roman"/>
          <w:sz w:val="30"/>
          <w:szCs w:val="30"/>
          <w:lang w:eastAsia="zh-CN" w:bidi="zh-TW"/>
        </w:rPr>
        <w:t>绩效评价指标体系</w:t>
      </w:r>
    </w:p>
    <w:p>
      <w:pPr>
        <w:spacing w:line="600" w:lineRule="exact"/>
        <w:ind w:firstLine="588" w:firstLineChars="196"/>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根据绩效评价的基本原理、原则和项目特点，结合财政部《项目支出绩效评价管理办法》（财预（2020）10号）有关要求设置，本次绩效评价指标体系包括决策、过程、产出及效益3个一级指标，8个二级指标、8个三级指标。绩效评价指标体系详见附件。</w:t>
      </w:r>
    </w:p>
    <w:p>
      <w:pPr>
        <w:numPr>
          <w:ilvl w:val="0"/>
          <w:numId w:val="3"/>
        </w:numPr>
        <w:spacing w:line="600" w:lineRule="exact"/>
        <w:ind w:left="147" w:leftChars="67" w:firstLine="588" w:firstLineChars="196"/>
        <w:jc w:val="both"/>
        <w:rPr>
          <w:rFonts w:ascii="Times New Roman" w:hAnsi="Times New Roman" w:eastAsia="仿宋_GB2312" w:cs="Times New Roman"/>
          <w:sz w:val="30"/>
          <w:szCs w:val="30"/>
          <w:lang w:val="zh-TW" w:eastAsia="zh-CN" w:bidi="zh-TW"/>
        </w:rPr>
      </w:pPr>
      <w:r>
        <w:rPr>
          <w:rFonts w:ascii="Times New Roman" w:hAnsi="Times New Roman" w:eastAsia="仿宋_GB2312" w:cs="Times New Roman"/>
          <w:sz w:val="30"/>
          <w:szCs w:val="30"/>
          <w:lang w:val="zh-TW" w:eastAsia="zh-CN" w:bidi="zh-TW"/>
        </w:rPr>
        <w:t>决策占权重</w:t>
      </w:r>
      <w:r>
        <w:rPr>
          <w:rFonts w:ascii="Times New Roman" w:hAnsi="Times New Roman" w:eastAsia="PMingLiU" w:cs="Times New Roman"/>
          <w:sz w:val="30"/>
          <w:szCs w:val="30"/>
          <w:lang w:val="zh-TW" w:eastAsia="zh-TW" w:bidi="zh-TW"/>
        </w:rPr>
        <w:t>2</w:t>
      </w:r>
      <w:r>
        <w:rPr>
          <w:rFonts w:ascii="Times New Roman" w:hAnsi="Times New Roman" w:eastAsia="仿宋_GB2312" w:cs="Times New Roman"/>
          <w:sz w:val="30"/>
          <w:szCs w:val="30"/>
          <w:lang w:val="zh-TW" w:eastAsia="zh-TW" w:bidi="zh-TW"/>
        </w:rPr>
        <w:t>0</w:t>
      </w:r>
      <w:r>
        <w:rPr>
          <w:rFonts w:ascii="Times New Roman" w:hAnsi="Times New Roman" w:eastAsia="仿宋_GB2312" w:cs="Times New Roman"/>
          <w:sz w:val="30"/>
          <w:szCs w:val="30"/>
          <w:lang w:val="zh-TW" w:eastAsia="zh-CN" w:bidi="zh-TW"/>
        </w:rPr>
        <w:t>分。用于考核项目立项、绩效目标及资金投入三个方面。</w:t>
      </w:r>
    </w:p>
    <w:p>
      <w:pPr>
        <w:numPr>
          <w:ilvl w:val="0"/>
          <w:numId w:val="3"/>
        </w:numPr>
        <w:spacing w:line="600" w:lineRule="exact"/>
        <w:ind w:left="147" w:leftChars="67" w:firstLine="588" w:firstLineChars="196"/>
        <w:jc w:val="both"/>
        <w:rPr>
          <w:rFonts w:ascii="Times New Roman" w:hAnsi="Times New Roman" w:eastAsia="仿宋_GB2312" w:cs="Times New Roman"/>
          <w:sz w:val="30"/>
          <w:szCs w:val="30"/>
          <w:lang w:val="zh-TW" w:eastAsia="zh-CN" w:bidi="zh-TW"/>
        </w:rPr>
      </w:pPr>
      <w:bookmarkStart w:id="14" w:name="bookmark59"/>
      <w:bookmarkEnd w:id="14"/>
      <w:r>
        <w:rPr>
          <w:rFonts w:ascii="Times New Roman" w:hAnsi="Times New Roman" w:eastAsia="仿宋_GB2312" w:cs="Times New Roman"/>
          <w:sz w:val="30"/>
          <w:szCs w:val="30"/>
          <w:lang w:val="zh-TW" w:eastAsia="zh-CN" w:bidi="zh-TW"/>
        </w:rPr>
        <w:t>过程占权重</w:t>
      </w:r>
      <w:r>
        <w:rPr>
          <w:rFonts w:ascii="Times New Roman" w:hAnsi="Times New Roman" w:eastAsia="PMingLiU" w:cs="Times New Roman"/>
          <w:sz w:val="30"/>
          <w:szCs w:val="30"/>
          <w:lang w:val="zh-TW" w:eastAsia="zh-TW" w:bidi="zh-TW"/>
        </w:rPr>
        <w:t>15</w:t>
      </w:r>
      <w:r>
        <w:rPr>
          <w:rFonts w:ascii="Times New Roman" w:hAnsi="Times New Roman" w:eastAsia="仿宋_GB2312" w:cs="Times New Roman"/>
          <w:sz w:val="30"/>
          <w:szCs w:val="30"/>
          <w:lang w:val="zh-TW" w:eastAsia="zh-CN" w:bidi="zh-TW"/>
        </w:rPr>
        <w:t>分，用于考核资金管理及组织实施两个方面。</w:t>
      </w:r>
    </w:p>
    <w:p>
      <w:pPr>
        <w:numPr>
          <w:ilvl w:val="0"/>
          <w:numId w:val="3"/>
        </w:numPr>
        <w:spacing w:line="600" w:lineRule="exact"/>
        <w:ind w:left="147" w:leftChars="67" w:firstLine="588" w:firstLineChars="196"/>
        <w:jc w:val="both"/>
        <w:rPr>
          <w:rFonts w:ascii="Times New Roman" w:hAnsi="Times New Roman" w:eastAsia="仿宋_GB2312" w:cs="Times New Roman"/>
          <w:sz w:val="30"/>
          <w:szCs w:val="30"/>
          <w:lang w:val="zh-TW" w:eastAsia="zh-CN" w:bidi="zh-TW"/>
        </w:rPr>
      </w:pPr>
      <w:bookmarkStart w:id="15" w:name="bookmark60"/>
      <w:bookmarkEnd w:id="15"/>
      <w:r>
        <w:rPr>
          <w:rFonts w:ascii="Times New Roman" w:hAnsi="Times New Roman" w:eastAsia="仿宋_GB2312" w:cs="Times New Roman"/>
          <w:sz w:val="30"/>
          <w:szCs w:val="30"/>
          <w:lang w:val="zh-TW" w:eastAsia="zh-CN" w:bidi="zh-TW"/>
        </w:rPr>
        <w:t>产出占权重</w:t>
      </w:r>
      <w:r>
        <w:rPr>
          <w:rFonts w:ascii="Times New Roman" w:hAnsi="Times New Roman" w:eastAsia="PMingLiU" w:cs="Times New Roman"/>
          <w:sz w:val="30"/>
          <w:szCs w:val="30"/>
          <w:lang w:val="zh-TW" w:eastAsia="zh-TW" w:bidi="zh-TW"/>
        </w:rPr>
        <w:t>3</w:t>
      </w:r>
      <w:r>
        <w:rPr>
          <w:rFonts w:ascii="Times New Roman" w:hAnsi="Times New Roman" w:eastAsia="仿宋_GB2312" w:cs="Times New Roman"/>
          <w:sz w:val="30"/>
          <w:szCs w:val="30"/>
          <w:lang w:val="zh-TW" w:eastAsia="zh-TW" w:bidi="zh-TW"/>
        </w:rPr>
        <w:t>0</w:t>
      </w:r>
      <w:r>
        <w:rPr>
          <w:rFonts w:ascii="Times New Roman" w:hAnsi="Times New Roman" w:eastAsia="仿宋_GB2312" w:cs="Times New Roman"/>
          <w:sz w:val="30"/>
          <w:szCs w:val="30"/>
          <w:lang w:val="zh-TW" w:eastAsia="zh-CN" w:bidi="zh-TW"/>
        </w:rPr>
        <w:t>分，用于考核产出数量、产出质量、产出时效及产出成本四个方面。</w:t>
      </w:r>
    </w:p>
    <w:p>
      <w:pPr>
        <w:numPr>
          <w:ilvl w:val="0"/>
          <w:numId w:val="3"/>
        </w:numPr>
        <w:spacing w:line="600" w:lineRule="exact"/>
        <w:ind w:left="147" w:leftChars="67" w:firstLine="588" w:firstLineChars="196"/>
        <w:jc w:val="both"/>
        <w:rPr>
          <w:rFonts w:ascii="Times New Roman" w:hAnsi="Times New Roman" w:eastAsia="仿宋_GB2312" w:cs="Times New Roman"/>
          <w:sz w:val="30"/>
          <w:szCs w:val="30"/>
          <w:lang w:eastAsia="zh-TW" w:bidi="zh-TW"/>
        </w:rPr>
      </w:pPr>
      <w:bookmarkStart w:id="16" w:name="bookmark61"/>
      <w:bookmarkEnd w:id="16"/>
      <w:r>
        <w:rPr>
          <w:rFonts w:ascii="Times New Roman" w:hAnsi="Times New Roman" w:eastAsia="仿宋_GB2312" w:cs="Times New Roman"/>
          <w:sz w:val="30"/>
          <w:szCs w:val="30"/>
          <w:lang w:val="zh-TW" w:eastAsia="zh-CN" w:bidi="zh-TW"/>
        </w:rPr>
        <w:t>效益占权重</w:t>
      </w:r>
      <w:r>
        <w:rPr>
          <w:rFonts w:ascii="Times New Roman" w:hAnsi="Times New Roman" w:eastAsia="PMingLiU" w:cs="Times New Roman"/>
          <w:sz w:val="30"/>
          <w:szCs w:val="30"/>
          <w:lang w:val="zh-TW" w:eastAsia="zh-TW" w:bidi="zh-TW"/>
        </w:rPr>
        <w:t>35</w:t>
      </w:r>
      <w:r>
        <w:rPr>
          <w:rFonts w:ascii="Times New Roman" w:hAnsi="Times New Roman" w:eastAsia="仿宋_GB2312" w:cs="Times New Roman"/>
          <w:sz w:val="30"/>
          <w:szCs w:val="30"/>
          <w:lang w:val="zh-TW" w:eastAsia="zh-CN" w:bidi="zh-TW"/>
        </w:rPr>
        <w:t>分，用于考核实施效益、满意度两个方面。</w:t>
      </w:r>
    </w:p>
    <w:p>
      <w:pPr>
        <w:spacing w:line="600" w:lineRule="exact"/>
        <w:ind w:firstLine="600" w:firstLineChars="200"/>
        <w:jc w:val="both"/>
        <w:rPr>
          <w:rFonts w:ascii="Times New Roman" w:hAnsi="Times New Roman" w:eastAsia="仿宋_GB2312" w:cs="Times New Roman"/>
          <w:color w:val="222222"/>
          <w:sz w:val="30"/>
          <w:szCs w:val="30"/>
          <w:lang w:eastAsia="zh-CN"/>
        </w:rPr>
      </w:pPr>
      <w:bookmarkStart w:id="17" w:name="bookmark58"/>
      <w:bookmarkEnd w:id="17"/>
      <w:bookmarkStart w:id="18" w:name="bookmark62"/>
      <w:r>
        <w:rPr>
          <w:rFonts w:ascii="Times New Roman" w:hAnsi="Times New Roman" w:eastAsia="仿宋_GB2312" w:cs="Times New Roman"/>
          <w:color w:val="222222"/>
          <w:sz w:val="30"/>
          <w:szCs w:val="30"/>
          <w:lang w:eastAsia="zh-CN"/>
        </w:rPr>
        <w:t>4</w:t>
      </w:r>
      <w:bookmarkEnd w:id="18"/>
      <w:r>
        <w:rPr>
          <w:rFonts w:ascii="Times New Roman" w:hAnsi="Times New Roman" w:eastAsia="仿宋_GB2312" w:cs="Times New Roman"/>
          <w:color w:val="222222"/>
          <w:sz w:val="30"/>
          <w:szCs w:val="30"/>
          <w:lang w:eastAsia="zh-CN"/>
        </w:rPr>
        <w:t>、评价标准</w:t>
      </w:r>
    </w:p>
    <w:p>
      <w:pPr>
        <w:spacing w:line="600" w:lineRule="exact"/>
        <w:ind w:firstLine="588" w:firstLineChars="196"/>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bidi="en-US"/>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（三）绩效评价工作过程。</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19" w:name="bookmark73"/>
      <w:r>
        <w:rPr>
          <w:rFonts w:ascii="Times New Roman" w:hAnsi="Times New Roman" w:eastAsia="仿宋_GB2312" w:cs="Times New Roman"/>
          <w:sz w:val="30"/>
          <w:szCs w:val="30"/>
          <w:lang w:eastAsia="zh-CN" w:bidi="zh-TW"/>
        </w:rPr>
        <w:t>1</w:t>
      </w:r>
      <w:bookmarkEnd w:id="19"/>
      <w:r>
        <w:rPr>
          <w:rFonts w:ascii="Times New Roman" w:hAnsi="Times New Roman" w:eastAsia="仿宋_GB2312" w:cs="Times New Roman"/>
          <w:sz w:val="30"/>
          <w:szCs w:val="30"/>
          <w:lang w:eastAsia="zh-CN" w:bidi="zh-TW"/>
        </w:rPr>
        <w:t>、了解评价对象情况</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根据主管部门的介绍及相关文件的解读，了解项目实施情况，确定本次绩效评价类型、适用的原理框架、评价重点领域及涉及到的相关方。</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20" w:name="bookmark74"/>
      <w:r>
        <w:rPr>
          <w:rFonts w:ascii="Times New Roman" w:hAnsi="Times New Roman" w:eastAsia="仿宋_GB2312" w:cs="Times New Roman"/>
          <w:sz w:val="30"/>
          <w:szCs w:val="30"/>
          <w:lang w:eastAsia="zh-CN" w:bidi="zh-TW"/>
        </w:rPr>
        <w:t>2</w:t>
      </w:r>
      <w:bookmarkEnd w:id="20"/>
      <w:r>
        <w:rPr>
          <w:rFonts w:ascii="Times New Roman" w:hAnsi="Times New Roman" w:eastAsia="仿宋_GB2312" w:cs="Times New Roman"/>
          <w:sz w:val="30"/>
          <w:szCs w:val="30"/>
          <w:lang w:eastAsia="zh-CN" w:bidi="zh-TW"/>
        </w:rPr>
        <w:t>、选择绩效评价团队</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基于对项目的情况了解，选择有类似经验的绩效评价团队。保证团队能够有效开展本次绩效评价工作，全面发现项目存在的问题，提出有指导性和建设性的意见建议。</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21" w:name="bookmark75"/>
      <w:r>
        <w:rPr>
          <w:rFonts w:ascii="Times New Roman" w:hAnsi="Times New Roman" w:eastAsia="仿宋_GB2312" w:cs="Times New Roman"/>
          <w:sz w:val="30"/>
          <w:szCs w:val="30"/>
          <w:lang w:eastAsia="zh-CN" w:bidi="zh-TW"/>
        </w:rPr>
        <w:t>3</w:t>
      </w:r>
      <w:bookmarkEnd w:id="21"/>
      <w:r>
        <w:rPr>
          <w:rFonts w:ascii="Times New Roman" w:hAnsi="Times New Roman" w:eastAsia="仿宋_GB2312" w:cs="Times New Roman"/>
          <w:sz w:val="30"/>
          <w:szCs w:val="30"/>
          <w:lang w:eastAsia="zh-CN" w:bidi="zh-TW"/>
        </w:rPr>
        <w:t>、制订绩效评价实施方案</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结合项目实际情况，制订本次绩效评价实施方案，重点做好绩效评价指标体系设计及检查安排相关事宜，确保指标体系能充分反映项目真实绩效。</w:t>
      </w:r>
      <w:bookmarkStart w:id="22" w:name="bookmark76"/>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4</w:t>
      </w:r>
      <w:bookmarkEnd w:id="22"/>
      <w:r>
        <w:rPr>
          <w:rFonts w:ascii="Times New Roman" w:hAnsi="Times New Roman" w:eastAsia="仿宋_GB2312" w:cs="Times New Roman"/>
          <w:sz w:val="30"/>
          <w:szCs w:val="30"/>
          <w:lang w:eastAsia="zh-CN" w:bidi="zh-TW"/>
        </w:rPr>
        <w:t>、收集绩效评价相关资料</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通过收集和查阅与评价项目相关公开数据、文献资料、政策规定、法律规范、实施情况等相关资料，充分掌握项目相关政策及绩效实现情况。</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23" w:name="bookmark77"/>
      <w:r>
        <w:rPr>
          <w:rFonts w:ascii="Times New Roman" w:hAnsi="Times New Roman" w:eastAsia="仿宋_GB2312" w:cs="Times New Roman"/>
          <w:sz w:val="30"/>
          <w:szCs w:val="30"/>
          <w:lang w:eastAsia="zh-CN" w:bidi="zh-TW"/>
        </w:rPr>
        <w:t>5</w:t>
      </w:r>
      <w:bookmarkEnd w:id="23"/>
      <w:r>
        <w:rPr>
          <w:rFonts w:ascii="Times New Roman" w:hAnsi="Times New Roman" w:eastAsia="仿宋_GB2312" w:cs="Times New Roman"/>
          <w:sz w:val="30"/>
          <w:szCs w:val="30"/>
          <w:lang w:eastAsia="zh-CN" w:bidi="zh-TW"/>
        </w:rPr>
        <w:t>、对资料进行审查核实</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一方面对专项资金支出合法性、合理性和合规性进行客观、公正的核查，另一方面通过对资金进行梳理汇总分类，掌握项目的开展情况。重点关注资金支出反映的工作开展情况、支出事项是否属实以及开支范围和标准是否符合相关文件要求。</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24" w:name="bookmark78"/>
      <w:r>
        <w:rPr>
          <w:rFonts w:ascii="Times New Roman" w:hAnsi="Times New Roman" w:eastAsia="仿宋_GB2312" w:cs="Times New Roman"/>
          <w:sz w:val="30"/>
          <w:szCs w:val="30"/>
          <w:lang w:eastAsia="zh-CN" w:bidi="zh-TW"/>
        </w:rPr>
        <w:t>6</w:t>
      </w:r>
      <w:bookmarkEnd w:id="24"/>
      <w:r>
        <w:rPr>
          <w:rFonts w:ascii="Times New Roman" w:hAnsi="Times New Roman" w:eastAsia="仿宋_GB2312" w:cs="Times New Roman"/>
          <w:sz w:val="30"/>
          <w:szCs w:val="30"/>
          <w:lang w:eastAsia="zh-CN" w:bidi="zh-TW"/>
        </w:rPr>
        <w:t>、综合分析并确定评价等级</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运用既定的分析方法，结合项目指标体系，对项目资料审核情况进行全面深入分析，对各项评价指标进行评分，通过加权计算出最终的评价分值，并确定相应的绩效等级。</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25" w:name="bookmark79"/>
      <w:r>
        <w:rPr>
          <w:rFonts w:ascii="Times New Roman" w:hAnsi="Times New Roman" w:eastAsia="仿宋_GB2312" w:cs="Times New Roman"/>
          <w:sz w:val="30"/>
          <w:szCs w:val="30"/>
          <w:lang w:eastAsia="zh-CN" w:bidi="zh-TW"/>
        </w:rPr>
        <w:t>7</w:t>
      </w:r>
      <w:bookmarkEnd w:id="25"/>
      <w:r>
        <w:rPr>
          <w:rFonts w:ascii="Times New Roman" w:hAnsi="Times New Roman" w:eastAsia="仿宋_GB2312" w:cs="Times New Roman"/>
          <w:sz w:val="30"/>
          <w:szCs w:val="30"/>
          <w:lang w:eastAsia="zh-CN" w:bidi="zh-TW"/>
        </w:rPr>
        <w:t>、形成评价结论</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按照既定要求在内外部组织讨论，从各评价维度对相关细节问题 进行核实，形成综合评价结论反映绩效目标的实现程度、绩效指标完成情况、取得的经验与存在的问题、产生问题的原因及相关的对策建议。</w:t>
      </w:r>
    </w:p>
    <w:p>
      <w:pPr>
        <w:spacing w:line="600" w:lineRule="exact"/>
        <w:ind w:firstLine="614" w:firstLineChars="200"/>
        <w:jc w:val="both"/>
        <w:rPr>
          <w:rFonts w:ascii="Times New Roman" w:hAnsi="Times New Roman" w:eastAsia="仿宋_GB2312" w:cs="Times New Roman"/>
          <w:spacing w:val="-4"/>
          <w:w w:val="105"/>
          <w:sz w:val="30"/>
          <w:szCs w:val="30"/>
          <w:lang w:eastAsia="zh-CN"/>
        </w:rPr>
      </w:pPr>
      <w:r>
        <w:rPr>
          <w:rFonts w:ascii="Times New Roman" w:hAnsi="Times New Roman" w:eastAsia="仿宋_GB2312" w:cs="Times New Roman"/>
          <w:spacing w:val="-4"/>
          <w:w w:val="105"/>
          <w:sz w:val="30"/>
          <w:szCs w:val="30"/>
          <w:lang w:eastAsia="zh-CN"/>
        </w:rPr>
        <w:t>三、综合评价情况及评价结论（附相关评分表）</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评价组围绕绩效评价指标体系，通过资料核查、数据分析、现场调研及深度访谈等方式，对该项目绩效进行了客观公正的评价，最终评分为。</w:t>
      </w:r>
    </w:p>
    <w:tbl>
      <w:tblPr>
        <w:tblStyle w:val="5"/>
        <w:tblpPr w:leftFromText="180" w:rightFromText="180" w:horzAnchor="margin" w:tblpY="720"/>
        <w:tblW w:w="8799" w:type="dxa"/>
        <w:tblInd w:w="0" w:type="dxa"/>
        <w:tblLayout w:type="fixed"/>
        <w:tblCellMar>
          <w:top w:w="0" w:type="dxa"/>
          <w:left w:w="10" w:type="dxa"/>
          <w:bottom w:w="0" w:type="dxa"/>
          <w:right w:w="10" w:type="dxa"/>
        </w:tblCellMar>
      </w:tblPr>
      <w:tblGrid>
        <w:gridCol w:w="861"/>
        <w:gridCol w:w="709"/>
        <w:gridCol w:w="708"/>
        <w:gridCol w:w="851"/>
        <w:gridCol w:w="5670"/>
      </w:tblGrid>
      <w:tr>
        <w:tblPrEx>
          <w:tblCellMar>
            <w:top w:w="0" w:type="dxa"/>
            <w:left w:w="10" w:type="dxa"/>
            <w:bottom w:w="0" w:type="dxa"/>
            <w:right w:w="10" w:type="dxa"/>
          </w:tblCellMar>
        </w:tblPrEx>
        <w:trPr>
          <w:trHeight w:val="861" w:hRule="exact"/>
        </w:trPr>
        <w:tc>
          <w:tcPr>
            <w:tcW w:w="861" w:type="dxa"/>
            <w:tcBorders>
              <w:top w:val="single" w:color="auto" w:sz="4" w:space="0"/>
              <w:left w:val="single" w:color="auto" w:sz="4" w:space="0"/>
            </w:tcBorders>
            <w:shd w:val="clear" w:color="auto" w:fill="FFFFFF"/>
          </w:tcPr>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r>
              <w:rPr>
                <w:rFonts w:ascii="宋体" w:hAnsi="宋体" w:eastAsia="宋体" w:cs="Times New Roman"/>
                <w:sz w:val="20"/>
                <w:szCs w:val="20"/>
                <w:lang w:eastAsia="zh-CN"/>
              </w:rPr>
              <w:t>评价内容</w:t>
            </w:r>
          </w:p>
        </w:tc>
        <w:tc>
          <w:tcPr>
            <w:tcW w:w="709" w:type="dxa"/>
            <w:tcBorders>
              <w:top w:val="single" w:color="auto" w:sz="4" w:space="0"/>
              <w:left w:val="single" w:color="auto" w:sz="4" w:space="0"/>
            </w:tcBorders>
            <w:shd w:val="clear" w:color="auto" w:fill="FFFFFF"/>
          </w:tcPr>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r>
              <w:rPr>
                <w:rFonts w:ascii="宋体" w:hAnsi="宋体" w:eastAsia="宋体" w:cs="Times New Roman"/>
                <w:sz w:val="20"/>
                <w:szCs w:val="20"/>
                <w:lang w:eastAsia="zh-CN"/>
              </w:rPr>
              <w:t>分值</w:t>
            </w:r>
          </w:p>
        </w:tc>
        <w:tc>
          <w:tcPr>
            <w:tcW w:w="708" w:type="dxa"/>
            <w:tcBorders>
              <w:top w:val="single" w:color="auto" w:sz="4" w:space="0"/>
              <w:left w:val="single" w:color="auto" w:sz="4" w:space="0"/>
            </w:tcBorders>
            <w:shd w:val="clear" w:color="auto" w:fill="FFFFFF"/>
          </w:tcPr>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r>
              <w:rPr>
                <w:rFonts w:ascii="宋体" w:hAnsi="宋体" w:eastAsia="宋体" w:cs="Times New Roman"/>
                <w:sz w:val="20"/>
                <w:szCs w:val="20"/>
                <w:lang w:eastAsia="zh-CN"/>
              </w:rPr>
              <w:t>得分</w:t>
            </w:r>
          </w:p>
        </w:tc>
        <w:tc>
          <w:tcPr>
            <w:tcW w:w="851" w:type="dxa"/>
            <w:tcBorders>
              <w:top w:val="single" w:color="auto" w:sz="4" w:space="0"/>
              <w:left w:val="single" w:color="auto" w:sz="4" w:space="0"/>
            </w:tcBorders>
            <w:shd w:val="clear" w:color="auto" w:fill="FFFFFF"/>
          </w:tcPr>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r>
              <w:rPr>
                <w:rFonts w:ascii="宋体" w:hAnsi="宋体" w:eastAsia="宋体" w:cs="Times New Roman"/>
                <w:sz w:val="20"/>
                <w:szCs w:val="20"/>
                <w:lang w:eastAsia="zh-CN"/>
              </w:rPr>
              <w:t>得分率</w:t>
            </w:r>
          </w:p>
        </w:tc>
        <w:tc>
          <w:tcPr>
            <w:tcW w:w="5670" w:type="dxa"/>
            <w:tcBorders>
              <w:top w:val="single" w:color="auto" w:sz="4" w:space="0"/>
              <w:left w:val="single" w:color="auto" w:sz="4" w:space="0"/>
              <w:right w:val="single" w:color="auto" w:sz="4" w:space="0"/>
            </w:tcBorders>
            <w:shd w:val="clear" w:color="auto" w:fill="FFFFFF"/>
            <w:vAlign w:val="center"/>
          </w:tcPr>
          <w:p>
            <w:pPr>
              <w:pStyle w:val="15"/>
              <w:tabs>
                <w:tab w:val="left" w:pos="315"/>
              </w:tabs>
              <w:adjustRightInd w:val="0"/>
              <w:snapToGrid w:val="0"/>
              <w:jc w:val="center"/>
              <w:rPr>
                <w:rFonts w:cs="Times New Roman"/>
                <w:color w:val="000000"/>
                <w:sz w:val="20"/>
                <w:szCs w:val="20"/>
              </w:rPr>
            </w:pPr>
            <w:r>
              <w:rPr>
                <w:rFonts w:cs="Times New Roman"/>
                <w:color w:val="000000"/>
                <w:sz w:val="20"/>
                <w:szCs w:val="20"/>
              </w:rPr>
              <w:t>评价结论</w:t>
            </w:r>
          </w:p>
        </w:tc>
      </w:tr>
      <w:tr>
        <w:tblPrEx>
          <w:tblCellMar>
            <w:top w:w="0" w:type="dxa"/>
            <w:left w:w="10" w:type="dxa"/>
            <w:bottom w:w="0" w:type="dxa"/>
            <w:right w:w="10" w:type="dxa"/>
          </w:tblCellMar>
        </w:tblPrEx>
        <w:trPr>
          <w:trHeight w:val="1844" w:hRule="exact"/>
        </w:trPr>
        <w:tc>
          <w:tcPr>
            <w:tcW w:w="861" w:type="dxa"/>
            <w:tcBorders>
              <w:top w:val="single" w:color="auto" w:sz="4" w:space="0"/>
              <w:left w:val="single" w:color="auto" w:sz="4" w:space="0"/>
            </w:tcBorders>
            <w:shd w:val="clear" w:color="auto" w:fill="FFFFFF"/>
          </w:tcPr>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r>
              <w:rPr>
                <w:rFonts w:ascii="宋体" w:hAnsi="宋体" w:eastAsia="宋体" w:cs="Times New Roman"/>
                <w:sz w:val="20"/>
                <w:szCs w:val="20"/>
                <w:lang w:eastAsia="zh-CN"/>
              </w:rPr>
              <w:t>决策</w:t>
            </w:r>
          </w:p>
        </w:tc>
        <w:tc>
          <w:tcPr>
            <w:tcW w:w="709" w:type="dxa"/>
            <w:tcBorders>
              <w:top w:val="single" w:color="auto" w:sz="4" w:space="0"/>
              <w:left w:val="single" w:color="auto" w:sz="4" w:space="0"/>
            </w:tcBorders>
            <w:shd w:val="clear" w:color="auto" w:fill="FFFFFF"/>
          </w:tcPr>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r>
              <w:rPr>
                <w:rFonts w:ascii="宋体" w:hAnsi="宋体" w:eastAsia="宋体" w:cs="Times New Roman"/>
                <w:sz w:val="20"/>
                <w:szCs w:val="20"/>
                <w:lang w:eastAsia="zh-CN"/>
              </w:rPr>
              <w:t>20</w:t>
            </w:r>
          </w:p>
        </w:tc>
        <w:tc>
          <w:tcPr>
            <w:tcW w:w="708" w:type="dxa"/>
            <w:tcBorders>
              <w:top w:val="single" w:color="auto" w:sz="4" w:space="0"/>
              <w:left w:val="single" w:color="auto" w:sz="4" w:space="0"/>
            </w:tcBorders>
            <w:shd w:val="clear" w:color="auto" w:fill="FFFFFF"/>
          </w:tcPr>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p>
          <w:p>
            <w:pPr>
              <w:adjustRightInd w:val="0"/>
              <w:snapToGrid w:val="0"/>
              <w:ind w:firstLine="200" w:firstLineChars="100"/>
              <w:rPr>
                <w:rFonts w:hint="eastAsia" w:ascii="宋体" w:hAnsi="宋体" w:eastAsia="宋体" w:cs="Times New Roman"/>
                <w:sz w:val="20"/>
                <w:szCs w:val="20"/>
                <w:lang w:eastAsia="zh-CN"/>
              </w:rPr>
            </w:pPr>
            <w:r>
              <w:rPr>
                <w:rFonts w:hint="eastAsia" w:ascii="宋体" w:hAnsi="宋体" w:eastAsia="宋体" w:cs="Times New Roman"/>
                <w:sz w:val="20"/>
                <w:szCs w:val="20"/>
                <w:lang w:eastAsia="zh-CN"/>
              </w:rPr>
              <w:t>2</w:t>
            </w:r>
            <w:r>
              <w:rPr>
                <w:rFonts w:ascii="宋体" w:hAnsi="宋体" w:eastAsia="宋体" w:cs="Times New Roman"/>
                <w:sz w:val="20"/>
                <w:szCs w:val="20"/>
                <w:lang w:eastAsia="zh-CN"/>
              </w:rPr>
              <w:t>0</w:t>
            </w:r>
          </w:p>
        </w:tc>
        <w:tc>
          <w:tcPr>
            <w:tcW w:w="851" w:type="dxa"/>
            <w:tcBorders>
              <w:top w:val="single" w:color="auto" w:sz="4" w:space="0"/>
              <w:left w:val="single" w:color="auto" w:sz="4" w:space="0"/>
            </w:tcBorders>
            <w:shd w:val="clear" w:color="auto" w:fill="FFFFFF"/>
          </w:tcPr>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p>
          <w:p>
            <w:pPr>
              <w:adjustRightInd w:val="0"/>
              <w:snapToGrid w:val="0"/>
              <w:jc w:val="center"/>
              <w:rPr>
                <w:rFonts w:ascii="宋体" w:hAnsi="宋体" w:eastAsia="宋体" w:cs="Times New Roman"/>
                <w:sz w:val="20"/>
                <w:szCs w:val="20"/>
                <w:lang w:eastAsia="zh-CN"/>
              </w:rPr>
            </w:pPr>
          </w:p>
          <w:p>
            <w:pPr>
              <w:adjustRightInd w:val="0"/>
              <w:snapToGrid w:val="0"/>
              <w:jc w:val="center"/>
              <w:rPr>
                <w:rFonts w:hint="eastAsia" w:ascii="宋体" w:hAnsi="宋体" w:eastAsia="宋体" w:cs="Times New Roman"/>
                <w:sz w:val="20"/>
                <w:szCs w:val="20"/>
                <w:lang w:eastAsia="zh-CN"/>
              </w:rPr>
            </w:pPr>
            <w:r>
              <w:rPr>
                <w:rFonts w:hint="eastAsia" w:ascii="宋体" w:hAnsi="宋体" w:eastAsia="宋体" w:cs="Times New Roman"/>
                <w:sz w:val="20"/>
                <w:szCs w:val="20"/>
                <w:lang w:eastAsia="zh-CN"/>
              </w:rPr>
              <w:t>1</w:t>
            </w:r>
            <w:r>
              <w:rPr>
                <w:rFonts w:ascii="宋体" w:hAnsi="宋体" w:eastAsia="宋体" w:cs="Times New Roman"/>
                <w:sz w:val="20"/>
                <w:szCs w:val="20"/>
                <w:lang w:eastAsia="zh-CN"/>
              </w:rPr>
              <w:t>00</w:t>
            </w:r>
            <w:r>
              <w:rPr>
                <w:rFonts w:hint="eastAsia" w:ascii="宋体" w:hAnsi="宋体" w:eastAsia="宋体" w:cs="Times New Roman"/>
                <w:sz w:val="20"/>
                <w:szCs w:val="20"/>
                <w:lang w:eastAsia="zh-CN"/>
              </w:rPr>
              <w:t>%</w:t>
            </w:r>
          </w:p>
        </w:tc>
        <w:tc>
          <w:tcPr>
            <w:tcW w:w="5670" w:type="dxa"/>
            <w:tcBorders>
              <w:top w:val="single" w:color="auto" w:sz="4" w:space="0"/>
              <w:left w:val="single" w:color="auto" w:sz="4" w:space="0"/>
              <w:right w:val="single" w:color="auto" w:sz="4" w:space="0"/>
            </w:tcBorders>
            <w:shd w:val="clear" w:color="auto" w:fill="FFFFFF"/>
            <w:vAlign w:val="center"/>
          </w:tcPr>
          <w:p>
            <w:pPr>
              <w:pStyle w:val="15"/>
              <w:tabs>
                <w:tab w:val="left" w:pos="315"/>
              </w:tabs>
              <w:adjustRightInd w:val="0"/>
              <w:snapToGrid w:val="0"/>
              <w:rPr>
                <w:rFonts w:cs="Times New Roman"/>
                <w:sz w:val="20"/>
                <w:szCs w:val="20"/>
              </w:rPr>
            </w:pPr>
            <w:r>
              <w:rPr>
                <w:rFonts w:eastAsia="PMingLiU" w:cs="Times New Roman"/>
                <w:color w:val="000000"/>
                <w:sz w:val="20"/>
                <w:szCs w:val="20"/>
              </w:rPr>
              <w:t>1</w:t>
            </w:r>
            <w:r>
              <w:rPr>
                <w:rFonts w:cs="Times New Roman"/>
                <w:color w:val="000000"/>
                <w:sz w:val="20"/>
                <w:szCs w:val="20"/>
              </w:rPr>
              <w:t>、</w:t>
            </w:r>
            <w:r>
              <w:rPr>
                <w:rFonts w:cs="Times New Roman"/>
                <w:color w:val="000000"/>
                <w:sz w:val="20"/>
                <w:szCs w:val="20"/>
              </w:rPr>
              <w:tab/>
            </w:r>
            <w:r>
              <w:rPr>
                <w:rFonts w:hint="eastAsia" w:cs="Times New Roman"/>
                <w:color w:val="000000"/>
                <w:sz w:val="20"/>
                <w:szCs w:val="20"/>
              </w:rPr>
              <w:t>项目立项符合国家法律法规、国民经济发展规划和相关政策；</w:t>
            </w:r>
          </w:p>
          <w:p>
            <w:pPr>
              <w:pStyle w:val="15"/>
              <w:tabs>
                <w:tab w:val="left" w:pos="300"/>
              </w:tabs>
              <w:adjustRightInd w:val="0"/>
              <w:snapToGrid w:val="0"/>
              <w:rPr>
                <w:rFonts w:cs="Times New Roman"/>
                <w:color w:val="000000"/>
                <w:sz w:val="20"/>
                <w:szCs w:val="20"/>
              </w:rPr>
            </w:pPr>
            <w:r>
              <w:rPr>
                <w:rFonts w:eastAsia="PMingLiU" w:cs="Times New Roman"/>
                <w:color w:val="000000"/>
                <w:sz w:val="20"/>
                <w:szCs w:val="20"/>
              </w:rPr>
              <w:t>2</w:t>
            </w:r>
            <w:r>
              <w:rPr>
                <w:rFonts w:cs="Times New Roman"/>
                <w:color w:val="000000"/>
                <w:sz w:val="20"/>
                <w:szCs w:val="20"/>
              </w:rPr>
              <w:t>、</w:t>
            </w:r>
            <w:r>
              <w:rPr>
                <w:rFonts w:hint="eastAsia" w:cs="Times New Roman"/>
                <w:color w:val="000000"/>
                <w:sz w:val="20"/>
                <w:szCs w:val="20"/>
              </w:rPr>
              <w:t>项目立项符合行业发展规划和政策要求；</w:t>
            </w:r>
          </w:p>
          <w:p>
            <w:pPr>
              <w:pStyle w:val="15"/>
              <w:tabs>
                <w:tab w:val="left" w:pos="300"/>
              </w:tabs>
              <w:adjustRightInd w:val="0"/>
              <w:snapToGrid w:val="0"/>
              <w:rPr>
                <w:rFonts w:hint="eastAsia" w:cs="Times New Roman"/>
                <w:color w:val="000000"/>
                <w:sz w:val="20"/>
                <w:szCs w:val="20"/>
              </w:rPr>
            </w:pPr>
            <w:r>
              <w:rPr>
                <w:rFonts w:hint="eastAsia" w:cs="Times New Roman"/>
                <w:color w:val="000000"/>
                <w:sz w:val="20"/>
                <w:szCs w:val="20"/>
              </w:rPr>
              <w:t>3、项目立项与部门职责范围相符，属于部门履职所需；</w:t>
            </w:r>
          </w:p>
          <w:p>
            <w:pPr>
              <w:pStyle w:val="15"/>
              <w:tabs>
                <w:tab w:val="left" w:pos="300"/>
              </w:tabs>
              <w:adjustRightInd w:val="0"/>
              <w:snapToGrid w:val="0"/>
              <w:rPr>
                <w:rFonts w:hint="eastAsia" w:eastAsia="PMingLiU" w:cs="Times New Roman"/>
                <w:sz w:val="20"/>
                <w:szCs w:val="20"/>
              </w:rPr>
            </w:pPr>
            <w:r>
              <w:rPr>
                <w:rFonts w:hint="eastAsia" w:cs="Times New Roman"/>
                <w:color w:val="000000"/>
                <w:sz w:val="20"/>
                <w:szCs w:val="20"/>
              </w:rPr>
              <w:t>4、项目属于公共财政支持范围，符合中央、地方事权支出责任划分原则。</w:t>
            </w:r>
          </w:p>
        </w:tc>
      </w:tr>
      <w:tr>
        <w:tblPrEx>
          <w:tblCellMar>
            <w:top w:w="0" w:type="dxa"/>
            <w:left w:w="10" w:type="dxa"/>
            <w:bottom w:w="0" w:type="dxa"/>
            <w:right w:w="10" w:type="dxa"/>
          </w:tblCellMar>
        </w:tblPrEx>
        <w:trPr>
          <w:trHeight w:val="2246" w:hRule="exact"/>
        </w:trPr>
        <w:tc>
          <w:tcPr>
            <w:tcW w:w="861" w:type="dxa"/>
            <w:tcBorders>
              <w:top w:val="single" w:color="auto" w:sz="4" w:space="0"/>
              <w:left w:val="single" w:color="auto" w:sz="4" w:space="0"/>
            </w:tcBorders>
            <w:shd w:val="clear" w:color="auto" w:fill="FFFFFF"/>
            <w:vAlign w:val="center"/>
          </w:tcPr>
          <w:p>
            <w:pPr>
              <w:pStyle w:val="15"/>
              <w:adjustRightInd w:val="0"/>
              <w:snapToGrid w:val="0"/>
              <w:jc w:val="center"/>
              <w:rPr>
                <w:rFonts w:cs="Times New Roman"/>
                <w:sz w:val="20"/>
                <w:szCs w:val="20"/>
              </w:rPr>
            </w:pPr>
            <w:r>
              <w:rPr>
                <w:rFonts w:cs="Times New Roman"/>
                <w:color w:val="000000"/>
                <w:sz w:val="20"/>
                <w:szCs w:val="20"/>
              </w:rPr>
              <w:t>过程</w:t>
            </w:r>
          </w:p>
        </w:tc>
        <w:tc>
          <w:tcPr>
            <w:tcW w:w="709" w:type="dxa"/>
            <w:tcBorders>
              <w:top w:val="single" w:color="auto" w:sz="4" w:space="0"/>
              <w:left w:val="single" w:color="auto" w:sz="4" w:space="0"/>
            </w:tcBorders>
            <w:shd w:val="clear" w:color="auto" w:fill="FFFFFF"/>
            <w:vAlign w:val="center"/>
          </w:tcPr>
          <w:p>
            <w:pPr>
              <w:pStyle w:val="15"/>
              <w:adjustRightInd w:val="0"/>
              <w:snapToGrid w:val="0"/>
              <w:jc w:val="center"/>
              <w:rPr>
                <w:rFonts w:cs="Times New Roman"/>
                <w:sz w:val="20"/>
                <w:szCs w:val="20"/>
              </w:rPr>
            </w:pPr>
            <w:r>
              <w:rPr>
                <w:rFonts w:cs="Times New Roman"/>
                <w:color w:val="000000"/>
                <w:sz w:val="20"/>
                <w:szCs w:val="20"/>
              </w:rPr>
              <w:t>15</w:t>
            </w:r>
          </w:p>
        </w:tc>
        <w:tc>
          <w:tcPr>
            <w:tcW w:w="708" w:type="dxa"/>
            <w:tcBorders>
              <w:top w:val="single" w:color="auto" w:sz="4" w:space="0"/>
              <w:left w:val="single" w:color="auto" w:sz="4" w:space="0"/>
            </w:tcBorders>
            <w:shd w:val="clear" w:color="auto" w:fill="FFFFFF"/>
            <w:vAlign w:val="center"/>
          </w:tcPr>
          <w:p>
            <w:pPr>
              <w:pStyle w:val="15"/>
              <w:adjustRightInd w:val="0"/>
              <w:snapToGrid w:val="0"/>
              <w:jc w:val="center"/>
              <w:rPr>
                <w:rFonts w:cs="Times New Roman"/>
                <w:sz w:val="20"/>
                <w:szCs w:val="20"/>
              </w:rPr>
            </w:pPr>
            <w:r>
              <w:rPr>
                <w:rFonts w:cs="Times New Roman"/>
                <w:color w:val="000000"/>
                <w:sz w:val="20"/>
                <w:szCs w:val="20"/>
                <w:lang w:val="en-US" w:eastAsia="en-US" w:bidi="en-US"/>
              </w:rPr>
              <w:t>15</w:t>
            </w:r>
          </w:p>
        </w:tc>
        <w:tc>
          <w:tcPr>
            <w:tcW w:w="851" w:type="dxa"/>
            <w:tcBorders>
              <w:top w:val="single" w:color="auto" w:sz="4" w:space="0"/>
              <w:left w:val="single" w:color="auto" w:sz="4" w:space="0"/>
            </w:tcBorders>
            <w:shd w:val="clear" w:color="auto" w:fill="FFFFFF"/>
            <w:vAlign w:val="center"/>
          </w:tcPr>
          <w:p>
            <w:pPr>
              <w:pStyle w:val="15"/>
              <w:adjustRightInd w:val="0"/>
              <w:snapToGrid w:val="0"/>
              <w:jc w:val="center"/>
              <w:rPr>
                <w:rFonts w:cs="Times New Roman"/>
                <w:sz w:val="20"/>
                <w:szCs w:val="20"/>
              </w:rPr>
            </w:pPr>
            <w:r>
              <w:rPr>
                <w:rFonts w:eastAsia="PMingLiU" w:cs="Times New Roman"/>
                <w:color w:val="000000"/>
                <w:sz w:val="20"/>
                <w:szCs w:val="20"/>
              </w:rPr>
              <w:t>100</w:t>
            </w:r>
            <w:r>
              <w:rPr>
                <w:rFonts w:cs="Times New Roman"/>
                <w:color w:val="000000"/>
                <w:sz w:val="20"/>
                <w:szCs w:val="20"/>
              </w:rPr>
              <w:t>%</w:t>
            </w:r>
          </w:p>
        </w:tc>
        <w:tc>
          <w:tcPr>
            <w:tcW w:w="5670" w:type="dxa"/>
            <w:tcBorders>
              <w:top w:val="single" w:color="auto" w:sz="4" w:space="0"/>
              <w:left w:val="single" w:color="auto" w:sz="4" w:space="0"/>
              <w:right w:val="single" w:color="auto" w:sz="4" w:space="0"/>
            </w:tcBorders>
            <w:shd w:val="clear" w:color="auto" w:fill="FFFFFF"/>
          </w:tcPr>
          <w:p>
            <w:pPr>
              <w:pStyle w:val="15"/>
              <w:tabs>
                <w:tab w:val="left" w:pos="330"/>
              </w:tabs>
              <w:adjustRightInd w:val="0"/>
              <w:snapToGrid w:val="0"/>
              <w:rPr>
                <w:rFonts w:cs="Times New Roman"/>
                <w:sz w:val="20"/>
                <w:szCs w:val="20"/>
              </w:rPr>
            </w:pPr>
            <w:r>
              <w:rPr>
                <w:rFonts w:cs="Times New Roman"/>
                <w:color w:val="000000"/>
                <w:sz w:val="20"/>
                <w:szCs w:val="20"/>
              </w:rPr>
              <w:t>1、</w:t>
            </w:r>
            <w:r>
              <w:rPr>
                <w:rFonts w:cs="Times New Roman"/>
                <w:color w:val="000000"/>
                <w:sz w:val="20"/>
                <w:szCs w:val="20"/>
              </w:rPr>
              <w:tab/>
            </w:r>
            <w:r>
              <w:rPr>
                <w:rFonts w:cs="Times New Roman"/>
                <w:color w:val="000000"/>
                <w:sz w:val="20"/>
                <w:szCs w:val="20"/>
              </w:rPr>
              <w:t>财政20</w:t>
            </w:r>
            <w:r>
              <w:rPr>
                <w:rFonts w:eastAsia="PMingLiU" w:cs="Times New Roman"/>
                <w:color w:val="000000"/>
                <w:sz w:val="20"/>
                <w:szCs w:val="20"/>
              </w:rPr>
              <w:t>21</w:t>
            </w:r>
            <w:r>
              <w:rPr>
                <w:rFonts w:cs="Times New Roman"/>
                <w:color w:val="000000"/>
                <w:sz w:val="20"/>
                <w:szCs w:val="20"/>
              </w:rPr>
              <w:t>年下达</w:t>
            </w:r>
            <w:r>
              <w:rPr>
                <w:rFonts w:hint="eastAsia" w:cs="Times New Roman"/>
                <w:color w:val="000000"/>
                <w:sz w:val="20"/>
                <w:szCs w:val="20"/>
              </w:rPr>
              <w:t>资金</w:t>
            </w:r>
            <w:r>
              <w:rPr>
                <w:rFonts w:hint="eastAsia" w:cs="Times New Roman"/>
                <w:color w:val="000000"/>
                <w:sz w:val="20"/>
                <w:szCs w:val="20"/>
                <w:lang w:eastAsia="zh-CN"/>
              </w:rPr>
              <w:t>2</w:t>
            </w:r>
            <w:r>
              <w:rPr>
                <w:rFonts w:eastAsia="PMingLiU" w:cs="Times New Roman"/>
                <w:color w:val="000000"/>
                <w:sz w:val="20"/>
                <w:szCs w:val="20"/>
              </w:rPr>
              <w:t>23.9</w:t>
            </w:r>
            <w:r>
              <w:rPr>
                <w:rFonts w:cs="Times New Roman"/>
                <w:color w:val="000000"/>
                <w:sz w:val="20"/>
                <w:szCs w:val="20"/>
              </w:rPr>
              <w:t>万元，实际 到位资金为</w:t>
            </w:r>
            <w:r>
              <w:rPr>
                <w:rFonts w:cs="Times New Roman"/>
                <w:color w:val="000000"/>
                <w:sz w:val="20"/>
                <w:szCs w:val="20"/>
                <w:lang w:val="en-US" w:eastAsia="zh-CN" w:bidi="en-US"/>
              </w:rPr>
              <w:t>223.9</w:t>
            </w:r>
            <w:r>
              <w:rPr>
                <w:rFonts w:cs="Times New Roman"/>
                <w:color w:val="000000"/>
                <w:sz w:val="20"/>
                <w:szCs w:val="20"/>
              </w:rPr>
              <w:t>万元，实际支出项目资金</w:t>
            </w:r>
            <w:r>
              <w:rPr>
                <w:rFonts w:hint="eastAsia" w:cs="Times New Roman"/>
                <w:color w:val="000000"/>
                <w:sz w:val="20"/>
                <w:szCs w:val="20"/>
                <w:lang w:eastAsia="zh-CN"/>
              </w:rPr>
              <w:t>2</w:t>
            </w:r>
            <w:r>
              <w:rPr>
                <w:rFonts w:eastAsia="PMingLiU" w:cs="Times New Roman"/>
                <w:color w:val="000000"/>
                <w:sz w:val="20"/>
                <w:szCs w:val="20"/>
              </w:rPr>
              <w:t>23.9</w:t>
            </w:r>
            <w:r>
              <w:rPr>
                <w:rFonts w:cs="Times New Roman"/>
                <w:color w:val="000000"/>
                <w:sz w:val="20"/>
                <w:szCs w:val="20"/>
              </w:rPr>
              <w:t>万元，资金到位率</w:t>
            </w:r>
            <w:r>
              <w:rPr>
                <w:rFonts w:eastAsia="PMingLiU" w:cs="Times New Roman"/>
                <w:color w:val="000000"/>
                <w:sz w:val="20"/>
                <w:szCs w:val="20"/>
              </w:rPr>
              <w:t>100</w:t>
            </w:r>
            <w:r>
              <w:rPr>
                <w:rFonts w:cs="Times New Roman"/>
                <w:color w:val="000000"/>
                <w:sz w:val="20"/>
                <w:szCs w:val="20"/>
              </w:rPr>
              <w:t>%,预算执行率为</w:t>
            </w:r>
            <w:r>
              <w:rPr>
                <w:rFonts w:cs="Times New Roman"/>
                <w:color w:val="000000"/>
                <w:sz w:val="20"/>
                <w:szCs w:val="20"/>
                <w:lang w:val="en-US" w:eastAsia="zh-CN" w:bidi="en-US"/>
              </w:rPr>
              <w:t>100%</w:t>
            </w:r>
            <w:r>
              <w:rPr>
                <w:rFonts w:hint="eastAsia" w:cs="Times New Roman"/>
                <w:color w:val="000000"/>
                <w:sz w:val="20"/>
                <w:szCs w:val="20"/>
                <w:lang w:val="en-US" w:eastAsia="zh-CN" w:bidi="en-US"/>
              </w:rPr>
              <w:t>；</w:t>
            </w:r>
          </w:p>
          <w:p>
            <w:pPr>
              <w:pStyle w:val="15"/>
              <w:tabs>
                <w:tab w:val="left" w:pos="315"/>
              </w:tabs>
              <w:adjustRightInd w:val="0"/>
              <w:snapToGrid w:val="0"/>
              <w:rPr>
                <w:rFonts w:cs="Times New Roman"/>
                <w:sz w:val="20"/>
                <w:szCs w:val="20"/>
              </w:rPr>
            </w:pPr>
            <w:r>
              <w:rPr>
                <w:rFonts w:cs="Times New Roman"/>
                <w:color w:val="000000"/>
                <w:sz w:val="20"/>
                <w:szCs w:val="20"/>
              </w:rPr>
              <w:t>2、</w:t>
            </w:r>
            <w:r>
              <w:rPr>
                <w:rFonts w:cs="Times New Roman"/>
                <w:color w:val="000000"/>
                <w:sz w:val="20"/>
                <w:szCs w:val="20"/>
              </w:rPr>
              <w:tab/>
            </w:r>
            <w:r>
              <w:rPr>
                <w:rFonts w:cs="Times New Roman"/>
                <w:color w:val="000000"/>
                <w:sz w:val="20"/>
                <w:szCs w:val="20"/>
              </w:rPr>
              <w:t>项目资金使用符合国家规定，</w:t>
            </w:r>
            <w:r>
              <w:rPr>
                <w:rFonts w:hint="eastAsia" w:cs="Times New Roman"/>
                <w:color w:val="000000"/>
                <w:sz w:val="20"/>
                <w:szCs w:val="20"/>
              </w:rPr>
              <w:t>资金</w:t>
            </w:r>
            <w:r>
              <w:rPr>
                <w:rFonts w:cs="Times New Roman"/>
                <w:color w:val="000000"/>
                <w:sz w:val="20"/>
                <w:szCs w:val="20"/>
              </w:rPr>
              <w:t>拨付有完整的审批程序和手续，使用符合项目预算批复的用途，不存在截留、挤占、挪用、虚列支出的情况</w:t>
            </w:r>
            <w:r>
              <w:rPr>
                <w:rFonts w:hint="eastAsia" w:cs="Times New Roman"/>
                <w:color w:val="000000"/>
                <w:sz w:val="20"/>
                <w:szCs w:val="20"/>
              </w:rPr>
              <w:t>；</w:t>
            </w:r>
          </w:p>
          <w:p>
            <w:pPr>
              <w:pStyle w:val="15"/>
              <w:tabs>
                <w:tab w:val="left" w:pos="315"/>
              </w:tabs>
              <w:adjustRightInd w:val="0"/>
              <w:snapToGrid w:val="0"/>
              <w:rPr>
                <w:rFonts w:cs="Times New Roman"/>
                <w:sz w:val="20"/>
                <w:szCs w:val="20"/>
              </w:rPr>
            </w:pPr>
            <w:r>
              <w:rPr>
                <w:rFonts w:cs="Times New Roman"/>
                <w:color w:val="000000"/>
                <w:sz w:val="20"/>
                <w:szCs w:val="20"/>
              </w:rPr>
              <w:t>3、</w:t>
            </w:r>
            <w:r>
              <w:rPr>
                <w:rFonts w:cs="Times New Roman"/>
                <w:color w:val="000000"/>
                <w:sz w:val="20"/>
                <w:szCs w:val="20"/>
              </w:rPr>
              <w:tab/>
            </w:r>
            <w:r>
              <w:rPr>
                <w:rFonts w:hint="eastAsia" w:cs="Times New Roman"/>
                <w:color w:val="000000"/>
                <w:sz w:val="20"/>
                <w:szCs w:val="20"/>
              </w:rPr>
              <w:t>是否已制定或具有相应的财务和业务管理制度；财务和业务管理制度是否合法、合规、完整。</w:t>
            </w:r>
          </w:p>
        </w:tc>
      </w:tr>
      <w:tr>
        <w:tblPrEx>
          <w:tblCellMar>
            <w:top w:w="0" w:type="dxa"/>
            <w:left w:w="10" w:type="dxa"/>
            <w:bottom w:w="0" w:type="dxa"/>
            <w:right w:w="10" w:type="dxa"/>
          </w:tblCellMar>
        </w:tblPrEx>
        <w:trPr>
          <w:trHeight w:val="1433" w:hRule="exact"/>
        </w:trPr>
        <w:tc>
          <w:tcPr>
            <w:tcW w:w="861" w:type="dxa"/>
            <w:tcBorders>
              <w:top w:val="single" w:color="auto" w:sz="4" w:space="0"/>
              <w:left w:val="single" w:color="auto" w:sz="4" w:space="0"/>
            </w:tcBorders>
            <w:shd w:val="clear" w:color="auto" w:fill="FFFFFF"/>
            <w:vAlign w:val="center"/>
          </w:tcPr>
          <w:p>
            <w:pPr>
              <w:pStyle w:val="15"/>
              <w:adjustRightInd w:val="0"/>
              <w:snapToGrid w:val="0"/>
              <w:jc w:val="center"/>
              <w:rPr>
                <w:rFonts w:cs="Times New Roman"/>
                <w:sz w:val="20"/>
                <w:szCs w:val="20"/>
              </w:rPr>
            </w:pPr>
            <w:r>
              <w:rPr>
                <w:rFonts w:cs="Times New Roman"/>
                <w:color w:val="000000"/>
                <w:sz w:val="20"/>
                <w:szCs w:val="20"/>
              </w:rPr>
              <w:t>产出</w:t>
            </w:r>
          </w:p>
        </w:tc>
        <w:tc>
          <w:tcPr>
            <w:tcW w:w="709" w:type="dxa"/>
            <w:tcBorders>
              <w:top w:val="single" w:color="auto" w:sz="4" w:space="0"/>
              <w:left w:val="single" w:color="auto" w:sz="4" w:space="0"/>
            </w:tcBorders>
            <w:shd w:val="clear" w:color="auto" w:fill="FFFFFF"/>
            <w:vAlign w:val="center"/>
          </w:tcPr>
          <w:p>
            <w:pPr>
              <w:pStyle w:val="15"/>
              <w:adjustRightInd w:val="0"/>
              <w:snapToGrid w:val="0"/>
              <w:jc w:val="center"/>
              <w:rPr>
                <w:rFonts w:cs="Times New Roman"/>
                <w:sz w:val="20"/>
                <w:szCs w:val="20"/>
              </w:rPr>
            </w:pPr>
            <w:r>
              <w:rPr>
                <w:rFonts w:cs="Times New Roman"/>
                <w:color w:val="000000"/>
                <w:sz w:val="20"/>
                <w:szCs w:val="20"/>
              </w:rPr>
              <w:t>30</w:t>
            </w:r>
          </w:p>
        </w:tc>
        <w:tc>
          <w:tcPr>
            <w:tcW w:w="708" w:type="dxa"/>
            <w:tcBorders>
              <w:top w:val="single" w:color="auto" w:sz="4" w:space="0"/>
              <w:left w:val="single" w:color="auto" w:sz="4" w:space="0"/>
            </w:tcBorders>
            <w:shd w:val="clear" w:color="auto" w:fill="FFFFFF"/>
            <w:vAlign w:val="center"/>
          </w:tcPr>
          <w:p>
            <w:pPr>
              <w:pStyle w:val="15"/>
              <w:adjustRightInd w:val="0"/>
              <w:snapToGrid w:val="0"/>
              <w:jc w:val="center"/>
              <w:rPr>
                <w:rFonts w:hint="eastAsia" w:eastAsia="PMingLiU" w:cs="Times New Roman"/>
                <w:sz w:val="20"/>
                <w:szCs w:val="20"/>
              </w:rPr>
            </w:pPr>
            <w:r>
              <w:rPr>
                <w:rFonts w:eastAsia="PMingLiU" w:cs="Times New Roman"/>
                <w:color w:val="000000"/>
                <w:sz w:val="20"/>
                <w:szCs w:val="20"/>
              </w:rPr>
              <w:t>30</w:t>
            </w:r>
          </w:p>
        </w:tc>
        <w:tc>
          <w:tcPr>
            <w:tcW w:w="851" w:type="dxa"/>
            <w:tcBorders>
              <w:top w:val="single" w:color="auto" w:sz="4" w:space="0"/>
              <w:left w:val="single" w:color="auto" w:sz="4" w:space="0"/>
            </w:tcBorders>
            <w:shd w:val="clear" w:color="auto" w:fill="FFFFFF"/>
            <w:vAlign w:val="center"/>
          </w:tcPr>
          <w:p>
            <w:pPr>
              <w:pStyle w:val="15"/>
              <w:adjustRightInd w:val="0"/>
              <w:snapToGrid w:val="0"/>
              <w:jc w:val="center"/>
              <w:rPr>
                <w:rFonts w:cs="Times New Roman"/>
                <w:sz w:val="20"/>
                <w:szCs w:val="20"/>
              </w:rPr>
            </w:pPr>
            <w:r>
              <w:rPr>
                <w:rFonts w:cs="Times New Roman"/>
                <w:color w:val="000000"/>
                <w:sz w:val="20"/>
                <w:szCs w:val="20"/>
                <w:lang w:val="en-US" w:eastAsia="en-US" w:bidi="en-US"/>
              </w:rPr>
              <w:t>100</w:t>
            </w:r>
            <w:r>
              <w:rPr>
                <w:rFonts w:cs="Times New Roman"/>
                <w:color w:val="000000"/>
                <w:sz w:val="20"/>
                <w:szCs w:val="20"/>
              </w:rPr>
              <w:t>%</w:t>
            </w:r>
          </w:p>
        </w:tc>
        <w:tc>
          <w:tcPr>
            <w:tcW w:w="5670" w:type="dxa"/>
            <w:tcBorders>
              <w:top w:val="single" w:color="auto" w:sz="4" w:space="0"/>
              <w:left w:val="single" w:color="auto" w:sz="4" w:space="0"/>
              <w:right w:val="single" w:color="auto" w:sz="4" w:space="0"/>
            </w:tcBorders>
            <w:shd w:val="clear" w:color="auto" w:fill="FFFFFF"/>
          </w:tcPr>
          <w:p>
            <w:pPr>
              <w:pStyle w:val="15"/>
              <w:tabs>
                <w:tab w:val="left" w:pos="315"/>
              </w:tabs>
              <w:adjustRightInd w:val="0"/>
              <w:snapToGrid w:val="0"/>
              <w:rPr>
                <w:rFonts w:cs="Times New Roman"/>
                <w:sz w:val="20"/>
                <w:szCs w:val="20"/>
              </w:rPr>
            </w:pPr>
            <w:r>
              <w:rPr>
                <w:rFonts w:cs="Times New Roman"/>
                <w:color w:val="000000"/>
                <w:sz w:val="20"/>
                <w:szCs w:val="20"/>
              </w:rPr>
              <w:t>1、</w:t>
            </w:r>
            <w:r>
              <w:rPr>
                <w:rFonts w:cs="Times New Roman"/>
                <w:color w:val="000000"/>
                <w:sz w:val="20"/>
                <w:szCs w:val="20"/>
              </w:rPr>
              <w:tab/>
            </w:r>
            <w:r>
              <w:rPr>
                <w:rFonts w:cs="Times New Roman"/>
                <w:color w:val="000000"/>
                <w:sz w:val="20"/>
                <w:szCs w:val="20"/>
              </w:rPr>
              <w:t>项目产出基本达到要求，专项</w:t>
            </w:r>
            <w:r>
              <w:rPr>
                <w:rFonts w:hint="eastAsia" w:cs="Times New Roman"/>
                <w:color w:val="000000"/>
                <w:sz w:val="20"/>
                <w:szCs w:val="20"/>
              </w:rPr>
              <w:t>资金</w:t>
            </w:r>
            <w:r>
              <w:rPr>
                <w:rFonts w:cs="Times New Roman"/>
                <w:color w:val="000000"/>
                <w:sz w:val="20"/>
                <w:szCs w:val="20"/>
              </w:rPr>
              <w:t>使用符合相关标准</w:t>
            </w:r>
            <w:r>
              <w:rPr>
                <w:rFonts w:hint="eastAsia" w:cs="Times New Roman"/>
                <w:color w:val="000000"/>
                <w:sz w:val="20"/>
                <w:szCs w:val="20"/>
              </w:rPr>
              <w:t>；</w:t>
            </w:r>
          </w:p>
          <w:p>
            <w:pPr>
              <w:pStyle w:val="15"/>
              <w:tabs>
                <w:tab w:val="left" w:pos="315"/>
              </w:tabs>
              <w:adjustRightInd w:val="0"/>
              <w:snapToGrid w:val="0"/>
              <w:rPr>
                <w:rFonts w:cs="Times New Roman"/>
                <w:sz w:val="20"/>
                <w:szCs w:val="20"/>
              </w:rPr>
            </w:pPr>
            <w:r>
              <w:rPr>
                <w:rFonts w:cs="Times New Roman"/>
                <w:color w:val="000000"/>
                <w:sz w:val="20"/>
                <w:szCs w:val="20"/>
              </w:rPr>
              <w:t>2、</w:t>
            </w:r>
            <w:r>
              <w:rPr>
                <w:rFonts w:cs="Times New Roman"/>
                <w:color w:val="000000"/>
                <w:sz w:val="20"/>
                <w:szCs w:val="20"/>
              </w:rPr>
              <w:tab/>
            </w:r>
            <w:r>
              <w:rPr>
                <w:rFonts w:cs="Times New Roman"/>
                <w:color w:val="000000"/>
                <w:sz w:val="20"/>
                <w:szCs w:val="20"/>
              </w:rPr>
              <w:t>项目</w:t>
            </w:r>
            <w:r>
              <w:rPr>
                <w:rFonts w:hint="eastAsia" w:cs="Times New Roman"/>
                <w:color w:val="000000"/>
                <w:sz w:val="20"/>
                <w:szCs w:val="20"/>
              </w:rPr>
              <w:t>经费</w:t>
            </w:r>
            <w:r>
              <w:rPr>
                <w:rFonts w:cs="Times New Roman"/>
                <w:color w:val="000000"/>
                <w:sz w:val="20"/>
                <w:szCs w:val="20"/>
              </w:rPr>
              <w:t>使用严格依据</w:t>
            </w:r>
            <w:r>
              <w:rPr>
                <w:rFonts w:hint="eastAsia" w:cs="Times New Roman"/>
                <w:color w:val="000000"/>
                <w:sz w:val="20"/>
                <w:szCs w:val="20"/>
              </w:rPr>
              <w:t>相关规定</w:t>
            </w:r>
            <w:r>
              <w:rPr>
                <w:rFonts w:cs="Times New Roman"/>
                <w:color w:val="000000"/>
                <w:sz w:val="20"/>
                <w:szCs w:val="20"/>
              </w:rPr>
              <w:t>进行</w:t>
            </w:r>
            <w:r>
              <w:rPr>
                <w:rFonts w:hint="eastAsia" w:cs="Times New Roman"/>
                <w:color w:val="000000"/>
                <w:sz w:val="20"/>
                <w:szCs w:val="20"/>
              </w:rPr>
              <w:t>；</w:t>
            </w:r>
          </w:p>
          <w:p>
            <w:pPr>
              <w:pStyle w:val="15"/>
              <w:tabs>
                <w:tab w:val="left" w:pos="315"/>
              </w:tabs>
              <w:adjustRightInd w:val="0"/>
              <w:snapToGrid w:val="0"/>
              <w:rPr>
                <w:rFonts w:cs="Times New Roman"/>
                <w:sz w:val="20"/>
                <w:szCs w:val="20"/>
              </w:rPr>
            </w:pPr>
            <w:r>
              <w:rPr>
                <w:rFonts w:cs="Times New Roman"/>
                <w:color w:val="000000"/>
                <w:sz w:val="20"/>
                <w:szCs w:val="20"/>
              </w:rPr>
              <w:t>3、</w:t>
            </w:r>
            <w:r>
              <w:rPr>
                <w:rFonts w:cs="Times New Roman"/>
                <w:color w:val="000000"/>
                <w:sz w:val="20"/>
                <w:szCs w:val="20"/>
              </w:rPr>
              <w:tab/>
            </w:r>
            <w:r>
              <w:rPr>
                <w:rFonts w:cs="Times New Roman"/>
                <w:color w:val="000000"/>
                <w:sz w:val="20"/>
                <w:szCs w:val="20"/>
              </w:rPr>
              <w:t>2019年度相关工作匕在規定时间内全部完成</w:t>
            </w:r>
            <w:r>
              <w:rPr>
                <w:rFonts w:hint="eastAsia" w:cs="Times New Roman"/>
                <w:color w:val="000000"/>
                <w:sz w:val="20"/>
                <w:szCs w:val="20"/>
              </w:rPr>
              <w:t>；</w:t>
            </w:r>
          </w:p>
          <w:p>
            <w:pPr>
              <w:pStyle w:val="15"/>
              <w:tabs>
                <w:tab w:val="left" w:pos="330"/>
              </w:tabs>
              <w:adjustRightInd w:val="0"/>
              <w:snapToGrid w:val="0"/>
              <w:rPr>
                <w:rFonts w:cs="Times New Roman"/>
                <w:sz w:val="20"/>
                <w:szCs w:val="20"/>
              </w:rPr>
            </w:pPr>
            <w:r>
              <w:rPr>
                <w:rFonts w:cs="Times New Roman"/>
                <w:color w:val="000000"/>
                <w:sz w:val="20"/>
                <w:szCs w:val="20"/>
              </w:rPr>
              <w:t>4、</w:t>
            </w:r>
            <w:r>
              <w:rPr>
                <w:rFonts w:cs="Times New Roman"/>
                <w:color w:val="000000"/>
                <w:sz w:val="20"/>
                <w:szCs w:val="20"/>
              </w:rPr>
              <w:tab/>
            </w:r>
            <w:r>
              <w:rPr>
                <w:rFonts w:cs="Times New Roman"/>
                <w:color w:val="000000"/>
                <w:sz w:val="20"/>
                <w:szCs w:val="20"/>
              </w:rPr>
              <w:t>项目预算为</w:t>
            </w:r>
            <w:r>
              <w:rPr>
                <w:rFonts w:eastAsia="PMingLiU" w:cs="Times New Roman"/>
                <w:color w:val="000000"/>
                <w:sz w:val="20"/>
                <w:szCs w:val="20"/>
              </w:rPr>
              <w:t>223.9</w:t>
            </w:r>
            <w:r>
              <w:rPr>
                <w:rFonts w:cs="Times New Roman"/>
                <w:color w:val="000000"/>
                <w:sz w:val="20"/>
                <w:szCs w:val="20"/>
              </w:rPr>
              <w:t>万元，实际支出</w:t>
            </w:r>
            <w:r>
              <w:rPr>
                <w:rFonts w:cs="Times New Roman"/>
                <w:color w:val="000000"/>
                <w:sz w:val="20"/>
                <w:szCs w:val="20"/>
                <w:lang w:val="en-US" w:eastAsia="zh-CN" w:bidi="en-US"/>
              </w:rPr>
              <w:t>223.9</w:t>
            </w:r>
            <w:r>
              <w:rPr>
                <w:rFonts w:cs="Times New Roman"/>
                <w:color w:val="000000"/>
                <w:sz w:val="20"/>
                <w:szCs w:val="20"/>
              </w:rPr>
              <w:t>万元，成本节约率为</w:t>
            </w:r>
            <w:r>
              <w:rPr>
                <w:rFonts w:hint="eastAsia" w:cs="Times New Roman"/>
                <w:color w:val="000000"/>
                <w:sz w:val="20"/>
                <w:szCs w:val="20"/>
                <w:lang w:eastAsia="zh-CN"/>
              </w:rPr>
              <w:t>0</w:t>
            </w:r>
            <w:r>
              <w:rPr>
                <w:rFonts w:cs="Times New Roman"/>
                <w:color w:val="000000"/>
                <w:sz w:val="20"/>
                <w:szCs w:val="20"/>
              </w:rPr>
              <w:t>%。</w:t>
            </w:r>
          </w:p>
        </w:tc>
      </w:tr>
      <w:tr>
        <w:tblPrEx>
          <w:tblCellMar>
            <w:top w:w="0" w:type="dxa"/>
            <w:left w:w="10" w:type="dxa"/>
            <w:bottom w:w="0" w:type="dxa"/>
            <w:right w:w="10" w:type="dxa"/>
          </w:tblCellMar>
        </w:tblPrEx>
        <w:trPr>
          <w:trHeight w:val="717" w:hRule="exact"/>
        </w:trPr>
        <w:tc>
          <w:tcPr>
            <w:tcW w:w="861" w:type="dxa"/>
            <w:tcBorders>
              <w:top w:val="single" w:color="auto" w:sz="4" w:space="0"/>
              <w:left w:val="single" w:color="auto" w:sz="4" w:space="0"/>
              <w:bottom w:val="single" w:color="auto" w:sz="4" w:space="0"/>
            </w:tcBorders>
            <w:shd w:val="clear" w:color="auto" w:fill="FFFFFF"/>
            <w:vAlign w:val="center"/>
          </w:tcPr>
          <w:p>
            <w:pPr>
              <w:pStyle w:val="15"/>
              <w:adjustRightInd w:val="0"/>
              <w:snapToGrid w:val="0"/>
              <w:jc w:val="center"/>
              <w:rPr>
                <w:rFonts w:cs="Times New Roman"/>
                <w:sz w:val="20"/>
                <w:szCs w:val="20"/>
              </w:rPr>
            </w:pPr>
            <w:r>
              <w:rPr>
                <w:rFonts w:cs="Times New Roman"/>
                <w:color w:val="000000"/>
                <w:sz w:val="20"/>
                <w:szCs w:val="20"/>
              </w:rPr>
              <w:t>效益</w:t>
            </w:r>
          </w:p>
        </w:tc>
        <w:tc>
          <w:tcPr>
            <w:tcW w:w="709" w:type="dxa"/>
            <w:tcBorders>
              <w:top w:val="single" w:color="auto" w:sz="4" w:space="0"/>
              <w:left w:val="single" w:color="auto" w:sz="4" w:space="0"/>
              <w:bottom w:val="single" w:color="auto" w:sz="4" w:space="0"/>
            </w:tcBorders>
            <w:shd w:val="clear" w:color="auto" w:fill="FFFFFF"/>
            <w:vAlign w:val="center"/>
          </w:tcPr>
          <w:p>
            <w:pPr>
              <w:pStyle w:val="15"/>
              <w:adjustRightInd w:val="0"/>
              <w:snapToGrid w:val="0"/>
              <w:jc w:val="center"/>
              <w:rPr>
                <w:rFonts w:cs="Times New Roman"/>
                <w:sz w:val="20"/>
                <w:szCs w:val="20"/>
              </w:rPr>
            </w:pPr>
            <w:r>
              <w:rPr>
                <w:rFonts w:cs="Times New Roman"/>
                <w:color w:val="000000"/>
                <w:sz w:val="20"/>
                <w:szCs w:val="20"/>
              </w:rPr>
              <w:t>35</w:t>
            </w:r>
          </w:p>
        </w:tc>
        <w:tc>
          <w:tcPr>
            <w:tcW w:w="708" w:type="dxa"/>
            <w:tcBorders>
              <w:top w:val="single" w:color="auto" w:sz="4" w:space="0"/>
              <w:left w:val="single" w:color="auto" w:sz="4" w:space="0"/>
              <w:bottom w:val="single" w:color="auto" w:sz="4" w:space="0"/>
            </w:tcBorders>
            <w:shd w:val="clear" w:color="auto" w:fill="FFFFFF"/>
            <w:vAlign w:val="center"/>
          </w:tcPr>
          <w:p>
            <w:pPr>
              <w:pStyle w:val="15"/>
              <w:adjustRightInd w:val="0"/>
              <w:snapToGrid w:val="0"/>
              <w:jc w:val="center"/>
              <w:rPr>
                <w:rFonts w:hint="eastAsia" w:eastAsia="PMingLiU" w:cs="Times New Roman"/>
                <w:sz w:val="20"/>
                <w:szCs w:val="20"/>
              </w:rPr>
            </w:pPr>
            <w:r>
              <w:rPr>
                <w:rFonts w:eastAsia="PMingLiU" w:cs="Times New Roman"/>
                <w:color w:val="000000"/>
                <w:sz w:val="20"/>
                <w:szCs w:val="20"/>
              </w:rPr>
              <w:t>30</w:t>
            </w:r>
          </w:p>
        </w:tc>
        <w:tc>
          <w:tcPr>
            <w:tcW w:w="851" w:type="dxa"/>
            <w:tcBorders>
              <w:top w:val="single" w:color="auto" w:sz="4" w:space="0"/>
              <w:left w:val="single" w:color="auto" w:sz="4" w:space="0"/>
              <w:bottom w:val="single" w:color="auto" w:sz="4" w:space="0"/>
            </w:tcBorders>
            <w:shd w:val="clear" w:color="auto" w:fill="FFFFFF"/>
            <w:vAlign w:val="center"/>
          </w:tcPr>
          <w:p>
            <w:pPr>
              <w:pStyle w:val="15"/>
              <w:adjustRightInd w:val="0"/>
              <w:snapToGrid w:val="0"/>
              <w:jc w:val="center"/>
              <w:rPr>
                <w:rFonts w:cs="Times New Roman"/>
                <w:sz w:val="20"/>
                <w:szCs w:val="20"/>
              </w:rPr>
            </w:pPr>
            <w:r>
              <w:rPr>
                <w:rFonts w:cs="Times New Roman"/>
                <w:color w:val="000000"/>
                <w:sz w:val="20"/>
                <w:szCs w:val="20"/>
                <w:lang w:val="en-US" w:eastAsia="en-US" w:bidi="en-US"/>
              </w:rPr>
              <w:t>85.7</w:t>
            </w:r>
            <w:r>
              <w:rPr>
                <w:rFonts w:cs="Times New Roman"/>
                <w:color w:val="000000"/>
                <w:sz w:val="20"/>
                <w:szCs w:val="20"/>
              </w:rPr>
              <w:t>%</w:t>
            </w:r>
          </w:p>
        </w:tc>
        <w:tc>
          <w:tcPr>
            <w:tcW w:w="5670" w:type="dxa"/>
            <w:tcBorders>
              <w:top w:val="single" w:color="auto" w:sz="4" w:space="0"/>
              <w:left w:val="single" w:color="auto" w:sz="4" w:space="0"/>
              <w:bottom w:val="single" w:color="auto" w:sz="4" w:space="0"/>
              <w:right w:val="single" w:color="auto" w:sz="4" w:space="0"/>
            </w:tcBorders>
            <w:shd w:val="clear" w:color="auto" w:fill="FFFFFF"/>
          </w:tcPr>
          <w:p>
            <w:pPr>
              <w:pStyle w:val="15"/>
              <w:tabs>
                <w:tab w:val="left" w:pos="315"/>
              </w:tabs>
              <w:adjustRightInd w:val="0"/>
              <w:snapToGrid w:val="0"/>
              <w:rPr>
                <w:rFonts w:cs="Times New Roman"/>
                <w:sz w:val="20"/>
                <w:szCs w:val="20"/>
              </w:rPr>
            </w:pPr>
            <w:r>
              <w:rPr>
                <w:rFonts w:cs="Times New Roman"/>
                <w:color w:val="000000"/>
                <w:sz w:val="20"/>
                <w:szCs w:val="20"/>
              </w:rPr>
              <w:t>1、</w:t>
            </w:r>
            <w:r>
              <w:rPr>
                <w:rFonts w:cs="Times New Roman"/>
                <w:color w:val="000000"/>
                <w:sz w:val="20"/>
                <w:szCs w:val="20"/>
              </w:rPr>
              <w:tab/>
            </w:r>
            <w:r>
              <w:rPr>
                <w:rFonts w:hint="eastAsia" w:cs="Times New Roman"/>
                <w:color w:val="000000"/>
                <w:sz w:val="20"/>
                <w:szCs w:val="20"/>
              </w:rPr>
              <w:t>项目实施过程中，尚未产生相关效益；</w:t>
            </w:r>
          </w:p>
          <w:p>
            <w:pPr>
              <w:pStyle w:val="15"/>
              <w:tabs>
                <w:tab w:val="left" w:pos="315"/>
              </w:tabs>
              <w:adjustRightInd w:val="0"/>
              <w:snapToGrid w:val="0"/>
              <w:rPr>
                <w:rFonts w:cs="Times New Roman"/>
                <w:sz w:val="20"/>
                <w:szCs w:val="20"/>
              </w:rPr>
            </w:pPr>
            <w:r>
              <w:rPr>
                <w:rFonts w:cs="Times New Roman"/>
                <w:color w:val="000000"/>
                <w:sz w:val="20"/>
                <w:szCs w:val="20"/>
              </w:rPr>
              <w:t>2、市民对项目满意程度较高</w:t>
            </w:r>
            <w:r>
              <w:rPr>
                <w:rFonts w:hint="eastAsia" w:cs="Times New Roman"/>
                <w:color w:val="000000"/>
                <w:sz w:val="20"/>
                <w:szCs w:val="20"/>
              </w:rPr>
              <w:t>。</w:t>
            </w:r>
          </w:p>
        </w:tc>
      </w:tr>
      <w:tr>
        <w:tblPrEx>
          <w:tblCellMar>
            <w:top w:w="0" w:type="dxa"/>
            <w:left w:w="10" w:type="dxa"/>
            <w:bottom w:w="0" w:type="dxa"/>
            <w:right w:w="10" w:type="dxa"/>
          </w:tblCellMar>
        </w:tblPrEx>
        <w:trPr>
          <w:trHeight w:val="571" w:hRule="exact"/>
        </w:trPr>
        <w:tc>
          <w:tcPr>
            <w:tcW w:w="861" w:type="dxa"/>
            <w:tcBorders>
              <w:top w:val="single" w:color="auto" w:sz="4" w:space="0"/>
              <w:left w:val="single" w:color="auto" w:sz="4" w:space="0"/>
              <w:bottom w:val="single" w:color="auto" w:sz="4" w:space="0"/>
            </w:tcBorders>
            <w:shd w:val="clear" w:color="auto" w:fill="FFFFFF"/>
            <w:vAlign w:val="center"/>
          </w:tcPr>
          <w:p>
            <w:pPr>
              <w:pStyle w:val="15"/>
              <w:adjustRightInd w:val="0"/>
              <w:snapToGrid w:val="0"/>
              <w:rPr>
                <w:rFonts w:cs="Times New Roman"/>
                <w:color w:val="000000"/>
                <w:sz w:val="20"/>
                <w:szCs w:val="20"/>
              </w:rPr>
            </w:pPr>
            <w:r>
              <w:rPr>
                <w:rFonts w:cs="Times New Roman"/>
                <w:color w:val="000000"/>
                <w:sz w:val="20"/>
                <w:szCs w:val="20"/>
              </w:rPr>
              <w:t>合计</w:t>
            </w:r>
          </w:p>
        </w:tc>
        <w:tc>
          <w:tcPr>
            <w:tcW w:w="709" w:type="dxa"/>
            <w:tcBorders>
              <w:top w:val="single" w:color="auto" w:sz="4" w:space="0"/>
              <w:left w:val="single" w:color="auto" w:sz="4" w:space="0"/>
              <w:bottom w:val="single" w:color="auto" w:sz="4" w:space="0"/>
            </w:tcBorders>
            <w:shd w:val="clear" w:color="auto" w:fill="FFFFFF"/>
            <w:vAlign w:val="center"/>
          </w:tcPr>
          <w:p>
            <w:pPr>
              <w:pStyle w:val="15"/>
              <w:adjustRightInd w:val="0"/>
              <w:snapToGrid w:val="0"/>
              <w:jc w:val="center"/>
              <w:rPr>
                <w:rFonts w:hint="eastAsia" w:eastAsia="PMingLiU" w:cs="Times New Roman"/>
                <w:color w:val="000000"/>
                <w:sz w:val="20"/>
                <w:szCs w:val="20"/>
              </w:rPr>
            </w:pPr>
            <w:r>
              <w:rPr>
                <w:rFonts w:hint="eastAsia" w:cs="Times New Roman"/>
                <w:color w:val="000000"/>
                <w:sz w:val="20"/>
                <w:szCs w:val="20"/>
                <w:lang w:eastAsia="zh-CN"/>
              </w:rPr>
              <w:t>1</w:t>
            </w:r>
            <w:r>
              <w:rPr>
                <w:rFonts w:eastAsia="PMingLiU" w:cs="Times New Roman"/>
                <w:color w:val="000000"/>
                <w:sz w:val="20"/>
                <w:szCs w:val="20"/>
              </w:rPr>
              <w:t>00</w:t>
            </w:r>
          </w:p>
        </w:tc>
        <w:tc>
          <w:tcPr>
            <w:tcW w:w="708" w:type="dxa"/>
            <w:tcBorders>
              <w:top w:val="single" w:color="auto" w:sz="4" w:space="0"/>
              <w:left w:val="single" w:color="auto" w:sz="4" w:space="0"/>
              <w:bottom w:val="single" w:color="auto" w:sz="4" w:space="0"/>
            </w:tcBorders>
            <w:shd w:val="clear" w:color="auto" w:fill="FFFFFF"/>
            <w:vAlign w:val="center"/>
          </w:tcPr>
          <w:p>
            <w:pPr>
              <w:pStyle w:val="15"/>
              <w:adjustRightInd w:val="0"/>
              <w:snapToGrid w:val="0"/>
              <w:ind w:firstLine="300"/>
              <w:jc w:val="center"/>
              <w:rPr>
                <w:rFonts w:hint="eastAsia" w:eastAsia="PMingLiU" w:cs="Times New Roman"/>
                <w:color w:val="000000"/>
                <w:sz w:val="20"/>
                <w:szCs w:val="20"/>
              </w:rPr>
            </w:pPr>
            <w:r>
              <w:rPr>
                <w:rFonts w:hint="eastAsia" w:cs="Times New Roman"/>
                <w:color w:val="000000"/>
                <w:sz w:val="20"/>
                <w:szCs w:val="20"/>
                <w:lang w:eastAsia="zh-CN"/>
              </w:rPr>
              <w:t>9</w:t>
            </w:r>
            <w:r>
              <w:rPr>
                <w:rFonts w:eastAsia="PMingLiU" w:cs="Times New Roman"/>
                <w:color w:val="000000"/>
                <w:sz w:val="20"/>
                <w:szCs w:val="20"/>
              </w:rPr>
              <w:t>5</w:t>
            </w:r>
          </w:p>
        </w:tc>
        <w:tc>
          <w:tcPr>
            <w:tcW w:w="851" w:type="dxa"/>
            <w:tcBorders>
              <w:top w:val="single" w:color="auto" w:sz="4" w:space="0"/>
              <w:left w:val="single" w:color="auto" w:sz="4" w:space="0"/>
              <w:bottom w:val="single" w:color="auto" w:sz="4" w:space="0"/>
            </w:tcBorders>
            <w:shd w:val="clear" w:color="auto" w:fill="FFFFFF"/>
            <w:vAlign w:val="center"/>
          </w:tcPr>
          <w:p>
            <w:pPr>
              <w:pStyle w:val="15"/>
              <w:adjustRightInd w:val="0"/>
              <w:snapToGrid w:val="0"/>
              <w:jc w:val="center"/>
              <w:rPr>
                <w:rFonts w:hint="eastAsia" w:cs="Times New Roman"/>
                <w:color w:val="000000"/>
                <w:sz w:val="20"/>
                <w:szCs w:val="20"/>
                <w:lang w:val="en-US" w:eastAsia="zh-CN" w:bidi="en-US"/>
              </w:rPr>
            </w:pPr>
            <w:r>
              <w:rPr>
                <w:rFonts w:hint="eastAsia" w:cs="Times New Roman"/>
                <w:color w:val="000000"/>
                <w:sz w:val="20"/>
                <w:szCs w:val="20"/>
                <w:lang w:val="en-US" w:eastAsia="zh-CN" w:bidi="en-US"/>
              </w:rPr>
              <w:t>9</w:t>
            </w:r>
            <w:r>
              <w:rPr>
                <w:rFonts w:cs="Times New Roman"/>
                <w:color w:val="000000"/>
                <w:sz w:val="20"/>
                <w:szCs w:val="20"/>
                <w:lang w:val="en-US" w:eastAsia="zh-CN" w:bidi="en-US"/>
              </w:rPr>
              <w:t>5</w:t>
            </w:r>
            <w:r>
              <w:rPr>
                <w:rFonts w:hint="eastAsia" w:cs="Times New Roman"/>
                <w:color w:val="000000"/>
                <w:sz w:val="20"/>
                <w:szCs w:val="20"/>
                <w:lang w:val="en-US" w:eastAsia="zh-CN" w:bidi="en-US"/>
              </w:rPr>
              <w:t>%</w:t>
            </w:r>
          </w:p>
        </w:tc>
        <w:tc>
          <w:tcPr>
            <w:tcW w:w="5670" w:type="dxa"/>
            <w:tcBorders>
              <w:top w:val="single" w:color="auto" w:sz="4" w:space="0"/>
              <w:left w:val="single" w:color="auto" w:sz="4" w:space="0"/>
              <w:bottom w:val="single" w:color="auto" w:sz="4" w:space="0"/>
              <w:right w:val="single" w:color="auto" w:sz="4" w:space="0"/>
            </w:tcBorders>
            <w:shd w:val="clear" w:color="auto" w:fill="FFFFFF"/>
          </w:tcPr>
          <w:p>
            <w:pPr>
              <w:pStyle w:val="15"/>
              <w:tabs>
                <w:tab w:val="left" w:pos="315"/>
              </w:tabs>
              <w:adjustRightInd w:val="0"/>
              <w:snapToGrid w:val="0"/>
              <w:rPr>
                <w:rFonts w:cs="Times New Roman"/>
                <w:color w:val="000000"/>
                <w:sz w:val="20"/>
                <w:szCs w:val="20"/>
              </w:rPr>
            </w:pPr>
          </w:p>
        </w:tc>
      </w:tr>
    </w:tbl>
    <w:p>
      <w:pPr>
        <w:spacing w:line="600" w:lineRule="exact"/>
        <w:jc w:val="center"/>
        <w:rPr>
          <w:rFonts w:hint="eastAsia" w:ascii="Times New Roman" w:hAnsi="Times New Roman" w:eastAsia="仿宋_GB2312" w:cs="Times New Roman"/>
          <w:sz w:val="30"/>
          <w:szCs w:val="30"/>
          <w:lang w:eastAsia="zh-CN" w:bidi="zh-TW"/>
        </w:rPr>
      </w:pPr>
      <w:r>
        <w:rPr>
          <w:rFonts w:hint="eastAsia" w:ascii="Times New Roman" w:hAnsi="Times New Roman" w:eastAsia="仿宋_GB2312" w:cs="Times New Roman"/>
          <w:sz w:val="30"/>
          <w:szCs w:val="30"/>
          <w:lang w:eastAsia="zh-CN" w:bidi="zh-TW"/>
        </w:rPr>
        <w:t>项目得分情况表</w:t>
      </w:r>
    </w:p>
    <w:p>
      <w:pPr>
        <w:spacing w:line="600" w:lineRule="exact"/>
        <w:ind w:firstLine="600" w:firstLineChars="200"/>
        <w:jc w:val="both"/>
        <w:rPr>
          <w:rFonts w:ascii="Times New Roman" w:hAnsi="Times New Roman" w:eastAsia="仿宋_GB2312" w:cs="Times New Roman"/>
          <w:sz w:val="30"/>
          <w:szCs w:val="30"/>
          <w:lang w:eastAsia="zh-CN" w:bidi="zh-TW"/>
        </w:rPr>
      </w:pPr>
    </w:p>
    <w:p>
      <w:pPr>
        <w:spacing w:line="600" w:lineRule="exact"/>
        <w:ind w:firstLine="614" w:firstLineChars="200"/>
        <w:jc w:val="both"/>
        <w:rPr>
          <w:rFonts w:ascii="Times New Roman" w:hAnsi="Times New Roman" w:eastAsia="仿宋_GB2312" w:cs="Times New Roman"/>
          <w:spacing w:val="-4"/>
          <w:w w:val="105"/>
          <w:sz w:val="30"/>
          <w:szCs w:val="30"/>
          <w:lang w:eastAsia="zh-CN"/>
        </w:rPr>
      </w:pPr>
      <w:r>
        <w:rPr>
          <w:rFonts w:ascii="Times New Roman" w:hAnsi="Times New Roman" w:eastAsia="仿宋_GB2312" w:cs="Times New Roman"/>
          <w:spacing w:val="-4"/>
          <w:w w:val="105"/>
          <w:sz w:val="30"/>
          <w:szCs w:val="30"/>
          <w:lang w:eastAsia="zh-CN"/>
        </w:rPr>
        <w:t>四、绩效评价指标分析</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（一）项目决策情况</w:t>
      </w:r>
      <w:r>
        <w:rPr>
          <w:rFonts w:ascii="Times New Roman" w:hAnsi="Times New Roman" w:eastAsia="仿宋_GB2312" w:cs="Times New Roman"/>
          <w:spacing w:val="-115"/>
          <w:sz w:val="30"/>
          <w:szCs w:val="30"/>
          <w:lang w:eastAsia="zh-CN"/>
        </w:rPr>
        <w:t xml:space="preserve"> </w:t>
      </w:r>
      <w:r>
        <w:rPr>
          <w:rFonts w:ascii="Times New Roman" w:hAnsi="Times New Roman" w:eastAsia="仿宋_GB2312" w:cs="Times New Roman"/>
          <w:sz w:val="30"/>
          <w:szCs w:val="30"/>
          <w:lang w:eastAsia="zh-CN"/>
        </w:rPr>
        <w:t>。</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26" w:name="bookmark97"/>
      <w:r>
        <w:rPr>
          <w:rFonts w:ascii="Times New Roman" w:hAnsi="Times New Roman" w:eastAsia="仿宋_GB2312" w:cs="Times New Roman"/>
          <w:sz w:val="30"/>
          <w:szCs w:val="30"/>
          <w:lang w:eastAsia="zh-CN" w:bidi="zh-TW"/>
        </w:rPr>
        <w:t>1</w:t>
      </w:r>
      <w:bookmarkEnd w:id="26"/>
      <w:r>
        <w:rPr>
          <w:rFonts w:ascii="Times New Roman" w:hAnsi="Times New Roman" w:eastAsia="仿宋_GB2312" w:cs="Times New Roman"/>
          <w:sz w:val="30"/>
          <w:szCs w:val="30"/>
          <w:lang w:eastAsia="zh-CN" w:bidi="zh-TW"/>
        </w:rPr>
        <w:t>、项目立项</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（1）立项依据充分性（3分）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1）农业面源污染问题突出</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根据用地规划和现场调查，区域内部存在农田、河流、村庄、道路等载体，周边分布着水产养殖水塘，主要污染源包括农业面源污染（农田沥水）、地表径流及水产养殖污染源。工程区域农田主要分布于大韩庄和大孙庄，一般灌溉用水就近取自洪泥河或大沽河，农田沥水通过沟渠进入生态片区沟渠，形成面源污染。</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2）局部区域水系循环不佳、水质较差</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八里台湾卫南洼生态片区在自然地貌上沟渠、洼淀、鱼塘相连，生态片区内供水基本依靠大沽排水河和洪泥河。由于过境客水少，水系流通性欠佳，且间歇性的面源污染（农田沥水、鱼塘排水等）不断汇入，整体水环境质量较差。</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3）外源污染负荷较大，面源污染问题突出</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根据津南区入河排污口调查统计，马厂减河、西排干河污染负荷主要来源于周边农业农村排口排水及支流汇水，在汛期降雨时，大量的污染雨水直接进入河道，增加了水体的污染负荷，尤其是初期雨水的汇入，对河道的污染冲击比较大。</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4）河道生态系统破坏严重，水体自净能力基本丧失</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由于马厂减河坡度很缓，河道上、下游设有节制闸，水体平时流动速度小，造成污染物及营养物质沉积，水体基本丧失自净能力，水质恶化。根据2019年津南区水务局河道监测数据显示，马厂减河和西排干河水质劣于地表水Ⅴ类，主要超标因子为CODCr。</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根据以上存在的问题，实施津南区再生水利用及水生态综合修复工程是十分必要和迫切的。</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（2）立项程序规范性（3分）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本项目依据规定的程序申请设立，审批文件、材料均符合相关要求，对项目实施情况及经费下拨相关数据有明确记录，项目事前已经过必要的可行性研究、集体决策等。根据评分标准，该项得3分。</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27" w:name="bookmark98"/>
      <w:r>
        <w:rPr>
          <w:rFonts w:ascii="Times New Roman" w:hAnsi="Times New Roman" w:eastAsia="仿宋_GB2312" w:cs="Times New Roman"/>
          <w:sz w:val="30"/>
          <w:szCs w:val="30"/>
          <w:lang w:eastAsia="zh-CN" w:bidi="zh-TW"/>
        </w:rPr>
        <w:t>2</w:t>
      </w:r>
      <w:bookmarkEnd w:id="27"/>
      <w:r>
        <w:rPr>
          <w:rFonts w:ascii="Times New Roman" w:hAnsi="Times New Roman" w:eastAsia="仿宋_GB2312" w:cs="Times New Roman"/>
          <w:sz w:val="30"/>
          <w:szCs w:val="30"/>
          <w:lang w:eastAsia="zh-CN" w:bidi="zh-TW"/>
        </w:rPr>
        <w:t>、绩效目标</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28" w:name="bookmark99"/>
      <w:r>
        <w:rPr>
          <w:rFonts w:ascii="Times New Roman" w:hAnsi="Times New Roman" w:eastAsia="仿宋_GB2312" w:cs="Times New Roman"/>
          <w:sz w:val="30"/>
          <w:szCs w:val="30"/>
          <w:lang w:eastAsia="zh-CN" w:bidi="zh-TW"/>
        </w:rPr>
        <w:t>（</w:t>
      </w:r>
      <w:bookmarkEnd w:id="28"/>
      <w:r>
        <w:rPr>
          <w:rFonts w:ascii="Times New Roman" w:hAnsi="Times New Roman" w:eastAsia="仿宋_GB2312" w:cs="Times New Roman"/>
          <w:sz w:val="30"/>
          <w:szCs w:val="30"/>
          <w:lang w:eastAsia="zh-CN" w:bidi="zh-TW"/>
        </w:rPr>
        <w:t>1）绩效目标合理性（3分）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项目2020年末进行2021年度项目绩效目标申报。</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29" w:name="bookmark100"/>
      <w:r>
        <w:rPr>
          <w:rFonts w:ascii="Times New Roman" w:hAnsi="Times New Roman" w:eastAsia="仿宋_GB2312" w:cs="Times New Roman"/>
          <w:sz w:val="30"/>
          <w:szCs w:val="30"/>
          <w:lang w:eastAsia="zh-CN" w:bidi="zh-TW"/>
        </w:rPr>
        <w:t>（</w:t>
      </w:r>
      <w:bookmarkEnd w:id="29"/>
      <w:r>
        <w:rPr>
          <w:rFonts w:ascii="Times New Roman" w:hAnsi="Times New Roman" w:eastAsia="仿宋_GB2312" w:cs="Times New Roman"/>
          <w:sz w:val="30"/>
          <w:szCs w:val="30"/>
          <w:lang w:eastAsia="zh-CN" w:bidi="zh-TW"/>
        </w:rPr>
        <w:t>2）绩效指标明确性（3分）</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30" w:name="bookmark101"/>
      <w:r>
        <w:rPr>
          <w:rFonts w:ascii="Times New Roman" w:hAnsi="Times New Roman" w:eastAsia="仿宋_GB2312" w:cs="Times New Roman"/>
          <w:sz w:val="30"/>
          <w:szCs w:val="30"/>
          <w:lang w:eastAsia="zh-CN" w:bidi="zh-TW"/>
        </w:rPr>
        <w:t>项目2020年末进行2021年度项目绩效目标申报。</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3</w:t>
      </w:r>
      <w:bookmarkEnd w:id="30"/>
      <w:r>
        <w:rPr>
          <w:rFonts w:ascii="Times New Roman" w:hAnsi="Times New Roman" w:eastAsia="仿宋_GB2312" w:cs="Times New Roman"/>
          <w:sz w:val="30"/>
          <w:szCs w:val="30"/>
          <w:lang w:eastAsia="zh-CN" w:bidi="zh-TW"/>
        </w:rPr>
        <w:t>、资金投入</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（1）预算编制科学性（4分）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2021年度项目预算为223.9万元，预算编制经过了相应的科学论证，预算内容与项目内容匹配，预算额度测算依据充分，根据项目评分标准，该项得4分。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（2）资金分配合理性（4分）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根据年初预算明细表，项目资金分配依据每月实际支出由财政如实拨付至各个相关的责任单位，各相关责任单位根据资金使用用途，按照相关财务规定安排支出。根据项目评分标准，该项得4分。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 xml:space="preserve">（二）项目过程情况 </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1、资金管理</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31" w:name="bookmark102"/>
      <w:r>
        <w:rPr>
          <w:rFonts w:ascii="Times New Roman" w:hAnsi="Times New Roman" w:eastAsia="仿宋_GB2312" w:cs="Times New Roman"/>
          <w:sz w:val="30"/>
          <w:szCs w:val="30"/>
          <w:lang w:eastAsia="zh-CN" w:bidi="zh-TW"/>
        </w:rPr>
        <w:t>（</w:t>
      </w:r>
      <w:bookmarkEnd w:id="31"/>
      <w:r>
        <w:rPr>
          <w:rFonts w:ascii="Times New Roman" w:hAnsi="Times New Roman" w:eastAsia="仿宋_GB2312" w:cs="Times New Roman"/>
          <w:sz w:val="30"/>
          <w:szCs w:val="30"/>
          <w:lang w:eastAsia="zh-CN" w:bidi="zh-TW"/>
        </w:rPr>
        <w:t>1）资金到位率（2分）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2021年度项目预算资金223.9万元，实际到位资金 223.9万元，资金到位率=（实际到位资金/预算资金）</w:t>
      </w:r>
      <w:r>
        <w:rPr>
          <w:rFonts w:hint="eastAsia" w:ascii="仿宋_GB2312" w:hAnsi="Times New Roman" w:eastAsia="仿宋_GB2312" w:cs="Times New Roman"/>
          <w:sz w:val="30"/>
          <w:szCs w:val="30"/>
          <w:lang w:eastAsia="zh-CN" w:bidi="zh-TW"/>
        </w:rPr>
        <w:t>×</w:t>
      </w:r>
      <w:r>
        <w:rPr>
          <w:rFonts w:ascii="Times New Roman" w:hAnsi="Times New Roman" w:eastAsia="仿宋_GB2312" w:cs="Times New Roman"/>
          <w:sz w:val="30"/>
          <w:szCs w:val="30"/>
          <w:lang w:eastAsia="zh-CN" w:bidi="zh-TW"/>
        </w:rPr>
        <w:t xml:space="preserve"> 100%=100%。依据评分标准，该项得2分。</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32" w:name="bookmark103"/>
      <w:r>
        <w:rPr>
          <w:rFonts w:ascii="Times New Roman" w:hAnsi="Times New Roman" w:eastAsia="仿宋_GB2312" w:cs="Times New Roman"/>
          <w:sz w:val="30"/>
          <w:szCs w:val="30"/>
          <w:lang w:eastAsia="zh-CN" w:bidi="zh-TW"/>
        </w:rPr>
        <w:t>（</w:t>
      </w:r>
      <w:bookmarkEnd w:id="32"/>
      <w:r>
        <w:rPr>
          <w:rFonts w:ascii="Times New Roman" w:hAnsi="Times New Roman" w:eastAsia="仿宋_GB2312" w:cs="Times New Roman"/>
          <w:sz w:val="30"/>
          <w:szCs w:val="30"/>
          <w:lang w:eastAsia="zh-CN" w:bidi="zh-TW"/>
        </w:rPr>
        <w:t>2）预算执行率（2分）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截止到2021年12月31日，项目2021年所属支出总计223.9万元，由于项目实际到位资金为223.9万元，因此未产生结余。</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排除利息收入影响，预算执行率=100%,根据项目评分标准，该项得2分。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（3）资金使用合规性（5分）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项目资金依据《财政专项资金监督管理办法》进行使用管理，经费计划单列，专账管理，独立核算，资金拨付有完整的审批程序和手续，项目资金严格按照批准的用途专款专用，不准擅自调项、扩项、缩项，更不准拆借、挪用、挤占和随意扣压，在部门财务管理制度的规范下，所有经费实行“统一领导、集中管理”财务管理体制，经费支出实行分级预算审批制度，并定期进行财务</w:t>
      </w:r>
      <w:r>
        <w:rPr>
          <w:rFonts w:hint="eastAsia" w:ascii="Times New Roman" w:hAnsi="Times New Roman" w:eastAsia="仿宋_GB2312" w:cs="Times New Roman"/>
          <w:sz w:val="30"/>
          <w:szCs w:val="30"/>
          <w:lang w:eastAsia="zh-CN" w:bidi="zh-TW"/>
        </w:rPr>
        <w:t>自查</w:t>
      </w:r>
      <w:r>
        <w:rPr>
          <w:rFonts w:ascii="Times New Roman" w:hAnsi="Times New Roman" w:eastAsia="仿宋_GB2312" w:cs="Times New Roman"/>
          <w:sz w:val="30"/>
          <w:szCs w:val="30"/>
          <w:lang w:eastAsia="zh-CN" w:bidi="zh-TW"/>
        </w:rPr>
        <w:t>，同时按照预算统筹安排使用，严格按照单位预算统一管理当年的支出费用，专款专用。依据项目评分标准，该项得5分。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2、组织实施</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（1）管理制度健全性（2分）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hint="eastAsia" w:ascii="Times New Roman" w:hAnsi="Times New Roman" w:eastAsia="仿宋_GB2312" w:cs="Times New Roman"/>
          <w:sz w:val="30"/>
          <w:szCs w:val="30"/>
          <w:lang w:eastAsia="zh-CN" w:bidi="zh-TW"/>
        </w:rPr>
        <w:t>管理制度健全。</w:t>
      </w:r>
      <w:r>
        <w:rPr>
          <w:rFonts w:ascii="Times New Roman" w:hAnsi="Times New Roman" w:eastAsia="仿宋_GB2312" w:cs="Times New Roman"/>
          <w:sz w:val="30"/>
          <w:szCs w:val="30"/>
          <w:lang w:eastAsia="zh-CN" w:bidi="zh-TW"/>
        </w:rPr>
        <w:t>根据项目评分标准，该项得2分。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（2）制度执行有效性（4分）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按照“统一规划、建管分开，理顺条块、条块结合，分级管理、 以块为主，条条保证、权责一致”的要求，优化管理机构、细化管理职能。依据项目评分标准，该项得4分。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 xml:space="preserve">（三） 项目产出情况 </w:t>
      </w:r>
    </w:p>
    <w:p>
      <w:pPr>
        <w:pStyle w:val="11"/>
        <w:spacing w:after="0" w:line="437" w:lineRule="auto"/>
        <w:ind w:firstLine="540"/>
        <w:jc w:val="both"/>
        <w:rPr>
          <w:rFonts w:ascii="Times New Roman" w:hAnsi="Times New Roman" w:eastAsia="仿宋_GB2312" w:cs="Times New Roman"/>
          <w:sz w:val="30"/>
          <w:szCs w:val="30"/>
          <w:lang w:val="en-US" w:eastAsia="zh-CN"/>
        </w:rPr>
      </w:pPr>
      <w:bookmarkStart w:id="33" w:name="bookmark104"/>
      <w:r>
        <w:rPr>
          <w:rFonts w:ascii="Times New Roman" w:hAnsi="Times New Roman" w:eastAsia="仿宋_GB2312" w:cs="Times New Roman"/>
          <w:sz w:val="30"/>
          <w:szCs w:val="30"/>
          <w:lang w:val="en-US" w:eastAsia="zh-CN"/>
        </w:rPr>
        <w:t>1</w:t>
      </w:r>
      <w:bookmarkEnd w:id="33"/>
      <w:r>
        <w:rPr>
          <w:rFonts w:ascii="Times New Roman" w:hAnsi="Times New Roman" w:eastAsia="仿宋_GB2312" w:cs="Times New Roman"/>
          <w:sz w:val="30"/>
          <w:szCs w:val="30"/>
          <w:lang w:val="en-US" w:eastAsia="zh-CN"/>
        </w:rPr>
        <w:t>、产出数量</w:t>
      </w:r>
    </w:p>
    <w:p>
      <w:pPr>
        <w:pStyle w:val="11"/>
        <w:spacing w:after="0" w:line="437" w:lineRule="auto"/>
        <w:ind w:firstLine="540"/>
        <w:jc w:val="both"/>
        <w:rPr>
          <w:rFonts w:ascii="Times New Roman" w:hAnsi="Times New Roman" w:eastAsia="仿宋_GB2312" w:cs="Times New Roman"/>
          <w:sz w:val="30"/>
          <w:szCs w:val="30"/>
          <w:lang w:val="en-US" w:eastAsia="zh-CN"/>
        </w:rPr>
      </w:pPr>
      <w:r>
        <w:rPr>
          <w:rFonts w:ascii="Times New Roman" w:hAnsi="Times New Roman" w:eastAsia="仿宋_GB2312" w:cs="Times New Roman"/>
          <w:sz w:val="30"/>
          <w:szCs w:val="30"/>
          <w:lang w:val="en-US" w:eastAsia="zh-CN"/>
        </w:rPr>
        <w:t>（1）完成2021年管理工作（10分）</w:t>
      </w:r>
    </w:p>
    <w:p>
      <w:pPr>
        <w:pStyle w:val="11"/>
        <w:spacing w:after="0" w:line="437" w:lineRule="auto"/>
        <w:ind w:firstLine="540"/>
        <w:jc w:val="both"/>
        <w:rPr>
          <w:rFonts w:ascii="Times New Roman" w:hAnsi="Times New Roman" w:eastAsia="仿宋_GB2312" w:cs="Times New Roman"/>
          <w:sz w:val="30"/>
          <w:szCs w:val="30"/>
          <w:lang w:val="en-US" w:eastAsia="zh-CN"/>
        </w:rPr>
      </w:pPr>
      <w:bookmarkStart w:id="34" w:name="bookmark105"/>
      <w:r>
        <w:rPr>
          <w:rFonts w:ascii="Times New Roman" w:hAnsi="Times New Roman" w:eastAsia="仿宋_GB2312" w:cs="Times New Roman"/>
          <w:sz w:val="30"/>
          <w:szCs w:val="30"/>
          <w:lang w:val="en-US" w:eastAsia="zh-CN"/>
        </w:rPr>
        <w:t>2</w:t>
      </w:r>
      <w:bookmarkEnd w:id="34"/>
      <w:r>
        <w:rPr>
          <w:rFonts w:ascii="Times New Roman" w:hAnsi="Times New Roman" w:eastAsia="仿宋_GB2312" w:cs="Times New Roman"/>
          <w:sz w:val="30"/>
          <w:szCs w:val="30"/>
          <w:lang w:val="en-US" w:eastAsia="zh-CN"/>
        </w:rPr>
        <w:t>、产出质量</w:t>
      </w:r>
    </w:p>
    <w:p>
      <w:pPr>
        <w:pStyle w:val="11"/>
        <w:spacing w:after="0" w:line="437" w:lineRule="auto"/>
        <w:ind w:firstLine="540"/>
        <w:jc w:val="both"/>
        <w:rPr>
          <w:rFonts w:ascii="Times New Roman" w:hAnsi="Times New Roman" w:eastAsia="仿宋_GB2312" w:cs="Times New Roman"/>
          <w:sz w:val="30"/>
          <w:szCs w:val="30"/>
          <w:lang w:val="en-US" w:eastAsia="zh-CN"/>
        </w:rPr>
      </w:pPr>
      <w:r>
        <w:rPr>
          <w:rFonts w:ascii="Times New Roman" w:hAnsi="Times New Roman" w:eastAsia="仿宋_GB2312" w:cs="Times New Roman"/>
          <w:sz w:val="30"/>
          <w:szCs w:val="30"/>
          <w:lang w:val="en-US" w:eastAsia="zh-CN"/>
        </w:rPr>
        <w:t>（1）管理工作达标率（10）</w:t>
      </w:r>
    </w:p>
    <w:p>
      <w:pPr>
        <w:pStyle w:val="11"/>
        <w:spacing w:after="0" w:line="437" w:lineRule="auto"/>
        <w:ind w:firstLine="540"/>
        <w:jc w:val="both"/>
        <w:rPr>
          <w:rFonts w:ascii="Times New Roman" w:hAnsi="Times New Roman" w:eastAsia="仿宋_GB2312" w:cs="Times New Roman"/>
          <w:sz w:val="30"/>
          <w:szCs w:val="30"/>
          <w:lang w:val="en-US" w:eastAsia="zh-CN"/>
        </w:rPr>
      </w:pPr>
      <w:bookmarkStart w:id="35" w:name="bookmark106"/>
      <w:r>
        <w:rPr>
          <w:rFonts w:ascii="Times New Roman" w:hAnsi="Times New Roman" w:eastAsia="仿宋_GB2312" w:cs="Times New Roman"/>
          <w:sz w:val="30"/>
          <w:szCs w:val="30"/>
          <w:lang w:val="en-US" w:eastAsia="zh-CN"/>
        </w:rPr>
        <w:t>3</w:t>
      </w:r>
      <w:bookmarkEnd w:id="35"/>
      <w:r>
        <w:rPr>
          <w:rFonts w:ascii="Times New Roman" w:hAnsi="Times New Roman" w:eastAsia="仿宋_GB2312" w:cs="Times New Roman"/>
          <w:sz w:val="30"/>
          <w:szCs w:val="30"/>
          <w:lang w:val="en-US" w:eastAsia="zh-CN"/>
        </w:rPr>
        <w:t>、产出时效</w:t>
      </w:r>
    </w:p>
    <w:p>
      <w:pPr>
        <w:pStyle w:val="11"/>
        <w:spacing w:after="0" w:line="437" w:lineRule="auto"/>
        <w:ind w:firstLine="540"/>
        <w:jc w:val="both"/>
        <w:rPr>
          <w:rFonts w:ascii="Times New Roman" w:hAnsi="Times New Roman" w:eastAsia="仿宋_GB2312" w:cs="Times New Roman"/>
          <w:sz w:val="30"/>
          <w:szCs w:val="30"/>
          <w:lang w:val="en-US" w:eastAsia="zh-CN"/>
        </w:rPr>
      </w:pPr>
      <w:r>
        <w:rPr>
          <w:rFonts w:ascii="Times New Roman" w:hAnsi="Times New Roman" w:eastAsia="仿宋_GB2312" w:cs="Times New Roman"/>
          <w:sz w:val="30"/>
          <w:szCs w:val="30"/>
          <w:lang w:val="en-US" w:eastAsia="zh-CN"/>
        </w:rPr>
        <w:t>（1）及时完成性（5分）</w:t>
      </w:r>
    </w:p>
    <w:p>
      <w:pPr>
        <w:pStyle w:val="11"/>
        <w:spacing w:after="0" w:line="437" w:lineRule="auto"/>
        <w:ind w:firstLine="540"/>
        <w:jc w:val="both"/>
        <w:rPr>
          <w:rFonts w:ascii="Times New Roman" w:hAnsi="Times New Roman" w:eastAsia="仿宋_GB2312" w:cs="Times New Roman"/>
          <w:sz w:val="30"/>
          <w:szCs w:val="30"/>
          <w:lang w:val="en-US" w:eastAsia="zh-CN"/>
        </w:rPr>
      </w:pPr>
      <w:bookmarkStart w:id="36" w:name="bookmark107"/>
      <w:r>
        <w:rPr>
          <w:rFonts w:ascii="Times New Roman" w:hAnsi="Times New Roman" w:eastAsia="仿宋_GB2312" w:cs="Times New Roman"/>
          <w:sz w:val="30"/>
          <w:szCs w:val="30"/>
          <w:lang w:val="en-US" w:eastAsia="zh-CN"/>
        </w:rPr>
        <w:t>4</w:t>
      </w:r>
      <w:bookmarkEnd w:id="36"/>
      <w:r>
        <w:rPr>
          <w:rFonts w:ascii="Times New Roman" w:hAnsi="Times New Roman" w:eastAsia="仿宋_GB2312" w:cs="Times New Roman"/>
          <w:sz w:val="30"/>
          <w:szCs w:val="30"/>
          <w:lang w:val="en-US" w:eastAsia="zh-CN"/>
        </w:rPr>
        <w:t>、产出成本</w:t>
      </w:r>
    </w:p>
    <w:p>
      <w:pPr>
        <w:pStyle w:val="11"/>
        <w:spacing w:after="0" w:line="437" w:lineRule="auto"/>
        <w:ind w:firstLine="540"/>
        <w:jc w:val="both"/>
        <w:rPr>
          <w:rFonts w:ascii="Times New Roman" w:hAnsi="Times New Roman" w:eastAsia="仿宋_GB2312" w:cs="Times New Roman"/>
          <w:sz w:val="30"/>
          <w:szCs w:val="30"/>
          <w:lang w:val="en-US" w:eastAsia="zh-CN"/>
        </w:rPr>
      </w:pPr>
      <w:r>
        <w:rPr>
          <w:rFonts w:ascii="Times New Roman" w:hAnsi="Times New Roman" w:eastAsia="仿宋_GB2312" w:cs="Times New Roman"/>
          <w:sz w:val="30"/>
          <w:szCs w:val="30"/>
          <w:lang w:val="en-US" w:eastAsia="zh-CN"/>
        </w:rPr>
        <w:t>（1）成本节约率（5分）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（四）项目效益情况。</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37" w:name="bookmark108"/>
      <w:r>
        <w:rPr>
          <w:rFonts w:ascii="Times New Roman" w:hAnsi="Times New Roman" w:eastAsia="仿宋_GB2312" w:cs="Times New Roman"/>
          <w:sz w:val="30"/>
          <w:szCs w:val="30"/>
          <w:lang w:eastAsia="zh-CN" w:bidi="zh-TW"/>
        </w:rPr>
        <w:t>1</w:t>
      </w:r>
      <w:bookmarkEnd w:id="37"/>
      <w:r>
        <w:rPr>
          <w:rFonts w:ascii="Times New Roman" w:hAnsi="Times New Roman" w:eastAsia="仿宋_GB2312" w:cs="Times New Roman"/>
          <w:sz w:val="30"/>
          <w:szCs w:val="30"/>
          <w:lang w:eastAsia="zh-CN" w:bidi="zh-TW"/>
        </w:rPr>
        <w:t>、社会效益</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（1）有效提升城区市容市貌（10分）</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（2）提高城市文明水平（5分）</w:t>
      </w:r>
    </w:p>
    <w:p>
      <w:pPr>
        <w:spacing w:line="600" w:lineRule="exact"/>
        <w:ind w:firstLine="600" w:firstLineChars="200"/>
        <w:jc w:val="both"/>
        <w:rPr>
          <w:rFonts w:hint="eastAsia"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（3）</w:t>
      </w:r>
      <w:r>
        <w:rPr>
          <w:rFonts w:hint="eastAsia" w:ascii="Times New Roman" w:hAnsi="Times New Roman" w:eastAsia="仿宋_GB2312" w:cs="Times New Roman"/>
          <w:sz w:val="30"/>
          <w:szCs w:val="30"/>
          <w:lang w:eastAsia="zh-CN" w:bidi="zh-TW"/>
        </w:rPr>
        <w:t>项目建设实施过程中，环境效益尚未产生</w:t>
      </w:r>
      <w:r>
        <w:rPr>
          <w:rFonts w:ascii="Times New Roman" w:hAnsi="Times New Roman" w:eastAsia="仿宋_GB2312" w:cs="Times New Roman"/>
          <w:sz w:val="30"/>
          <w:szCs w:val="30"/>
          <w:lang w:eastAsia="zh-CN" w:bidi="zh-TW"/>
        </w:rPr>
        <w:t>（5分）</w:t>
      </w:r>
    </w:p>
    <w:p>
      <w:pPr>
        <w:pStyle w:val="11"/>
        <w:spacing w:after="260" w:line="621" w:lineRule="exact"/>
        <w:ind w:firstLine="540"/>
        <w:jc w:val="both"/>
        <w:rPr>
          <w:rFonts w:ascii="Times New Roman" w:hAnsi="Times New Roman" w:eastAsia="仿宋_GB2312" w:cs="Times New Roman"/>
          <w:sz w:val="30"/>
          <w:szCs w:val="30"/>
          <w:lang w:val="en-US" w:eastAsia="zh-CN"/>
        </w:rPr>
      </w:pPr>
      <w:bookmarkStart w:id="38" w:name="bookmark110"/>
      <w:r>
        <w:rPr>
          <w:rFonts w:ascii="Times New Roman" w:hAnsi="Times New Roman" w:eastAsia="仿宋_GB2312" w:cs="Times New Roman"/>
          <w:sz w:val="30"/>
          <w:szCs w:val="30"/>
          <w:lang w:val="en-US" w:eastAsia="zh-CN"/>
        </w:rPr>
        <w:t>3</w:t>
      </w:r>
      <w:bookmarkEnd w:id="38"/>
      <w:r>
        <w:rPr>
          <w:rFonts w:ascii="Times New Roman" w:hAnsi="Times New Roman" w:eastAsia="仿宋_GB2312" w:cs="Times New Roman"/>
          <w:sz w:val="30"/>
          <w:szCs w:val="30"/>
          <w:lang w:val="en-US" w:eastAsia="zh-CN"/>
        </w:rPr>
        <w:t>、满意度</w:t>
      </w:r>
    </w:p>
    <w:p>
      <w:pPr>
        <w:pStyle w:val="11"/>
        <w:spacing w:after="180" w:line="621" w:lineRule="exact"/>
        <w:ind w:firstLine="700"/>
        <w:jc w:val="both"/>
        <w:rPr>
          <w:rFonts w:ascii="Times New Roman" w:hAnsi="Times New Roman" w:eastAsia="仿宋_GB2312" w:cs="Times New Roman"/>
          <w:sz w:val="30"/>
          <w:szCs w:val="30"/>
          <w:lang w:val="en-US" w:eastAsia="zh-CN"/>
        </w:rPr>
      </w:pPr>
      <w:r>
        <w:rPr>
          <w:rFonts w:ascii="Times New Roman" w:hAnsi="Times New Roman" w:eastAsia="仿宋_GB2312" w:cs="Times New Roman"/>
          <w:sz w:val="30"/>
          <w:szCs w:val="30"/>
          <w:lang w:val="en-US" w:eastAsia="zh-CN"/>
        </w:rPr>
        <w:t>（1）居民满意度（10分）</w:t>
      </w:r>
    </w:p>
    <w:p>
      <w:pPr>
        <w:pStyle w:val="11"/>
        <w:spacing w:after="0" w:line="622" w:lineRule="exact"/>
        <w:ind w:firstLine="539"/>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val="en-US" w:eastAsia="zh-CN"/>
        </w:rPr>
        <w:t>当地群众对</w:t>
      </w:r>
      <w:r>
        <w:rPr>
          <w:rFonts w:hint="eastAsia" w:ascii="Times New Roman" w:hAnsi="Times New Roman" w:eastAsia="仿宋_GB2312" w:cs="Times New Roman"/>
          <w:sz w:val="30"/>
          <w:szCs w:val="30"/>
          <w:lang w:val="en-US" w:eastAsia="zh-CN"/>
        </w:rPr>
        <w:t>再生水项目</w:t>
      </w:r>
      <w:r>
        <w:rPr>
          <w:rFonts w:ascii="Times New Roman" w:hAnsi="Times New Roman" w:eastAsia="仿宋_GB2312" w:cs="Times New Roman"/>
          <w:sz w:val="30"/>
          <w:szCs w:val="30"/>
          <w:lang w:val="en-US" w:eastAsia="zh-CN"/>
        </w:rPr>
        <w:t>管理工作较为满意，认为项目实施效果较好， 相较以前年度市容市貌以及城市文明水平均有提升，不良现象以及不文明行为受到有效整治</w:t>
      </w:r>
      <w:r>
        <w:rPr>
          <w:rFonts w:hint="eastAsia" w:ascii="Times New Roman" w:hAnsi="Times New Roman" w:eastAsia="仿宋_GB2312" w:cs="Times New Roman"/>
          <w:sz w:val="30"/>
          <w:szCs w:val="30"/>
          <w:lang w:val="en-US" w:eastAsia="zh-CN"/>
        </w:rPr>
        <w:t>，</w:t>
      </w:r>
      <w:r>
        <w:rPr>
          <w:rFonts w:ascii="Times New Roman" w:hAnsi="Times New Roman" w:eastAsia="仿宋_GB2312" w:cs="Times New Roman"/>
          <w:sz w:val="30"/>
          <w:szCs w:val="30"/>
          <w:lang w:val="en-US" w:eastAsia="zh-CN"/>
        </w:rPr>
        <w:t>综合满意度为96. 74%。依据项目评分标准，该项得10分。</w:t>
      </w:r>
    </w:p>
    <w:p>
      <w:pPr>
        <w:spacing w:line="600" w:lineRule="exact"/>
        <w:ind w:firstLine="614" w:firstLineChars="200"/>
        <w:jc w:val="both"/>
        <w:rPr>
          <w:rFonts w:ascii="Times New Roman" w:hAnsi="Times New Roman" w:eastAsia="仿宋_GB2312" w:cs="Times New Roman"/>
          <w:spacing w:val="-4"/>
          <w:w w:val="105"/>
          <w:sz w:val="30"/>
          <w:szCs w:val="30"/>
          <w:lang w:eastAsia="zh-CN"/>
        </w:rPr>
      </w:pPr>
      <w:r>
        <w:rPr>
          <w:rFonts w:ascii="Times New Roman" w:hAnsi="Times New Roman" w:eastAsia="仿宋_GB2312" w:cs="Times New Roman"/>
          <w:spacing w:val="-4"/>
          <w:w w:val="105"/>
          <w:sz w:val="30"/>
          <w:szCs w:val="30"/>
          <w:lang w:eastAsia="zh-CN"/>
        </w:rPr>
        <w:t xml:space="preserve">五、主要经验及做法、存在的问题及原因分析 </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（二）存在的问题及原因分析</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39" w:name="bookmark114"/>
      <w:r>
        <w:rPr>
          <w:rFonts w:ascii="Times New Roman" w:hAnsi="Times New Roman" w:eastAsia="仿宋_GB2312" w:cs="Times New Roman"/>
          <w:sz w:val="30"/>
          <w:szCs w:val="30"/>
          <w:lang w:eastAsia="zh-CN" w:bidi="zh-TW"/>
        </w:rPr>
        <w:t>1</w:t>
      </w:r>
      <w:bookmarkEnd w:id="39"/>
      <w:r>
        <w:rPr>
          <w:rFonts w:ascii="Times New Roman" w:hAnsi="Times New Roman" w:eastAsia="仿宋_GB2312" w:cs="Times New Roman"/>
          <w:sz w:val="30"/>
          <w:szCs w:val="30"/>
          <w:lang w:eastAsia="zh-CN" w:bidi="zh-TW"/>
        </w:rPr>
        <w:t>、预算绩效管理观念淡薄。</w:t>
      </w:r>
    </w:p>
    <w:p>
      <w:pPr>
        <w:spacing w:line="600" w:lineRule="exact"/>
        <w:ind w:firstLine="600" w:firstLineChars="200"/>
        <w:jc w:val="both"/>
        <w:rPr>
          <w:rFonts w:ascii="Times New Roman" w:hAnsi="Times New Roman" w:eastAsia="仿宋_GB2312" w:cs="Times New Roman"/>
          <w:sz w:val="30"/>
          <w:szCs w:val="30"/>
          <w:lang w:eastAsia="zh-CN" w:bidi="zh-TW"/>
        </w:rPr>
      </w:pPr>
      <w:r>
        <w:rPr>
          <w:rFonts w:ascii="Times New Roman" w:hAnsi="Times New Roman" w:eastAsia="仿宋_GB2312" w:cs="Times New Roman"/>
          <w:sz w:val="30"/>
          <w:szCs w:val="30"/>
          <w:lang w:eastAsia="zh-CN" w:bidi="zh-TW"/>
        </w:rPr>
        <w:t>当前，预算绩效管理实施时间短、范围广、基础弱，可借鉴经验不多，理念扎根不深。比如，由于预算执行监督力度不够，导致以往年度执行率针对性差、参考价值低，容易造成预算失效。出现这种情况，主要原因在于各级预算单位未形成统一的认知和制度，只重视资金预算，不重视绩效管理，没有真正认清绩效管理的重要性和优越性。所以，行政事业单位必须提高预算绩效管理的主动性，从先有预算再排项目向先有项目再排预算转变。</w:t>
      </w:r>
    </w:p>
    <w:p>
      <w:pPr>
        <w:spacing w:line="600" w:lineRule="exact"/>
        <w:ind w:firstLine="600" w:firstLineChars="200"/>
        <w:jc w:val="both"/>
        <w:rPr>
          <w:rFonts w:ascii="Times New Roman" w:hAnsi="Times New Roman" w:eastAsia="仿宋_GB2312" w:cs="Times New Roman"/>
          <w:sz w:val="30"/>
          <w:szCs w:val="30"/>
          <w:lang w:eastAsia="zh-CN" w:bidi="zh-TW"/>
        </w:rPr>
      </w:pPr>
      <w:bookmarkStart w:id="40" w:name="bookmark115"/>
      <w:r>
        <w:rPr>
          <w:rFonts w:ascii="Times New Roman" w:hAnsi="Times New Roman" w:eastAsia="仿宋_GB2312" w:cs="Times New Roman"/>
          <w:sz w:val="30"/>
          <w:szCs w:val="30"/>
          <w:lang w:eastAsia="zh-CN" w:bidi="zh-TW"/>
        </w:rPr>
        <w:t>2</w:t>
      </w:r>
      <w:bookmarkEnd w:id="40"/>
      <w:r>
        <w:rPr>
          <w:rFonts w:ascii="Times New Roman" w:hAnsi="Times New Roman" w:eastAsia="仿宋_GB2312" w:cs="Times New Roman"/>
          <w:sz w:val="30"/>
          <w:szCs w:val="30"/>
          <w:lang w:eastAsia="zh-CN" w:bidi="zh-TW"/>
        </w:rPr>
        <w:t>、工作计划不明确</w:t>
      </w:r>
    </w:p>
    <w:p>
      <w:pPr>
        <w:spacing w:line="600" w:lineRule="exact"/>
        <w:ind w:firstLine="600" w:firstLineChars="200"/>
        <w:jc w:val="both"/>
        <w:rPr>
          <w:rFonts w:ascii="Times New Roman" w:hAnsi="Times New Roman" w:eastAsia="仿宋_GB2312" w:cs="Times New Roman"/>
          <w:spacing w:val="-4"/>
          <w:w w:val="105"/>
          <w:sz w:val="30"/>
          <w:szCs w:val="30"/>
          <w:lang w:eastAsia="zh-CN"/>
        </w:rPr>
      </w:pPr>
      <w:r>
        <w:rPr>
          <w:rFonts w:ascii="Times New Roman" w:hAnsi="Times New Roman" w:eastAsia="仿宋_GB2312" w:cs="Times New Roman"/>
          <w:sz w:val="30"/>
          <w:szCs w:val="30"/>
          <w:lang w:eastAsia="zh-CN" w:bidi="zh-TW"/>
        </w:rPr>
        <w:t>项目实施未制定明确、详细及操作性强的工作计划，这就使得未对项目的职责划分、执行流程、实施进度、预期成果等作出符合实际的设定，导致项目实施的计划性、方向性和目标性不足，不利于项目实施的整体进展。</w:t>
      </w:r>
    </w:p>
    <w:p>
      <w:pPr>
        <w:spacing w:line="600" w:lineRule="exact"/>
        <w:ind w:firstLine="614" w:firstLineChars="200"/>
        <w:jc w:val="both"/>
        <w:rPr>
          <w:rFonts w:ascii="Times New Roman" w:hAnsi="Times New Roman" w:eastAsia="仿宋_GB2312" w:cs="Times New Roman"/>
          <w:spacing w:val="-4"/>
          <w:w w:val="105"/>
          <w:sz w:val="30"/>
          <w:szCs w:val="30"/>
          <w:lang w:eastAsia="zh-CN"/>
        </w:rPr>
      </w:pPr>
      <w:r>
        <w:rPr>
          <w:rFonts w:ascii="Times New Roman" w:hAnsi="Times New Roman" w:eastAsia="仿宋_GB2312" w:cs="Times New Roman"/>
          <w:spacing w:val="-4"/>
          <w:w w:val="105"/>
          <w:sz w:val="30"/>
          <w:szCs w:val="30"/>
          <w:lang w:eastAsia="zh-CN"/>
        </w:rPr>
        <w:t>六、有关建议</w:t>
      </w:r>
    </w:p>
    <w:p>
      <w:pPr>
        <w:spacing w:line="600" w:lineRule="exact"/>
        <w:ind w:firstLine="600" w:firstLineChars="200"/>
        <w:jc w:val="both"/>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(一)加大宣传力度，强化预算绩效意识。</w:t>
      </w:r>
    </w:p>
    <w:p>
      <w:pPr>
        <w:spacing w:line="600" w:lineRule="exact"/>
        <w:ind w:firstLine="600" w:firstLineChars="200"/>
        <w:jc w:val="both"/>
        <w:rPr>
          <w:rFonts w:ascii="Times New Roman" w:hAnsi="Times New Roman" w:eastAsia="仿宋_GB2312" w:cs="Times New Roman"/>
          <w:spacing w:val="-4"/>
          <w:w w:val="105"/>
          <w:sz w:val="30"/>
          <w:szCs w:val="30"/>
          <w:lang w:eastAsia="zh-CN"/>
        </w:rPr>
      </w:pPr>
      <w:r>
        <w:rPr>
          <w:rFonts w:ascii="Times New Roman" w:hAnsi="Times New Roman" w:eastAsia="仿宋_GB2312" w:cs="Times New Roman"/>
          <w:sz w:val="30"/>
          <w:szCs w:val="30"/>
          <w:lang w:eastAsia="zh-CN"/>
        </w:rPr>
        <w:t>强调预算绩效管理，树立科学的预算绩效管理理念。一是提高站位，主动对财政资金预算实施绩效管理。预算绩效管理是一项以提高效率与效益为中心的预算管理制度，单位管理者须从概念上对其有明确的认识，要充分认清预算绩效管理对全面深化财税体制改革的重要性，积极转变观念以适应当前新型管理模式，积极主动作为，强化统筹协调，避免出现任何疏漏。二是更新理念，强化预算绩效管理的使命意识和责任意识。要确立“财政的钱是取之于民用之于民，我们要 关注财政支出的去向，更要关注财政支出的效果。”要形成“谁干事谁花钱，谁花钱谁担责”的权责机制。要通过全面实施预算绩效管理，提高财政资金使用绩效，将每一分钱用在刀刃上，切实做到花钱必问效，无效必问责。三是营造氛围，利用各类媒体及政府网络平台大力宣传预算绩效管理的深远意义。推动凝聚社会共识，营造绩效文化氛围，培养正确的预算绩效管理意识，树立以绩效评价为核心的工作理 念，紧密结合各部门的职能，明确各项分工。</w:t>
      </w:r>
    </w:p>
    <w:p>
      <w:pPr>
        <w:spacing w:line="600" w:lineRule="exact"/>
        <w:ind w:firstLine="614" w:firstLineChars="200"/>
        <w:jc w:val="both"/>
        <w:rPr>
          <w:rFonts w:ascii="Times New Roman" w:hAnsi="Times New Roman" w:eastAsia="仿宋_GB2312" w:cs="Times New Roman"/>
          <w:spacing w:val="-4"/>
          <w:w w:val="105"/>
          <w:sz w:val="30"/>
          <w:szCs w:val="30"/>
          <w:lang w:eastAsia="zh-CN"/>
        </w:rPr>
      </w:pPr>
      <w:r>
        <w:rPr>
          <w:rFonts w:ascii="Times New Roman" w:hAnsi="Times New Roman" w:eastAsia="仿宋_GB2312" w:cs="Times New Roman"/>
          <w:spacing w:val="-4"/>
          <w:w w:val="105"/>
          <w:sz w:val="30"/>
          <w:szCs w:val="30"/>
          <w:lang w:eastAsia="zh-CN"/>
        </w:rPr>
        <w:t>七、其他需要说明的问题</w:t>
      </w:r>
    </w:p>
    <w:p>
      <w:pPr>
        <w:spacing w:line="600" w:lineRule="exact"/>
        <w:ind w:firstLine="600" w:firstLineChars="200"/>
        <w:jc w:val="both"/>
        <w:rPr>
          <w:rFonts w:ascii="Times New Roman" w:hAnsi="Times New Roman" w:eastAsia="仿宋_GB2312" w:cs="Times New Roman"/>
          <w:sz w:val="30"/>
          <w:szCs w:val="30"/>
          <w:lang w:eastAsia="zh-CN"/>
        </w:rPr>
      </w:pPr>
      <w:r>
        <w:rPr>
          <w:rFonts w:hint="eastAsia" w:ascii="Times New Roman" w:hAnsi="Times New Roman" w:eastAsia="仿宋_GB2312" w:cs="Times New Roman"/>
          <w:sz w:val="30"/>
          <w:szCs w:val="30"/>
          <w:lang w:eastAsia="zh-CN"/>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0" distR="0" simplePos="0" relativeHeight="251659264" behindDoc="1" locked="0" layoutInCell="1" allowOverlap="1">
              <wp:simplePos x="0" y="0"/>
              <wp:positionH relativeFrom="page">
                <wp:posOffset>3851275</wp:posOffset>
              </wp:positionH>
              <wp:positionV relativeFrom="page">
                <wp:posOffset>9765030</wp:posOffset>
              </wp:positionV>
              <wp:extent cx="47625" cy="76200"/>
              <wp:effectExtent l="0" t="0" r="0" b="0"/>
              <wp:wrapNone/>
              <wp:docPr id="13" name="Shape 13"/>
              <wp:cNvGraphicFramePr/>
              <a:graphic xmlns:a="http://schemas.openxmlformats.org/drawingml/2006/main">
                <a:graphicData uri="http://schemas.microsoft.com/office/word/2010/wordprocessingShape">
                  <wps:wsp>
                    <wps:cNvSpPr txBox="1"/>
                    <wps:spPr>
                      <a:xfrm>
                        <a:off x="0" y="0"/>
                        <a:ext cx="47625" cy="76200"/>
                      </a:xfrm>
                      <a:prstGeom prst="rect">
                        <a:avLst/>
                      </a:prstGeom>
                      <a:noFill/>
                    </wps:spPr>
                    <wps:txbx>
                      <w:txbxContent>
                        <w:p>
                          <w:r>
                            <w:fldChar w:fldCharType="begin"/>
                          </w:r>
                          <w:r>
                            <w:instrText xml:space="preserve"> PAGE \* MERGEFORMAT </w:instrText>
                          </w:r>
                          <w:r>
                            <w:fldChar w:fldCharType="separate"/>
                          </w:r>
                          <w:r>
                            <w:rPr>
                              <w:rFonts w:ascii="Times New Roman" w:hAnsi="Times New Roman" w:eastAsia="Times New Roman" w:cs="Times New Roman"/>
                              <w:color w:val="000000"/>
                            </w:rPr>
                            <w:t>#</w:t>
                          </w:r>
                          <w:r>
                            <w:fldChar w:fldCharType="end"/>
                          </w:r>
                        </w:p>
                      </w:txbxContent>
                    </wps:txbx>
                    <wps:bodyPr wrap="none" lIns="0" tIns="0" rIns="0" bIns="0">
                      <a:spAutoFit/>
                    </wps:bodyPr>
                  </wps:wsp>
                </a:graphicData>
              </a:graphic>
            </wp:anchor>
          </w:drawing>
        </mc:Choice>
        <mc:Fallback>
          <w:pict>
            <v:shape id="Shape 13" o:spid="_x0000_s1026" o:spt="202" type="#_x0000_t202" style="position:absolute;left:0pt;margin-left:303.25pt;margin-top:768.9pt;height:6pt;width:3.75pt;mso-position-horizontal-relative:page;mso-position-vertical-relative:page;mso-wrap-style:none;z-index:-251657216;mso-width-relative:page;mso-height-relative:page;" filled="f" stroked="f" coordsize="21600,21600" o:gfxdata="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Nr3CjHYAAAA&#10;DQEAAA8AAAAAAAAAAQAgAAAAIgAAAGRycy9kb3ducmV2LnhtbFBLAQIUABQAAAAIAIdO4kCljNtC&#10;qwEAAG8DAAAOAAAAAAAAAAEAIAAAACcBAABkcnMvZTJvRG9jLnhtbFBLBQYAAAAABgAGAFkBAABE&#10;BQAAAAA=&#10;">
              <v:fill on="f" focussize="0,0"/>
              <v:stroke on="f"/>
              <v:imagedata o:title=""/>
              <o:lock v:ext="edit" aspectratio="f"/>
              <v:textbox inset="0mm,0mm,0mm,0mm" style="mso-fit-shape-to-text:t;">
                <w:txbxContent>
                  <w:p>
                    <w:r>
                      <w:fldChar w:fldCharType="begin"/>
                    </w:r>
                    <w:r>
                      <w:instrText xml:space="preserve"> PAGE \* MERGEFORMAT </w:instrText>
                    </w:r>
                    <w:r>
                      <w:fldChar w:fldCharType="separate"/>
                    </w:r>
                    <w:r>
                      <w:rPr>
                        <w:rFonts w:ascii="Times New Roman" w:hAnsi="Times New Roman" w:eastAsia="Times New Roman" w:cs="Times New Roman"/>
                        <w:color w:val="000000"/>
                      </w:rPr>
                      <w:t>#</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EnclosedCircle"/>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1">
    <w:nsid w:val="0053208E"/>
    <w:multiLevelType w:val="singleLevel"/>
    <w:tmpl w:val="0053208E"/>
    <w:lvl w:ilvl="0" w:tentative="0">
      <w:start w:val="1"/>
      <w:numFmt w:val="decimalEnclosedCircle"/>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2">
    <w:nsid w:val="59ADCABA"/>
    <w:multiLevelType w:val="singleLevel"/>
    <w:tmpl w:val="59ADCABA"/>
    <w:lvl w:ilvl="0" w:tentative="0">
      <w:start w:val="1"/>
      <w:numFmt w:val="decimalEnclosedCircle"/>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UzZGZiYzFkZTZmZmI3YzA3ZDA3MGZhOWYzYjMxZWQifQ=="/>
  </w:docVars>
  <w:rsids>
    <w:rsidRoot w:val="00D27F3A"/>
    <w:rsid w:val="00113DD0"/>
    <w:rsid w:val="0018594E"/>
    <w:rsid w:val="001B112E"/>
    <w:rsid w:val="001F559F"/>
    <w:rsid w:val="001F7047"/>
    <w:rsid w:val="002115F8"/>
    <w:rsid w:val="0023167C"/>
    <w:rsid w:val="0036372F"/>
    <w:rsid w:val="003C3D66"/>
    <w:rsid w:val="0046282E"/>
    <w:rsid w:val="004E113C"/>
    <w:rsid w:val="005148F8"/>
    <w:rsid w:val="00553974"/>
    <w:rsid w:val="00592B6C"/>
    <w:rsid w:val="005D0F6C"/>
    <w:rsid w:val="005E5F90"/>
    <w:rsid w:val="005E74A1"/>
    <w:rsid w:val="00644B16"/>
    <w:rsid w:val="006A28B4"/>
    <w:rsid w:val="006C1B32"/>
    <w:rsid w:val="00730532"/>
    <w:rsid w:val="007B0B06"/>
    <w:rsid w:val="00904B0D"/>
    <w:rsid w:val="009071F9"/>
    <w:rsid w:val="00984077"/>
    <w:rsid w:val="00995998"/>
    <w:rsid w:val="009D6E9A"/>
    <w:rsid w:val="009E5603"/>
    <w:rsid w:val="00A51EA4"/>
    <w:rsid w:val="00AA4478"/>
    <w:rsid w:val="00B24D6D"/>
    <w:rsid w:val="00BE3835"/>
    <w:rsid w:val="00CF2529"/>
    <w:rsid w:val="00CF30C1"/>
    <w:rsid w:val="00D02C5B"/>
    <w:rsid w:val="00D10FF2"/>
    <w:rsid w:val="00D27F3A"/>
    <w:rsid w:val="00DA4AEB"/>
    <w:rsid w:val="00DB4AB4"/>
    <w:rsid w:val="00E05EA0"/>
    <w:rsid w:val="00E85715"/>
    <w:rsid w:val="00ED733B"/>
    <w:rsid w:val="00F23A4D"/>
    <w:rsid w:val="62A20F4A"/>
    <w:rsid w:val="7D774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link w:val="7"/>
    <w:qFormat/>
    <w:uiPriority w:val="1"/>
    <w:pPr>
      <w:outlineLvl w:val="0"/>
    </w:pPr>
    <w:rPr>
      <w:rFonts w:ascii="宋体" w:hAnsi="宋体" w:eastAsia="宋体"/>
      <w:sz w:val="33"/>
      <w:szCs w:val="33"/>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字符"/>
    <w:basedOn w:val="6"/>
    <w:link w:val="2"/>
    <w:qFormat/>
    <w:uiPriority w:val="1"/>
    <w:rPr>
      <w:rFonts w:ascii="宋体" w:hAnsi="宋体" w:eastAsia="宋体"/>
      <w:kern w:val="0"/>
      <w:sz w:val="33"/>
      <w:szCs w:val="33"/>
      <w:lang w:eastAsia="en-US"/>
    </w:rPr>
  </w:style>
  <w:style w:type="character" w:customStyle="1" w:styleId="8">
    <w:name w:val="页眉 字符"/>
    <w:basedOn w:val="6"/>
    <w:link w:val="4"/>
    <w:qFormat/>
    <w:uiPriority w:val="99"/>
    <w:rPr>
      <w:kern w:val="0"/>
      <w:sz w:val="18"/>
      <w:szCs w:val="18"/>
      <w:lang w:eastAsia="en-US"/>
    </w:rPr>
  </w:style>
  <w:style w:type="character" w:customStyle="1" w:styleId="9">
    <w:name w:val="页脚 字符"/>
    <w:basedOn w:val="6"/>
    <w:link w:val="3"/>
    <w:qFormat/>
    <w:uiPriority w:val="99"/>
    <w:rPr>
      <w:kern w:val="0"/>
      <w:sz w:val="18"/>
      <w:szCs w:val="18"/>
      <w:lang w:eastAsia="en-US"/>
    </w:rPr>
  </w:style>
  <w:style w:type="character" w:customStyle="1" w:styleId="10">
    <w:name w:val="Body text|1_"/>
    <w:basedOn w:val="6"/>
    <w:link w:val="11"/>
    <w:uiPriority w:val="0"/>
    <w:rPr>
      <w:rFonts w:ascii="宋体" w:hAnsi="宋体" w:eastAsia="宋体" w:cs="宋体"/>
      <w:sz w:val="28"/>
      <w:szCs w:val="28"/>
      <w:lang w:val="zh-TW" w:eastAsia="zh-TW" w:bidi="zh-TW"/>
    </w:rPr>
  </w:style>
  <w:style w:type="paragraph" w:customStyle="1" w:styleId="11">
    <w:name w:val="Body text|1"/>
    <w:basedOn w:val="1"/>
    <w:link w:val="10"/>
    <w:uiPriority w:val="0"/>
    <w:pPr>
      <w:spacing w:after="200" w:line="468" w:lineRule="auto"/>
      <w:ind w:firstLine="400"/>
    </w:pPr>
    <w:rPr>
      <w:rFonts w:ascii="宋体" w:hAnsi="宋体" w:eastAsia="宋体" w:cs="宋体"/>
      <w:sz w:val="28"/>
      <w:szCs w:val="28"/>
      <w:lang w:val="zh-TW" w:eastAsia="zh-TW" w:bidi="zh-TW"/>
    </w:rPr>
  </w:style>
  <w:style w:type="character" w:customStyle="1" w:styleId="12">
    <w:name w:val="Header or footer|1_"/>
    <w:basedOn w:val="6"/>
    <w:link w:val="13"/>
    <w:uiPriority w:val="0"/>
    <w:rPr>
      <w:sz w:val="17"/>
      <w:szCs w:val="17"/>
      <w:lang w:val="zh-TW" w:eastAsia="zh-TW" w:bidi="zh-TW"/>
    </w:rPr>
  </w:style>
  <w:style w:type="paragraph" w:customStyle="1" w:styleId="13">
    <w:name w:val="Header or footer|1"/>
    <w:basedOn w:val="1"/>
    <w:link w:val="12"/>
    <w:uiPriority w:val="0"/>
    <w:rPr>
      <w:sz w:val="17"/>
      <w:szCs w:val="17"/>
      <w:lang w:val="zh-TW" w:eastAsia="zh-TW" w:bidi="zh-TW"/>
    </w:rPr>
  </w:style>
  <w:style w:type="character" w:customStyle="1" w:styleId="14">
    <w:name w:val="Other|1_"/>
    <w:basedOn w:val="6"/>
    <w:link w:val="15"/>
    <w:uiPriority w:val="0"/>
    <w:rPr>
      <w:rFonts w:ascii="宋体" w:hAnsi="宋体" w:eastAsia="宋体" w:cs="宋体"/>
      <w:sz w:val="34"/>
      <w:szCs w:val="34"/>
      <w:lang w:val="zh-TW" w:eastAsia="zh-TW" w:bidi="zh-TW"/>
    </w:rPr>
  </w:style>
  <w:style w:type="paragraph" w:customStyle="1" w:styleId="15">
    <w:name w:val="Other|1"/>
    <w:basedOn w:val="1"/>
    <w:link w:val="14"/>
    <w:qFormat/>
    <w:uiPriority w:val="0"/>
    <w:rPr>
      <w:rFonts w:ascii="宋体" w:hAnsi="宋体" w:eastAsia="宋体" w:cs="宋体"/>
      <w:sz w:val="34"/>
      <w:szCs w:val="34"/>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6179</Words>
  <Characters>6409</Characters>
  <Lines>47</Lines>
  <Paragraphs>13</Paragraphs>
  <TotalTime>14</TotalTime>
  <ScaleCrop>false</ScaleCrop>
  <LinksUpToDate>false</LinksUpToDate>
  <CharactersWithSpaces>6440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2022-05-25T02:12:00Z</dcterms:created>
  <dc:creator>于喆</dc:creator>
  <cp:lastModifiedBy>夏富林</cp:lastModifiedBy>
  <cp:lastPrinted>2020-08-06T16:24:00Z</cp:lastPrinted>
  <dcterms:modified xsi:type="dcterms:W3CDTF">2022-06-06T02:18:51Z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C0FAF61E32F94BA58DC5E0AA20C5200C</vt:lpwstr>
  </property>
</Properties>
</file>