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津南区建设全国健康区工作方案的通知</w:t>
      </w:r>
      <w:bookmarkEnd w:id="0"/>
    </w:p>
    <w:bookmarkEnd w:id="2"/>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《津南区建设全国健康区工作方案》已经区人民政府同意，现印发给你们，请照此执行。</w:t>
      </w: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default" w:eastAsia="仿宋_GB2312"/>
          <w:sz w:val="32"/>
          <w:szCs w:val="32"/>
          <w:lang w:val="en" w:eastAsia="zh-CN"/>
        </w:rPr>
        <w:t>6</w:t>
      </w:r>
      <w:r>
        <w:rPr>
          <w:rFonts w:eastAsia="仿宋_GB2312"/>
          <w:sz w:val="32"/>
          <w:szCs w:val="32"/>
        </w:rPr>
        <w:t>月</w:t>
      </w:r>
      <w:r>
        <w:rPr>
          <w:rFonts w:hint="default" w:eastAsia="仿宋_GB2312"/>
          <w:sz w:val="32"/>
          <w:szCs w:val="32"/>
          <w:lang w:val="en"/>
        </w:rPr>
        <w:t>2</w:t>
      </w:r>
      <w:r>
        <w:rPr>
          <w:rFonts w:eastAsia="仿宋_GB2312"/>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津南区建设全国健康区工作方案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按照《“健康中国2030”规划纲要》和《健康中国行动（2019</w:t>
      </w:r>
      <w:r>
        <w:rPr>
          <w:rFonts w:hint="eastAsia" w:eastAsia="仿宋_GB2312"/>
          <w:sz w:val="32"/>
          <w:szCs w:val="32"/>
          <w:lang w:eastAsia="zh-CN"/>
        </w:rPr>
        <w:t>－</w:t>
      </w:r>
      <w:r>
        <w:rPr>
          <w:rFonts w:hint="eastAsia" w:eastAsia="仿宋_GB2312"/>
          <w:sz w:val="32"/>
          <w:szCs w:val="32"/>
        </w:rPr>
        <w:t>2030年）》有关要求，国家卫生健康委自2018年起在全国全面开展健康区建设工作。2022</w:t>
      </w:r>
      <w:r>
        <w:rPr>
          <w:rFonts w:hint="eastAsia" w:eastAsia="仿宋_GB2312"/>
          <w:sz w:val="32"/>
          <w:szCs w:val="32"/>
          <w:lang w:eastAsia="zh-CN"/>
        </w:rPr>
        <w:t>－</w:t>
      </w:r>
      <w:r>
        <w:rPr>
          <w:rFonts w:hint="eastAsia" w:eastAsia="仿宋_GB2312"/>
          <w:sz w:val="32"/>
          <w:szCs w:val="32"/>
        </w:rPr>
        <w:t>2023年周期内，津南区开展第八批全国健康区建设工作，在区级层面推动落实将健康融入所有政策方针，倡导健康优先、健康教育先行理念，探索建立健康区工作模式和长效机制，建设健康支持性环境，营造健康氛围，提高居民健康素养和健康水平，助推健康天津、健康中国建设。为圆满完成全国健康区项目建设任务，结合我区实际，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全面贯彻党的二十大精神和习近平新时代中国特色社会主义思想，深入贯彻《国务院关于进一步加强新时期爱国卫生工作的意见》《“健康中国2030”规划纲要》《健康中国行动（2019</w:t>
      </w:r>
      <w:r>
        <w:rPr>
          <w:rFonts w:hint="eastAsia" w:eastAsia="仿宋_GB2312"/>
          <w:sz w:val="32"/>
          <w:szCs w:val="32"/>
          <w:lang w:eastAsia="zh-CN"/>
        </w:rPr>
        <w:t>－</w:t>
      </w:r>
      <w:r>
        <w:rPr>
          <w:rFonts w:hint="eastAsia" w:eastAsia="仿宋_GB2312"/>
          <w:sz w:val="32"/>
          <w:szCs w:val="32"/>
        </w:rPr>
        <w:t>2030年）》，牢固树立和落实新发展理念，以国家卫生区工作为基础，将健康区建设工作与巩固国家卫生区工作有机结合起来，将健康区建设工作与乡村振兴战略规划有机结合起来，以满足全区人民健康需求为核心，引导居民形成良好的卫生习惯和生活方式，树立“人人为健康，健康为人人”的健康观念，提高人民群众的健康素养和健康水平，增强津南区综合竞争能力，促进经济和社会全面发展，加快建设富强、民主、文明、和谐、美丽新津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二、总体目标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（一）工作指标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1．建立政府主导、把健康融入所有政策的工作机制。出台促进健康的公共政策，多部门联合开展健康行动。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2．建立和完善健康教育与健康促进工作体系，加强健康教育与健康促进队伍建设，提高专业人员技术水平和服务能力。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（二）主要指标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1．健康（促进）社区/村、健康家庭、健康促进医院、健康（促进）学校、健康（促进）机关、健康（促进）企业的比例分别不低于20%、20%、40%、50%、50%、20%。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2．居民健康素养水平在2022年初基础上提高20%，或高于当年全市平均水平。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3．成人吸烟率在2022年初基础上降低20%，或低于当年全市平均水平。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三、实施范围及分工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按照全面规划、分类指导、因地制宜、逐步推广的原则推进第八批全国健康区创建工作，大力实施“将健康融入所有政策”策略，加强资源整合力度，创新工作机制，探索开展健康影响评价，建立健康促进可持续性发展的工作机制。分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区政府负责落实各项创建措施，</w:t>
      </w:r>
      <w:r>
        <w:rPr>
          <w:rFonts w:hint="eastAsia" w:eastAsia="仿宋_GB2312"/>
          <w:sz w:val="32"/>
          <w:szCs w:val="32"/>
          <w:lang w:eastAsia="zh-CN"/>
        </w:rPr>
        <w:t>建立</w:t>
      </w:r>
      <w:r>
        <w:rPr>
          <w:rFonts w:hint="eastAsia" w:eastAsia="仿宋_GB2312"/>
          <w:sz w:val="32"/>
          <w:szCs w:val="32"/>
        </w:rPr>
        <w:t>领导协调机制</w:t>
      </w:r>
      <w:r>
        <w:rPr>
          <w:rFonts w:hint="eastAsia" w:eastAsia="仿宋_GB2312"/>
          <w:sz w:val="32"/>
          <w:szCs w:val="32"/>
          <w:lang w:eastAsia="zh-CN"/>
        </w:rPr>
        <w:t>，</w:t>
      </w:r>
      <w:r>
        <w:rPr>
          <w:rFonts w:hint="eastAsia" w:eastAsia="仿宋_GB2312"/>
          <w:sz w:val="32"/>
          <w:szCs w:val="32"/>
        </w:rPr>
        <w:t>成立办公室，明确职责分工，落实项目实施主体，建立工作网络。制定本地区健康区建设方案，明确优先领域，组织开展各项综合干预活动。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区卫生健康部门和健康教育专业机构在市级指导下，在区政府领导下，具体组织实施创建工作，及时提交相关资料，接受国家和市级的监督指导和考核评估。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四、工作内容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（一）建立健康促进工作机制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1．区政府公开承诺开展健康区创建，将健康区建设纳入政府重点工作。建立区政府主要负责人牵头、多部门参与的健康促进领导协调机制，部门职责明确。定期召开协调会议，通报工作进展。</w:t>
      </w:r>
      <w:r>
        <w:rPr>
          <w:rFonts w:hint="eastAsia" w:eastAsia="仿宋_GB2312"/>
          <w:color w:val="auto"/>
          <w:sz w:val="32"/>
          <w:szCs w:val="32"/>
        </w:rPr>
        <w:t>将健康区工作纳入当地政府预算给予支持，并根据经济发展和财政增长情况逐年增加。（责任单位：</w:t>
      </w:r>
      <w:r>
        <w:rPr>
          <w:rFonts w:hint="eastAsia" w:eastAsia="仿宋_GB2312"/>
          <w:color w:val="000000"/>
          <w:sz w:val="32"/>
          <w:szCs w:val="32"/>
        </w:rPr>
        <w:t>区政府办公室</w:t>
      </w:r>
      <w:r>
        <w:rPr>
          <w:rFonts w:hint="eastAsia" w:eastAsia="仿宋_GB2312"/>
          <w:color w:val="000000"/>
          <w:sz w:val="32"/>
          <w:szCs w:val="32"/>
          <w:lang w:eastAsia="zh-CN"/>
        </w:rPr>
        <w:t>、区财政局</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2．建立覆盖政府有关组成部门、街镇、学校、机关、企业的健康促进工作网络，每单位专（兼）职人员承担健康促进与健康教育工作。建立以健康教育专业机构为核心、覆盖辖区内所有医院、公共卫生机构、基层医疗卫生机构的健康促进专业网络，每单位有专职人员承担健康促进与健康教育工作。通过系统培训，提高有关部门、专业机构对健康区的认识和工作能力。</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3．制定工作方案。开展基线调查和需求评估，了解项目区人口、资源、环境、经济和社会发展基本情况，人群健康素养、健康状况、疾病负担和健康需求，健康促进资源和意愿等基本情况，分析主要健康问题，确定重点人群和优先干预的健康问题。结合健康区评价标准，研究制定适合当地经济社会发展和卫生健康工作能力的健康促进策略和措施，制定具体的工作计划，明确责任部门和完成时限。</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u w:val="single"/>
          <w:lang w:val="en"/>
        </w:rPr>
      </w:pPr>
      <w:r>
        <w:rPr>
          <w:rFonts w:hint="eastAsia" w:eastAsia="仿宋_GB2312"/>
          <w:sz w:val="32"/>
          <w:szCs w:val="32"/>
        </w:rPr>
        <w:t>4．开展培训。采取多种形式，提高政府、有关部门、专业机构对健康区的认识，提高健康促进工作能力。针对政府、部门和健康促进网络人员，通过工作会议、专题讲座、研讨会等形式，提高对健康区理念、健康融入所有政策方针的认识，提高其发挥部门优势促进居民健康的能力。针对卫生健康部门和健康促进与教育专业人员，采取逐级培训、案例分析、模拟演练等方式，提高各级健康促进主管部门和专业机构对健康区理念、方法和建设内容的理解，掌握健康教育理论和方法，熟悉健康素养、优生优育等基本内容，掌握健康教育计划制定和实施、健康传播材料设计制作、健康讲座和健康咨询、社区诊断和现场调查等基本专业技能。</w:t>
      </w:r>
      <w:r>
        <w:rPr>
          <w:rFonts w:hint="default" w:eastAsia="仿宋_GB2312"/>
          <w:sz w:val="32"/>
          <w:szCs w:val="32"/>
          <w:lang w:val="en"/>
        </w:rPr>
        <w:t>（</w:t>
      </w:r>
      <w:r>
        <w:rPr>
          <w:rFonts w:hint="eastAsia" w:eastAsia="仿宋_GB2312"/>
          <w:sz w:val="32"/>
          <w:szCs w:val="32"/>
        </w:rPr>
        <w:t>责任单位：</w:t>
      </w:r>
      <w:r>
        <w:rPr>
          <w:rFonts w:hint="eastAsia" w:eastAsia="仿宋_GB2312"/>
          <w:color w:val="auto"/>
          <w:sz w:val="32"/>
          <w:szCs w:val="32"/>
          <w:u w:val="none"/>
        </w:rPr>
        <w:t>健康区</w:t>
      </w:r>
      <w:r>
        <w:rPr>
          <w:rFonts w:hint="eastAsia" w:eastAsia="仿宋_GB2312"/>
          <w:color w:val="auto"/>
          <w:sz w:val="32"/>
          <w:szCs w:val="32"/>
          <w:u w:val="none"/>
          <w:lang w:val="en-US" w:eastAsia="zh-CN"/>
        </w:rPr>
        <w:t>工作</w:t>
      </w:r>
      <w:r>
        <w:rPr>
          <w:rFonts w:hint="eastAsia" w:eastAsia="仿宋_GB2312"/>
          <w:color w:val="auto"/>
          <w:sz w:val="32"/>
          <w:szCs w:val="32"/>
          <w:u w:val="none"/>
        </w:rPr>
        <w:t>办公室</w:t>
      </w:r>
      <w:r>
        <w:rPr>
          <w:rFonts w:hint="default" w:eastAsia="仿宋_GB2312"/>
          <w:color w:val="auto"/>
          <w:sz w:val="32"/>
          <w:szCs w:val="32"/>
          <w:u w:val="none"/>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u w:val="single"/>
          <w:lang w:val="en"/>
        </w:rPr>
      </w:pPr>
      <w:r>
        <w:rPr>
          <w:rFonts w:hint="eastAsia" w:eastAsia="仿宋_GB2312"/>
          <w:sz w:val="32"/>
          <w:szCs w:val="32"/>
        </w:rPr>
        <w:t>5．建立督导检查、考核评估的工作机制，定期了解各项工作进展，听取政府各部门和居民的工作建议。定期监测项目组织实施情况，开展项目技术评估。</w:t>
      </w:r>
      <w:r>
        <w:rPr>
          <w:rFonts w:hint="default" w:eastAsia="仿宋_GB2312"/>
          <w:sz w:val="32"/>
          <w:szCs w:val="32"/>
          <w:lang w:val="en"/>
        </w:rPr>
        <w:t>（</w:t>
      </w:r>
      <w:r>
        <w:rPr>
          <w:rFonts w:hint="eastAsia" w:eastAsia="仿宋_GB2312"/>
          <w:sz w:val="32"/>
          <w:szCs w:val="32"/>
        </w:rPr>
        <w:t>责任单位：健康区工作</w:t>
      </w:r>
      <w:r>
        <w:rPr>
          <w:rFonts w:hint="eastAsia" w:eastAsia="仿宋_GB2312"/>
          <w:sz w:val="32"/>
          <w:szCs w:val="32"/>
          <w:lang w:val="en-US" w:eastAsia="zh-CN"/>
        </w:rPr>
        <w:t>办公室</w:t>
      </w:r>
      <w:r>
        <w:rPr>
          <w:rFonts w:hint="default" w:eastAsia="仿宋_GB2312"/>
          <w:sz w:val="32"/>
          <w:szCs w:val="32"/>
          <w:u w:val="none"/>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（二）制定健康政策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落实将“健康融入所有政策”方针。卫生健康部门主动向各级党政领导和部门负责人宣讲“健康融入所有政策”的概念和意义。建立公共政策健康影响评价制度，成立健康专家委员会，在新政策</w:t>
      </w:r>
      <w:r>
        <w:rPr>
          <w:rFonts w:hint="eastAsia" w:eastAsia="仿宋_GB2312"/>
          <w:sz w:val="32"/>
          <w:szCs w:val="32"/>
          <w:lang w:eastAsia="zh-CN"/>
        </w:rPr>
        <w:t>制定</w:t>
      </w:r>
      <w:r>
        <w:rPr>
          <w:rFonts w:hint="eastAsia" w:eastAsia="仿宋_GB2312"/>
          <w:sz w:val="32"/>
          <w:szCs w:val="32"/>
        </w:rPr>
        <w:t>时增加健康影响评价程序，在提出、起草、修订、发布等政策制定环节中，征求健康专家委员会的意见。制定促进健康的公共政策。相关部门和街镇梳理本部门与健康相关的公共政策，补充、修订或新制定促进健康的公共政策。（责任单位：区</w:t>
      </w:r>
      <w:r>
        <w:rPr>
          <w:rFonts w:hint="eastAsia" w:eastAsia="仿宋_GB2312"/>
          <w:sz w:val="32"/>
          <w:szCs w:val="32"/>
          <w:lang w:eastAsia="zh-CN"/>
        </w:rPr>
        <w:t>卫生健康</w:t>
      </w:r>
      <w:r>
        <w:rPr>
          <w:rFonts w:hint="eastAsia" w:eastAsia="仿宋_GB2312"/>
          <w:sz w:val="32"/>
          <w:szCs w:val="32"/>
        </w:rPr>
        <w:t>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要充分整合健康素养促进行动、健康天津行动、健康中国行、全民健康生活方式行动、国家卫生区巩固、健康津南建设、慢病示范区创建工作，充分发挥项目对我区健康教育与健康促进工作的带动和推动作用，推进健康区工作。（责任单位：区</w:t>
      </w:r>
      <w:r>
        <w:rPr>
          <w:rFonts w:hint="eastAsia" w:eastAsia="仿宋_GB2312"/>
          <w:sz w:val="32"/>
          <w:szCs w:val="32"/>
          <w:lang w:eastAsia="zh-CN"/>
        </w:rPr>
        <w:t>卫生健康</w:t>
      </w:r>
      <w:r>
        <w:rPr>
          <w:rFonts w:hint="eastAsia" w:eastAsia="仿宋_GB2312"/>
          <w:sz w:val="32"/>
          <w:szCs w:val="32"/>
        </w:rPr>
        <w:t>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对津南区需要应对的健康问题优先评估，开展针对慢性病防控、传染病防控、健康生活方式、妇幼健康、健康老龄、环境与健康等重点健康问题的跨部门健康行动。多形式全方位开展培训，提高各级健康促进主管部门和专业机构对健康区理念、方法和建设内容的理解，提高建设能力。在多部门协作、资源统筹、社会动员、健康管理、健康产业等方面取得创新。（责任单位：区</w:t>
      </w:r>
      <w:r>
        <w:rPr>
          <w:rFonts w:hint="eastAsia" w:eastAsia="仿宋_GB2312"/>
          <w:sz w:val="32"/>
          <w:szCs w:val="32"/>
          <w:lang w:eastAsia="zh-CN"/>
        </w:rPr>
        <w:t>卫生健康</w:t>
      </w:r>
      <w:r>
        <w:rPr>
          <w:rFonts w:hint="eastAsia" w:eastAsia="仿宋_GB2312"/>
          <w:sz w:val="32"/>
          <w:szCs w:val="32"/>
        </w:rPr>
        <w:t>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（三）建设健康促进场所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1．建立健康促进场所建设工作机制，在全区范围内全面开展健康（促进）社区/村、健康家庭、健康促进医院、健康（促进）学校、健康（促进）机关和健康（促进）企业建设。充分发挥其示范和辐射作用，提高场所内人群的健康素养水平（相关标准见附件）。</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2．在全区范围内，建设20%</w:t>
      </w:r>
      <w:r>
        <w:rPr>
          <w:rFonts w:hint="eastAsia" w:eastAsia="仿宋_GB2312"/>
          <w:sz w:val="32"/>
          <w:szCs w:val="32"/>
          <w:lang w:eastAsia="zh-CN"/>
        </w:rPr>
        <w:t>的</w:t>
      </w:r>
      <w:r>
        <w:rPr>
          <w:rFonts w:hint="eastAsia" w:eastAsia="仿宋_GB2312"/>
          <w:sz w:val="32"/>
          <w:szCs w:val="32"/>
        </w:rPr>
        <w:t>健康（促进）社区/村，建设20%</w:t>
      </w:r>
      <w:r>
        <w:rPr>
          <w:rFonts w:hint="eastAsia" w:eastAsia="仿宋_GB2312"/>
          <w:sz w:val="32"/>
          <w:szCs w:val="32"/>
          <w:lang w:eastAsia="zh-CN"/>
        </w:rPr>
        <w:t>的</w:t>
      </w:r>
      <w:r>
        <w:rPr>
          <w:rFonts w:hint="eastAsia" w:eastAsia="仿宋_GB2312"/>
          <w:sz w:val="32"/>
          <w:szCs w:val="32"/>
        </w:rPr>
        <w:t>健康家庭，评选出100个示范健康家庭。建设40%的健康促进医院（包括综合医院、专科医院、基层医疗卫生机构、计划生育技术服务机构等），建设50%</w:t>
      </w:r>
      <w:r>
        <w:rPr>
          <w:rFonts w:hint="eastAsia" w:eastAsia="仿宋_GB2312"/>
          <w:sz w:val="32"/>
          <w:szCs w:val="32"/>
          <w:lang w:eastAsia="zh-CN"/>
        </w:rPr>
        <w:t>的</w:t>
      </w:r>
      <w:r>
        <w:rPr>
          <w:rFonts w:hint="eastAsia" w:eastAsia="仿宋_GB2312"/>
          <w:sz w:val="32"/>
          <w:szCs w:val="32"/>
        </w:rPr>
        <w:t>健康（促进）学校（包括高中、初中、小学）、50%的健康（促进）机关（包括机关和事业单位）、20%的健康（促进）企业，提高场所内居民和职工的健康素养，发挥健康促进场所的示范和辐射作用（相关标准见附件）。</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3．建设促进健康的公共环境。建设健康步道、健康主题公园等公共设施，建设无烟环境，所有室内公共场所、工作场所和公共交通工具全面禁止吸烟，营造促进健康的公共环境。无烟环境是健康促进医院、学校、机关和企业建设的必要前提条件。</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（四）建设健康文化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highlight w:val="yellow"/>
          <w:lang w:val="en"/>
        </w:rPr>
      </w:pPr>
      <w:r>
        <w:rPr>
          <w:rFonts w:hint="eastAsia" w:eastAsia="仿宋_GB2312"/>
          <w:sz w:val="32"/>
          <w:szCs w:val="32"/>
        </w:rPr>
        <w:t>1．加强媒体合作。在广播、电台和报纸开设健康教育类专题节目或栏目并加强管理，定期组织媒体培训会或媒体交流会，充分利用电视、报纸、广播等媒体平台，积极宣传健康区理念、建设工作以及活动成效，营造良好的舆论氛围，提高社会影响力。设立健康类微博、微信等新媒体平台，开展健康科普。</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2．开展卫生日主题活动，在世界卫生日、无烟日、高血压日、糖尿病日、结核病日、艾滋病日等卫生日时段内，多部门联合、深入城乡开展健康主题活动，普及健康知识，提高群众参与程度，增强宣传教育效果。</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highlight w:val="yellow"/>
          <w:lang w:val="en"/>
        </w:rPr>
      </w:pPr>
      <w:r>
        <w:rPr>
          <w:rFonts w:hint="eastAsia" w:eastAsia="仿宋_GB2312"/>
          <w:sz w:val="32"/>
          <w:szCs w:val="32"/>
        </w:rPr>
        <w:t>3．开展“健康中国行”主题宣传活动。与全国行动一致，围绕“健康中国行”年度主题，联合相关部门同步启动当地健康中国行活动。发挥健康教育专业机构优势，有效利用传统媒体和新媒体，让主题宣传教育活动深入人心，形成规模效应和品牌效应。</w:t>
      </w:r>
      <w:r>
        <w:rPr>
          <w:rFonts w:hint="default" w:eastAsia="仿宋_GB2312"/>
          <w:sz w:val="32"/>
          <w:szCs w:val="32"/>
          <w:lang w:val="en"/>
        </w:rPr>
        <w:t>（</w:t>
      </w:r>
      <w:r>
        <w:rPr>
          <w:rFonts w:hint="eastAsia" w:eastAsia="仿宋_GB2312"/>
          <w:sz w:val="32"/>
          <w:szCs w:val="32"/>
        </w:rPr>
        <w:t>牵头单位：区</w:t>
      </w:r>
      <w:r>
        <w:rPr>
          <w:rFonts w:hint="eastAsia" w:eastAsia="仿宋_GB2312"/>
          <w:sz w:val="32"/>
          <w:szCs w:val="32"/>
          <w:lang w:eastAsia="zh-CN"/>
        </w:rPr>
        <w:t>卫生健康</w:t>
      </w:r>
      <w:r>
        <w:rPr>
          <w:rFonts w:hint="eastAsia" w:eastAsia="仿宋_GB2312"/>
          <w:sz w:val="32"/>
          <w:szCs w:val="32"/>
        </w:rPr>
        <w:t>委；配合单位</w:t>
      </w:r>
      <w:r>
        <w:rPr>
          <w:rFonts w:hint="eastAsia" w:eastAsia="仿宋_GB2312"/>
          <w:sz w:val="32"/>
          <w:szCs w:val="32"/>
          <w:lang w:eastAsia="zh-CN"/>
        </w:rPr>
        <w:t>：</w:t>
      </w:r>
      <w:r>
        <w:rPr>
          <w:rFonts w:hint="eastAsia" w:eastAsia="仿宋_GB2312"/>
          <w:sz w:val="32"/>
          <w:szCs w:val="32"/>
        </w:rPr>
        <w:t>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4．以国家基本公共卫生服务健康教育项目、健康素养促进行动、健康天津行动、国民营养计划等为重要抓手，充分整合卫生健康系统健康促进与教育资源，利用好健康中国行、全民健康生活方式等平台，加强健康传播，普及健康素养基本知识和技能，促进健康生活方式形成。</w:t>
      </w:r>
      <w:r>
        <w:rPr>
          <w:rFonts w:hint="default" w:eastAsia="仿宋_GB2312"/>
          <w:sz w:val="32"/>
          <w:szCs w:val="32"/>
          <w:lang w:val="en"/>
        </w:rPr>
        <w:t>（</w:t>
      </w:r>
      <w:r>
        <w:rPr>
          <w:rFonts w:hint="eastAsia" w:eastAsia="仿宋_GB2312"/>
          <w:sz w:val="32"/>
          <w:szCs w:val="32"/>
        </w:rPr>
        <w:t>责任单位</w:t>
      </w:r>
      <w:r>
        <w:rPr>
          <w:rFonts w:hint="eastAsia" w:eastAsia="仿宋_GB2312"/>
          <w:sz w:val="32"/>
          <w:szCs w:val="32"/>
          <w:lang w:eastAsia="zh-CN"/>
        </w:rPr>
        <w:t>：</w:t>
      </w:r>
      <w:r>
        <w:rPr>
          <w:rFonts w:hint="eastAsia" w:eastAsia="仿宋_GB2312"/>
          <w:sz w:val="32"/>
          <w:szCs w:val="32"/>
        </w:rPr>
        <w:t>区</w:t>
      </w:r>
      <w:r>
        <w:rPr>
          <w:rFonts w:hint="eastAsia" w:eastAsia="仿宋_GB2312"/>
          <w:sz w:val="32"/>
          <w:szCs w:val="32"/>
          <w:lang w:eastAsia="zh-CN"/>
        </w:rPr>
        <w:t>卫生健康</w:t>
      </w:r>
      <w:r>
        <w:rPr>
          <w:rFonts w:hint="eastAsia" w:eastAsia="仿宋_GB2312"/>
          <w:sz w:val="32"/>
          <w:szCs w:val="32"/>
        </w:rPr>
        <w:t>委</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（五）建设健康环境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城乡布局合理，推进污水处理、垃圾无害化处理、公共厕所建设，建设整洁卫生的生活环境，空气、饮用水、食品安全、环境卫生等影响因素有所改善或达到一定水平，保障居民在教育、住房、就业、安全等方面的基本需求，不断提高人民群众生活水平。建立公平可持续的社会保障制度，积极应对老龄化。健全社会救助体系。建设整洁有序、健康宜居的工作、生活和社会环境。建设无烟环境，所有室内公共场所、工作场所和公共交通工具全面禁烟。</w:t>
      </w:r>
      <w:r>
        <w:rPr>
          <w:rFonts w:hint="default" w:eastAsia="仿宋_GB2312"/>
          <w:sz w:val="32"/>
          <w:szCs w:val="32"/>
          <w:lang w:val="en"/>
        </w:rPr>
        <w:t>（</w:t>
      </w:r>
      <w:r>
        <w:rPr>
          <w:rFonts w:hint="eastAsia" w:eastAsia="仿宋_GB2312"/>
          <w:sz w:val="32"/>
          <w:szCs w:val="32"/>
        </w:rPr>
        <w:t>责任单位：区民政局、区</w:t>
      </w:r>
      <w:r>
        <w:rPr>
          <w:rFonts w:hint="eastAsia" w:eastAsia="仿宋_GB2312"/>
          <w:sz w:val="32"/>
          <w:szCs w:val="32"/>
          <w:lang w:eastAsia="zh-CN"/>
        </w:rPr>
        <w:t>城市管理</w:t>
      </w:r>
      <w:r>
        <w:rPr>
          <w:rFonts w:hint="eastAsia" w:eastAsia="仿宋_GB2312"/>
          <w:sz w:val="32"/>
          <w:szCs w:val="32"/>
        </w:rPr>
        <w:t>委、区生态环境局、区水务局、区</w:t>
      </w:r>
      <w:r>
        <w:rPr>
          <w:rFonts w:hint="eastAsia" w:eastAsia="仿宋_GB2312"/>
          <w:sz w:val="32"/>
          <w:szCs w:val="32"/>
          <w:lang w:eastAsia="zh-CN"/>
        </w:rPr>
        <w:t>卫生健康</w:t>
      </w:r>
      <w:r>
        <w:rPr>
          <w:rFonts w:hint="eastAsia" w:eastAsia="仿宋_GB2312"/>
          <w:sz w:val="32"/>
          <w:szCs w:val="32"/>
        </w:rPr>
        <w:t>委、区市场监管局</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（六）培育健康人群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仿宋_GB2312"/>
          <w:sz w:val="32"/>
          <w:szCs w:val="32"/>
        </w:rPr>
        <w:t>根据津南区居民健康素养水平和薄弱环节，制定健康素养促进工作规划或计划，开展有针对性的综合干预，提高居民健康素养水平，提高重点人群、重点问题的健康素养。定期开展居民健康素养调查。</w:t>
      </w:r>
      <w:r>
        <w:rPr>
          <w:rFonts w:hint="default" w:eastAsia="仿宋_GB2312"/>
          <w:sz w:val="32"/>
          <w:szCs w:val="32"/>
          <w:lang w:val="en"/>
        </w:rPr>
        <w:t>（</w:t>
      </w:r>
      <w:r>
        <w:rPr>
          <w:rFonts w:hint="eastAsia" w:eastAsia="仿宋_GB2312"/>
          <w:sz w:val="32"/>
          <w:szCs w:val="32"/>
        </w:rPr>
        <w:t>责任单位：区</w:t>
      </w:r>
      <w:r>
        <w:rPr>
          <w:rFonts w:hint="eastAsia" w:eastAsia="仿宋_GB2312"/>
          <w:sz w:val="32"/>
          <w:szCs w:val="32"/>
          <w:lang w:eastAsia="zh-CN"/>
        </w:rPr>
        <w:t>卫生健康</w:t>
      </w:r>
      <w:r>
        <w:rPr>
          <w:rFonts w:hint="eastAsia" w:eastAsia="仿宋_GB2312"/>
          <w:sz w:val="32"/>
          <w:szCs w:val="32"/>
        </w:rPr>
        <w:t>委</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lang w:eastAsia="zh-CN"/>
        </w:rPr>
        <w:t>五</w:t>
      </w:r>
      <w:r>
        <w:rPr>
          <w:rFonts w:hint="eastAsia" w:hAnsi="黑体" w:eastAsia="黑体"/>
          <w:sz w:val="32"/>
          <w:szCs w:val="32"/>
        </w:rPr>
        <w:t>、时间进度安排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2023年1月</w:t>
      </w:r>
      <w:r>
        <w:rPr>
          <w:rFonts w:hint="eastAsia" w:eastAsia="仿宋_GB2312"/>
          <w:sz w:val="32"/>
          <w:szCs w:val="32"/>
          <w:lang w:eastAsia="zh-CN"/>
        </w:rPr>
        <w:t>－</w:t>
      </w:r>
      <w:r>
        <w:rPr>
          <w:rFonts w:hint="eastAsia" w:eastAsia="仿宋_GB2312"/>
          <w:sz w:val="32"/>
          <w:szCs w:val="32"/>
        </w:rPr>
        <w:t>9月，项目区召开启动会，制定方案，开展基线调查，确定重点人群和优先干预的健康问题。开展专业培训，启动健康促进场所创建。开展将“健康融入所有政策”宣讲会，制定相关促进健康的政策，开展跨部门行动。与媒体合作，开设健康教育栏目，广泛宣传健康素养知识和技能。按照健康区建设方案，有计划推进各项建设任务，保存过程记录。对各健康促进场所开展督导，指导优秀案例撰写，总结亮点工作，完成评估准备工作。2023年10月，市卫生健康委根据全国健康区试点工作评估方案对项目区进行市级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预计2023年11月</w:t>
      </w:r>
      <w:r>
        <w:rPr>
          <w:rFonts w:hint="eastAsia" w:eastAsia="仿宋_GB2312"/>
          <w:sz w:val="32"/>
          <w:szCs w:val="32"/>
          <w:lang w:eastAsia="zh-CN"/>
        </w:rPr>
        <w:t>－</w:t>
      </w:r>
      <w:r>
        <w:rPr>
          <w:rFonts w:hint="eastAsia" w:eastAsia="仿宋_GB2312"/>
          <w:sz w:val="32"/>
          <w:szCs w:val="32"/>
        </w:rPr>
        <w:t>12月（时间待国家通知），国家卫生健康委宣传司组织专家对项目区进行国家级评估。</w:t>
      </w:r>
    </w:p>
    <w:p>
      <w:pPr>
        <w:pStyle w:val="2"/>
        <w:rPr>
          <w:rFonts w:hint="default"/>
          <w:lang w:val="e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lang w:eastAsia="zh-CN"/>
        </w:rPr>
        <w:t>六</w:t>
      </w:r>
      <w:r>
        <w:rPr>
          <w:rFonts w:hint="eastAsia" w:hAnsi="黑体" w:eastAsia="黑体"/>
          <w:sz w:val="32"/>
          <w:szCs w:val="32"/>
        </w:rPr>
        <w:t>、保障措施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楷体_GB2312"/>
          <w:sz w:val="32"/>
          <w:szCs w:val="32"/>
        </w:rPr>
        <w:t>（一）加强组织领导。</w:t>
      </w:r>
      <w:r>
        <w:rPr>
          <w:rFonts w:hint="eastAsia" w:eastAsia="仿宋_GB2312"/>
          <w:sz w:val="32"/>
          <w:szCs w:val="32"/>
        </w:rPr>
        <w:t>领导小组办公室负责落实各项措施，明确职责分工，落实项目实施主体，建立工作网络。各相关部门要按照职责分工，推动“健康融入所有政策”，研究具体落实措施，推动完成各项重点任务。制定我区健康区建设方案，明确优先领域，组织开展各项综合干预活动。各部门、各街镇要根据各自职责分工，确保全面完成各自创建任务。</w:t>
      </w:r>
      <w:r>
        <w:rPr>
          <w:rFonts w:hint="default" w:eastAsia="仿宋_GB2312"/>
          <w:sz w:val="32"/>
          <w:szCs w:val="32"/>
          <w:lang w:val="en"/>
        </w:rPr>
        <w:t>（</w:t>
      </w:r>
      <w:r>
        <w:rPr>
          <w:rFonts w:hint="eastAsia" w:eastAsia="仿宋_GB2312"/>
          <w:sz w:val="32"/>
          <w:szCs w:val="32"/>
        </w:rPr>
        <w:t>责任单位：健康区领导小组各成员单位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楷体_GB2312"/>
          <w:sz w:val="32"/>
          <w:szCs w:val="32"/>
        </w:rPr>
        <w:t>（二）保障经费投入。</w:t>
      </w:r>
      <w:r>
        <w:rPr>
          <w:rFonts w:hint="eastAsia" w:eastAsia="仿宋_GB2312"/>
          <w:sz w:val="32"/>
          <w:szCs w:val="32"/>
        </w:rPr>
        <w:t>要加大对健康区建设工作的经费支持力度，按规定落实财政投入，加强对健康区项目资金监管，做到专款专用，强化资金统筹，优化资源配置。将全国健康区创建工作运行管理经费纳入政府预算，保障经费投入，规范管理中央项目补助资金，专款专用。</w:t>
      </w:r>
      <w:r>
        <w:rPr>
          <w:rFonts w:hint="default" w:eastAsia="仿宋_GB2312"/>
          <w:sz w:val="32"/>
          <w:szCs w:val="32"/>
          <w:lang w:val="en"/>
        </w:rPr>
        <w:t>（</w:t>
      </w:r>
      <w:r>
        <w:rPr>
          <w:rFonts w:hint="eastAsia" w:eastAsia="仿宋_GB2312"/>
          <w:sz w:val="32"/>
          <w:szCs w:val="32"/>
        </w:rPr>
        <w:t>责任单位：区财政局</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楷体_GB2312"/>
          <w:sz w:val="32"/>
          <w:szCs w:val="32"/>
        </w:rPr>
        <w:t>（三）细化目标责任。</w:t>
      </w:r>
      <w:r>
        <w:rPr>
          <w:rFonts w:hint="eastAsia" w:eastAsia="仿宋_GB2312"/>
          <w:sz w:val="32"/>
          <w:szCs w:val="32"/>
        </w:rPr>
        <w:t>严格目标考核，按照全国健康区标准要求，按年度细化分解创建工作目标，明确工作标准和完成时限，把创建目标层层落实到各街镇、有关部门，做到一级抓一级、层层有人抓、事事有人管，开展阶段性的检查验收，力争达标一项、验收一项、巩固一项、发展一项。对好的工作做法予以总结推广，对工作不力、严重影响全区创建工作的责任单位进行通报，并严肃追究相关责任人的责任。</w:t>
      </w:r>
      <w:r>
        <w:rPr>
          <w:rFonts w:hint="default" w:eastAsia="仿宋_GB2312"/>
          <w:sz w:val="32"/>
          <w:szCs w:val="32"/>
          <w:lang w:val="en"/>
        </w:rPr>
        <w:t>（</w:t>
      </w:r>
      <w:r>
        <w:rPr>
          <w:rFonts w:hint="eastAsia" w:eastAsia="仿宋_GB2312"/>
          <w:sz w:val="32"/>
          <w:szCs w:val="32"/>
        </w:rPr>
        <w:t>责任单位：</w:t>
      </w:r>
      <w:r>
        <w:rPr>
          <w:rFonts w:hint="default" w:eastAsia="仿宋_GB2312"/>
          <w:sz w:val="32"/>
          <w:szCs w:val="32"/>
          <w:lang w:val="en"/>
        </w:rPr>
        <w:t>健康区工作办公室）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
        </w:rPr>
      </w:pPr>
      <w:r>
        <w:rPr>
          <w:rFonts w:hint="eastAsia" w:eastAsia="楷体_GB2312"/>
          <w:sz w:val="32"/>
          <w:szCs w:val="32"/>
        </w:rPr>
        <w:t>（四）营造良好氛围。</w:t>
      </w:r>
      <w:r>
        <w:rPr>
          <w:rFonts w:hint="eastAsia" w:eastAsia="仿宋_GB2312"/>
          <w:sz w:val="32"/>
          <w:szCs w:val="32"/>
        </w:rPr>
        <w:t>通过多种途径，引导群众了解和掌握必备健康知识，践行健康生活方式，积极参与健康区创建，提高居民对创建工作的知晓率。在创建工作中，区新闻媒体要充分发挥职能作用，积极开展经常性的宣传报道，让广大人民群众充分理解创建工作的目的、意义和具体任务，增强责任感和紧迫感。全区每年组织1</w:t>
      </w:r>
      <w:r>
        <w:rPr>
          <w:rFonts w:hint="eastAsia" w:eastAsia="仿宋_GB2312"/>
          <w:sz w:val="32"/>
          <w:szCs w:val="32"/>
          <w:lang w:eastAsia="zh-CN"/>
        </w:rPr>
        <w:t>－</w:t>
      </w:r>
      <w:r>
        <w:rPr>
          <w:rFonts w:hint="eastAsia" w:eastAsia="仿宋_GB2312"/>
          <w:sz w:val="32"/>
          <w:szCs w:val="32"/>
        </w:rPr>
        <w:t>2次大型宣传活动，各主要公共场所、人口密集地带设立户外广告宣传牌或利用电子屏开展健康知识宣传，各街镇、</w:t>
      </w:r>
      <w:r>
        <w:rPr>
          <w:rFonts w:hint="eastAsia" w:eastAsia="仿宋_GB2312"/>
          <w:sz w:val="32"/>
          <w:szCs w:val="32"/>
          <w:lang w:eastAsia="zh-CN"/>
        </w:rPr>
        <w:t>社区/村</w:t>
      </w:r>
      <w:r>
        <w:rPr>
          <w:rFonts w:hint="eastAsia" w:eastAsia="仿宋_GB2312"/>
          <w:sz w:val="32"/>
          <w:szCs w:val="32"/>
        </w:rPr>
        <w:t>要充分发挥已有的健康教育宣传栏的主阵地作用，努力营造创建全国健康区的良好氛围。</w:t>
      </w:r>
      <w:r>
        <w:rPr>
          <w:rFonts w:hint="default" w:eastAsia="仿宋_GB2312"/>
          <w:sz w:val="32"/>
          <w:szCs w:val="32"/>
          <w:lang w:val="en"/>
        </w:rPr>
        <w:t>（</w:t>
      </w:r>
      <w:r>
        <w:rPr>
          <w:rFonts w:hint="eastAsia" w:eastAsia="仿宋_GB2312"/>
          <w:sz w:val="32"/>
          <w:szCs w:val="32"/>
        </w:rPr>
        <w:t>责任单位：健康区领导小组各成员单位</w:t>
      </w:r>
      <w:r>
        <w:rPr>
          <w:rFonts w:hint="default" w:eastAsia="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附件：1．津南区建设全国健康区工作领导小组成员名单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2．津南区建设全国健康区工作各部门职责分工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3．建设全国健康区综合任务分配表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4．健康（促进）社区/村标准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5．健康家庭评选标准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6．健康促进医院标准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7．健康（促进）学校标准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8．健康（促进）单位标准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9．健康（促进）企业标准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p>
    <w:p>
      <w:pPr>
        <w:spacing w:line="560" w:lineRule="exact"/>
        <w:ind w:firstLine="640" w:firstLineChars="200"/>
        <w:rPr>
          <w:rFonts w:hint="eastAsia" w:eastAsia="仿宋_GB2312"/>
          <w:sz w:val="32"/>
          <w:szCs w:val="32"/>
        </w:rPr>
      </w:pPr>
    </w:p>
    <w:p>
      <w:pPr>
        <w:rPr>
          <w:rFonts w:hint="eastAsia" w:eastAsia="仿宋_GB2312"/>
          <w:sz w:val="32"/>
          <w:szCs w:val="32"/>
        </w:rPr>
      </w:pPr>
      <w:r>
        <w:rPr>
          <w:rFonts w:hint="eastAsia"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黑体"/>
          <w:sz w:val="32"/>
          <w:szCs w:val="32"/>
        </w:rPr>
      </w:pPr>
      <w:r>
        <w:rPr>
          <w:rFonts w:hint="eastAsia" w:hAnsi="黑体" w:eastAsia="黑体"/>
          <w:sz w:val="32"/>
          <w:szCs w:val="32"/>
        </w:rPr>
        <w:t>附件</w:t>
      </w:r>
      <w:r>
        <w:rPr>
          <w:rFonts w:hint="eastAsia" w:eastAsia="黑体"/>
          <w:sz w:val="32"/>
          <w:szCs w:val="32"/>
        </w:rPr>
        <w:t>1</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简体"/>
          <w:sz w:val="44"/>
          <w:szCs w:val="44"/>
        </w:rPr>
      </w:pPr>
      <w:r>
        <w:rPr>
          <w:rFonts w:hint="eastAsia" w:eastAsia="方正小标宋简体"/>
          <w:sz w:val="44"/>
          <w:szCs w:val="44"/>
        </w:rPr>
        <w:t>津南区建设全国健康区工作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简体"/>
          <w:sz w:val="44"/>
          <w:szCs w:val="44"/>
        </w:rPr>
      </w:pPr>
      <w:r>
        <w:rPr>
          <w:rFonts w:hint="eastAsia" w:eastAsia="方正小标宋简体"/>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为确保建设全国健康区工作的顺利开展，成立</w:t>
      </w:r>
      <w:r>
        <w:rPr>
          <w:rFonts w:hint="eastAsia" w:eastAsia="仿宋_GB2312"/>
          <w:sz w:val="32"/>
          <w:szCs w:val="32"/>
          <w:lang w:eastAsia="zh-CN"/>
        </w:rPr>
        <w:t>津南区建设全国健康区工作</w:t>
      </w:r>
      <w:r>
        <w:rPr>
          <w:rFonts w:hint="eastAsia" w:eastAsia="仿宋_GB2312"/>
          <w:sz w:val="32"/>
          <w:szCs w:val="32"/>
        </w:rPr>
        <w:t>领导小组</w:t>
      </w:r>
      <w:r>
        <w:rPr>
          <w:rFonts w:hint="eastAsia" w:eastAsia="仿宋_GB2312"/>
          <w:sz w:val="32"/>
          <w:szCs w:val="32"/>
          <w:lang w:eastAsia="zh-CN"/>
        </w:rPr>
        <w:t>（以下简称</w:t>
      </w:r>
      <w:r>
        <w:rPr>
          <w:rFonts w:hint="eastAsia" w:eastAsia="仿宋_GB2312"/>
          <w:sz w:val="32"/>
          <w:szCs w:val="32"/>
          <w:u w:val="none"/>
          <w:lang w:eastAsia="zh-CN"/>
        </w:rPr>
        <w:t>“健康区领导小组”）</w:t>
      </w:r>
      <w:r>
        <w:rPr>
          <w:rFonts w:hint="eastAsia" w:eastAsia="仿宋_GB2312"/>
          <w:sz w:val="32"/>
          <w:szCs w:val="32"/>
        </w:rPr>
        <w:t>，</w:t>
      </w:r>
      <w:r>
        <w:rPr>
          <w:rFonts w:hint="eastAsia" w:eastAsia="仿宋_GB2312"/>
          <w:sz w:val="32"/>
          <w:szCs w:val="32"/>
          <w:lang w:eastAsia="zh-CN"/>
        </w:rPr>
        <w:t>健康区</w:t>
      </w:r>
      <w:r>
        <w:rPr>
          <w:rFonts w:hint="eastAsia" w:eastAsia="仿宋_GB2312"/>
          <w:sz w:val="32"/>
          <w:szCs w:val="32"/>
        </w:rPr>
        <w:t>领导小组成员名单如下：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组　长：杨　灏　　区委副书记、区长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副组长：陈妍卉　　副区长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成　员：薛　梅　　区委宣传部副部长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张树生　　区政府办公室主任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孙兆彬　　区发展改革委主任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张　勇　　区教育局党委书记、局长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刘　莉　　区工业和信息化局党组书记、局长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商铁明　　区民政局局长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袁　景　　区财政局局长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赵海明　　区人社局党组书记、局长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刘怀文　　区城市管理委党组书记、主任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崔　健　　区交通运输局局长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张　强　　区生态环境局局长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赵国庆　　区水务局党委书记、局长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暴亭琨　　区文化和旅游局党委书记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胡国权　　区卫生健康委主任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张凤喜　　公安津南分局副局长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于俊东　　区市场监管局局长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周嘉耕　　区国资委党委书记、主任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孙厚东　　区统计局党组书记、局长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殷慧蔷　　区医疗保障局党组书记、局长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张国艳　　经济开发区管理委员会主任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吕仲连　　区总工会党组书记、副主席</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王凯旋　　团区委书记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薛恩君　　区妇联党组书记、主席</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刘树信　　区残联党组书记、理事长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于示川　　双港镇人民政府镇长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卢亚楠　　辛庄镇人民政府镇长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胡　斌　　咸水沽镇人民政府镇长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徐东伟　　双桥河镇人民政府镇长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翟学坤　　葛沽镇人民政府镇长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张占凌　　八里台镇人民政府镇长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张明熠　　北闸口镇人民政府镇长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朱宏力　　小站镇人民政府镇长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郭建荣　　双新街道办事处主任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高　勇　　双林街道办事处主任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李　玮　　海棠街道办事处主任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仿宋_GB2312"/>
          <w:sz w:val="32"/>
          <w:szCs w:val="32"/>
        </w:rPr>
      </w:pPr>
      <w:r>
        <w:rPr>
          <w:rFonts w:hint="eastAsia" w:eastAsia="仿宋_GB2312"/>
          <w:sz w:val="32"/>
          <w:szCs w:val="32"/>
        </w:rPr>
        <w:t>韩世莲　　区融媒体中心主任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健康区领导小组负责组织拟定我区建设全国健康区工作的政策措施，指导、协调、解决建设工作的重大问题，发布工作动态信息和推广建设典型经验，督促检查各建设成员单位的文件、方案落实和任务完成情况。</w:t>
      </w:r>
      <w:r>
        <w:rPr>
          <w:rFonts w:hint="eastAsia" w:eastAsia="仿宋_GB2312"/>
          <w:sz w:val="32"/>
          <w:szCs w:val="32"/>
          <w:lang w:eastAsia="zh-CN"/>
        </w:rPr>
        <w:t>健康区</w:t>
      </w:r>
      <w:r>
        <w:rPr>
          <w:rFonts w:hint="eastAsia" w:eastAsia="仿宋_GB2312"/>
          <w:sz w:val="32"/>
          <w:szCs w:val="32"/>
        </w:rPr>
        <w:t>领导小组下设办公室，地点设在区卫生健康委，卫生健康委主任任办公室主任。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津南区建设全国健康区工作领导小组</w:t>
      </w:r>
      <w:r>
        <w:rPr>
          <w:rFonts w:hint="eastAsia" w:eastAsia="仿宋_GB2312"/>
          <w:sz w:val="32"/>
          <w:szCs w:val="32"/>
          <w:lang w:val="en-US" w:eastAsia="zh-CN"/>
        </w:rPr>
        <w:t>办公室</w:t>
      </w:r>
      <w:r>
        <w:rPr>
          <w:rFonts w:hint="eastAsia" w:eastAsia="仿宋_GB2312"/>
          <w:sz w:val="32"/>
          <w:szCs w:val="32"/>
          <w:u w:val="none"/>
          <w:lang w:eastAsia="zh-CN"/>
        </w:rPr>
        <w:t>（</w:t>
      </w:r>
      <w:r>
        <w:rPr>
          <w:rFonts w:hint="eastAsia" w:eastAsia="仿宋_GB2312"/>
          <w:sz w:val="32"/>
          <w:szCs w:val="32"/>
          <w:u w:val="none"/>
          <w:lang w:val="en-US" w:eastAsia="zh-CN"/>
        </w:rPr>
        <w:t>以下简称“</w:t>
      </w:r>
      <w:r>
        <w:rPr>
          <w:rFonts w:hint="eastAsia" w:eastAsia="仿宋_GB2312"/>
          <w:sz w:val="32"/>
          <w:szCs w:val="32"/>
          <w:u w:val="none"/>
        </w:rPr>
        <w:t>健康区工作</w:t>
      </w:r>
      <w:r>
        <w:rPr>
          <w:rFonts w:hint="eastAsia" w:eastAsia="仿宋_GB2312"/>
          <w:sz w:val="32"/>
          <w:szCs w:val="32"/>
          <w:u w:val="none"/>
          <w:lang w:val="en-US" w:eastAsia="zh-CN"/>
        </w:rPr>
        <w:t>办公室”</w:t>
      </w:r>
      <w:r>
        <w:rPr>
          <w:rFonts w:hint="eastAsia" w:eastAsia="仿宋_GB2312"/>
          <w:sz w:val="32"/>
          <w:szCs w:val="32"/>
          <w:u w:val="none"/>
          <w:lang w:eastAsia="zh-CN"/>
        </w:rPr>
        <w:t>）</w:t>
      </w:r>
      <w:r>
        <w:rPr>
          <w:rFonts w:hint="eastAsia" w:eastAsia="仿宋_GB2312"/>
          <w:sz w:val="32"/>
          <w:szCs w:val="32"/>
        </w:rPr>
        <w:t>负责与相关部门的协调沟通，具体承担项目组织实施；完成基线调查，研究制定适合我区的健康促进工作策略和措施；开展健康区综合干预工作，按时间节点提交相关资料，接受国家和市级的监督指导和考核评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黑体"/>
          <w:sz w:val="32"/>
          <w:szCs w:val="32"/>
        </w:rPr>
      </w:pPr>
      <w:r>
        <w:rPr>
          <w:rFonts w:hint="eastAsia" w:eastAsia="仿宋_GB2312"/>
          <w:sz w:val="32"/>
          <w:szCs w:val="32"/>
        </w:rPr>
        <w:br w:type="page"/>
      </w:r>
      <w:r>
        <w:rPr>
          <w:rFonts w:hint="eastAsia" w:hAnsi="黑体" w:eastAsia="黑体"/>
          <w:sz w:val="32"/>
          <w:szCs w:val="32"/>
        </w:rPr>
        <w:t>附件</w:t>
      </w:r>
      <w:r>
        <w:rPr>
          <w:rFonts w:hint="eastAsia" w:eastAsia="黑体"/>
          <w:sz w:val="32"/>
          <w:szCs w:val="32"/>
        </w:rPr>
        <w:t>2</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简体"/>
          <w:sz w:val="44"/>
          <w:szCs w:val="44"/>
        </w:rPr>
      </w:pPr>
      <w:r>
        <w:rPr>
          <w:rFonts w:hint="eastAsia" w:eastAsia="方正小标宋简体"/>
          <w:sz w:val="44"/>
          <w:szCs w:val="44"/>
        </w:rPr>
        <w:t>津南区建设全国健康区工作各部门职责分工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一、健康区领导小组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（一）公开承诺开展健康区建设，将健康区建设纳入政府重点工作，纳入当地政府预算，制订健康区发展规划。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（二）建立区政府主要负责人牵头、多部门参与的健康区创建工作领导协调机制和</w:t>
      </w:r>
      <w:r>
        <w:rPr>
          <w:rFonts w:hint="default" w:eastAsia="仿宋_GB2312"/>
          <w:sz w:val="32"/>
          <w:szCs w:val="32"/>
          <w:lang w:val="en"/>
        </w:rPr>
        <w:t>健康区工作办公室</w:t>
      </w:r>
      <w:r>
        <w:rPr>
          <w:rFonts w:hint="eastAsia" w:eastAsia="仿宋_GB2312"/>
          <w:sz w:val="32"/>
          <w:szCs w:val="32"/>
        </w:rPr>
        <w:t>，成员单位包括卫生健康、宣传、教育、发展改革、财政、公安、民政、人社、环保、交通运输、体育等相关部门，明确部门职责，落实工作任务；每半年召开1次协调会议，通报工作进展；每半年组织1次多部门的联合督导和技术指导，对各成员单位工作进度及工作质量进行阶段性考核，由</w:t>
      </w:r>
      <w:r>
        <w:rPr>
          <w:rFonts w:hint="eastAsia" w:eastAsia="仿宋_GB2312"/>
          <w:sz w:val="32"/>
          <w:szCs w:val="32"/>
          <w:lang w:eastAsia="zh-CN"/>
        </w:rPr>
        <w:t>健康区工作</w:t>
      </w:r>
      <w:r>
        <w:rPr>
          <w:rFonts w:hint="eastAsia" w:eastAsia="仿宋_GB2312"/>
          <w:sz w:val="32"/>
          <w:szCs w:val="32"/>
        </w:rPr>
        <w:t>办公室组织实施。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（三）倡导“将健康融入所有政策”策略，领导小组各成员单位将健康融入本部门工作，探索开展健康影响评价，在制定本部门政策时充分考虑政策对健康的影响。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（四）全面开展健康（促进）机关建设（评价参考标准见附件8）。建立健康（促进）机关工作机制，要求50%机关和事业单位符合健康（促进）单位标准。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（五）协调区所有部门室内公共场所、工作场所全面禁止吸烟。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二、健康区工作</w:t>
      </w:r>
      <w:r>
        <w:rPr>
          <w:rFonts w:hint="eastAsia" w:hAnsi="黑体" w:eastAsia="黑体"/>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（一）建立覆盖政府有关组成部门、</w:t>
      </w:r>
      <w:r>
        <w:rPr>
          <w:rFonts w:hint="eastAsia" w:eastAsia="仿宋_GB2312"/>
          <w:sz w:val="32"/>
          <w:szCs w:val="32"/>
          <w:lang w:eastAsia="zh-CN"/>
        </w:rPr>
        <w:t>街镇</w:t>
      </w:r>
      <w:r>
        <w:rPr>
          <w:rFonts w:hint="eastAsia" w:eastAsia="仿宋_GB2312"/>
          <w:sz w:val="32"/>
          <w:szCs w:val="32"/>
        </w:rPr>
        <w:t>、医院、学校、机关、企业的健康促进工作网络，要求每单位有专（兼）职人员承担健康教育与健康促进工作，建立健康促进网络工作人员队伍和相应工作制度。每年至少接受1次工作培训和1次专业培训。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（二）建立健康促进专业人员队伍。建立以</w:t>
      </w:r>
      <w:r>
        <w:rPr>
          <w:rFonts w:hint="default" w:eastAsia="仿宋_GB2312"/>
          <w:sz w:val="32"/>
          <w:szCs w:val="32"/>
          <w:lang w:val="en"/>
        </w:rPr>
        <w:t>健康区工作办公室</w:t>
      </w:r>
      <w:r>
        <w:rPr>
          <w:rFonts w:hint="eastAsia" w:eastAsia="仿宋_GB2312"/>
          <w:sz w:val="32"/>
          <w:szCs w:val="32"/>
        </w:rPr>
        <w:t>为核心，覆盖辖区内医院、公共卫生机构、村卫生室、基层医疗卫生机构的健康教育网络，要求每单位有专（兼）职人员承担健康教育与健康促进工作。探索健康教育专业人员人事分配和绩效考核体制。每半年至少接受1次工作培训和1次专业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（三）制定适合我区经济社会发展和卫生工作能力的健康促进工作策略和措施，制定健康区工作方案，明确工作目标和责任部门。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（四）通过社区诊断和需求评估，分析我区存在的主要健康问题，明确需要优先干预的问题和领域，制定适合本区经济社会发展的健康区项目实施方案，明确解决重点健康问题的策略和措施。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负责全区的基线调查，确定重点健康问题和优先领域。编写辖区年度人群健康状况及创建工作进展情况报告，组织对健康社区、健康村、健康家庭、健康促进医院、学校、机关和企业开展考核，负责健康区评价指标体系内容的制定与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（六）定期评价干预效果，根据实际需要调整优先领域。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（七）建立督导检查、考核评估工作机制，定期了解工作效果。总结有效做法和经验，形成工作报告。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（八）通过工作会议、专题讲座、研讨会等形式，提高有关部门、社区和重点场所对健康区理念和策略的认识，提高其发挥部门优势促进居民健康的能力。每年至少举办3次以上多部门的培训活动。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（九）针对本区需要优先应对的健康问题，组织多部门开展跨部门健康行动。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三、区委宣传部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结合工作职能，配合区</w:t>
      </w:r>
      <w:r>
        <w:rPr>
          <w:rFonts w:hint="eastAsia" w:eastAsia="仿宋_GB2312"/>
          <w:sz w:val="32"/>
          <w:szCs w:val="32"/>
          <w:lang w:eastAsia="zh-CN"/>
        </w:rPr>
        <w:t>卫生健康</w:t>
      </w:r>
      <w:r>
        <w:rPr>
          <w:rFonts w:hint="eastAsia" w:eastAsia="仿宋_GB2312"/>
          <w:sz w:val="32"/>
          <w:szCs w:val="32"/>
        </w:rPr>
        <w:t>委做好媒体培训或媒体交流等工作</w:t>
      </w:r>
      <w:r>
        <w:rPr>
          <w:rFonts w:hint="eastAsia" w:eastAsia="仿宋_GB2312"/>
          <w:sz w:val="32"/>
          <w:szCs w:val="32"/>
          <w:lang w:eastAsia="zh-CN"/>
        </w:rPr>
        <w:t>；</w:t>
      </w:r>
      <w:r>
        <w:rPr>
          <w:rFonts w:hint="eastAsia" w:eastAsia="仿宋_GB2312"/>
          <w:sz w:val="32"/>
          <w:szCs w:val="32"/>
        </w:rPr>
        <w:t>统筹区内媒体，配合开展健康知识宣传工作。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四、</w:t>
      </w:r>
      <w:r>
        <w:rPr>
          <w:rFonts w:hint="eastAsia" w:hAnsi="黑体" w:eastAsia="黑体"/>
          <w:sz w:val="32"/>
          <w:szCs w:val="32"/>
          <w:lang w:eastAsia="zh-CN"/>
        </w:rPr>
        <w:t>区</w:t>
      </w:r>
      <w:r>
        <w:rPr>
          <w:rFonts w:hint="eastAsia" w:hAnsi="黑体" w:eastAsia="黑体"/>
          <w:sz w:val="32"/>
          <w:szCs w:val="32"/>
        </w:rPr>
        <w:t>发展改革委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负责把健康促进工作和健康领域有关项目纳入我区国民经济和社会发展中长期规划，积极将健康促进与教育基础设施建设（政府类项目）纳入政府投资项目年度计划。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五、区教育局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将健康（促进）学校建设纳入教育发展规划，明确学校创建职责，要求中小学校开设健康教育课，并纳入教学计划，覆盖率达100%。定期提供开展健康教育课、健康讲座的相关数据及文字图片资料。加强健康教育人员能力建设，通过分级培训等形式提高校医、健康教育课任课教师专业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（二）开展健身保健活动，完善健康保健相关资料。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（三）全面开展健康促进学校建设。要求50%</w:t>
      </w:r>
      <w:r>
        <w:rPr>
          <w:rFonts w:hint="eastAsia" w:eastAsia="仿宋_GB2312"/>
          <w:sz w:val="32"/>
          <w:szCs w:val="32"/>
          <w:lang w:eastAsia="zh-CN"/>
        </w:rPr>
        <w:t>的</w:t>
      </w:r>
      <w:r>
        <w:rPr>
          <w:rFonts w:hint="eastAsia" w:eastAsia="仿宋_GB2312"/>
          <w:sz w:val="32"/>
          <w:szCs w:val="32"/>
        </w:rPr>
        <w:t>中小学校符合健康促进学校标准（评价参考标准见附件7）。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（四）要求95%以上的学生达到《国家学生体质健康标准》合格以上等级。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（五）按照无烟学校标准开展创建无烟学校工作。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（六）为健康区工作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六、区工业和信息化局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（一）负责从行业主管部门角度，配合区</w:t>
      </w:r>
      <w:r>
        <w:rPr>
          <w:rFonts w:hint="eastAsia" w:eastAsia="仿宋_GB2312"/>
          <w:sz w:val="32"/>
          <w:szCs w:val="32"/>
          <w:lang w:eastAsia="zh-CN"/>
        </w:rPr>
        <w:t>卫生健康</w:t>
      </w:r>
      <w:r>
        <w:rPr>
          <w:rFonts w:hint="eastAsia" w:eastAsia="仿宋_GB2312"/>
          <w:sz w:val="32"/>
          <w:szCs w:val="32"/>
        </w:rPr>
        <w:t>委开展以健康生活方式为主题的健康讲座；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（二）开展行业健康（促进）企业建设。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七、区民政局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shd w:val="clear" w:color="FFFFFF" w:fill="D9D9D9"/>
          <w:lang w:val="en" w:eastAsia="zh-CN"/>
        </w:rPr>
      </w:pPr>
      <w:r>
        <w:rPr>
          <w:rFonts w:hint="eastAsia" w:eastAsia="仿宋_GB2312"/>
          <w:sz w:val="32"/>
          <w:szCs w:val="32"/>
        </w:rPr>
        <w:t>提高社会救助水平，加强社区健康和养老服务建设，支持健康领域社会组织发展，为健康区工作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八、区财政局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（一）及时落实中央投入专项经费和地方配套经费，专款专用，规范管理。将健康区工作纳入政府预算给予支持。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（二）提高对健康领域的经费支持，将健康促进与教育经费纳入预算。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九、区人社局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逐步提高基本养老保险参保率，为建设全国</w:t>
      </w:r>
      <w:r>
        <w:rPr>
          <w:rFonts w:hint="default" w:eastAsia="仿宋_GB2312"/>
          <w:sz w:val="32"/>
          <w:szCs w:val="32"/>
          <w:lang w:val="en"/>
        </w:rPr>
        <w:t>健康区工作办公室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十、区城市管理委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（一）在健康专家委员会的指导下，在指定的公园、广场协助建立健康宣传长廊，协助提供举办活动场地，如公园、广场等。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（二）协助健康区工作</w:t>
      </w:r>
      <w:r>
        <w:rPr>
          <w:rFonts w:hint="eastAsia" w:eastAsia="仿宋_GB2312"/>
          <w:sz w:val="32"/>
          <w:szCs w:val="32"/>
          <w:lang w:val="en-US" w:eastAsia="zh-CN"/>
        </w:rPr>
        <w:t>办公室</w:t>
      </w:r>
      <w:r>
        <w:rPr>
          <w:rFonts w:hint="eastAsia" w:eastAsia="仿宋_GB2312"/>
          <w:sz w:val="32"/>
          <w:szCs w:val="32"/>
        </w:rPr>
        <w:t>每年在公共场所设置不少于2块健康教育户外广告牌或电子显示屏。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（三）加强建成区市容环境治理，加强园林绿化和健康步道建设。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（四）协助卫生健康部门和街镇在大型广场每年开展宣传日活动。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十一、区交通运输局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（一）在健康专家委员会的指导下，在公交车站内协助开展健康宣教活动，在本系统所辖的室内公共场所和公共交通工具显著位置张贴健康公益广告。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color w:val="auto"/>
          <w:sz w:val="32"/>
          <w:szCs w:val="32"/>
        </w:rPr>
        <w:t>全面落实公共交通工具禁止吸烟</w:t>
      </w:r>
      <w:r>
        <w:rPr>
          <w:rFonts w:hint="eastAsia" w:eastAsia="仿宋_GB2312"/>
          <w:color w:val="auto"/>
          <w:sz w:val="32"/>
          <w:szCs w:val="32"/>
          <w:lang w:val="en-US" w:eastAsia="zh-CN"/>
        </w:rPr>
        <w:t>要求</w:t>
      </w:r>
      <w:r>
        <w:rPr>
          <w:rFonts w:hint="eastAsia" w:eastAsia="仿宋_GB2312"/>
          <w:color w:val="auto"/>
          <w:sz w:val="32"/>
          <w:szCs w:val="32"/>
        </w:rPr>
        <w:t>。</w:t>
      </w:r>
      <w:r>
        <w:rPr>
          <w:rFonts w:hint="eastAsia" w:eastAsia="仿宋_GB2312"/>
          <w:sz w:val="32"/>
          <w:szCs w:val="32"/>
        </w:rPr>
        <w:t>加强交通工具及车站的卫生环境建设和无烟环境建设；保障交通安全；道路设计和施工中加强环境、健康保护。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十二、区生态环境局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充分发挥区污染防治攻坚战指挥办公室职能，协调各有关部门，持续深化燃煤源、工业源、移动源等面源综合治理，科学应对重污染天气，实现空气质量显著改善；为健康区工作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十三、区水务局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加强水资源保护，保障饮水安全，预防控制涉水性地方病，加强城乡供水建设和管理，城镇生活污水集中处理率达95%；为健康区工作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十四、区文化和旅游局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（一）在辖区内网吧、电影院、卡拉OK等公共场所开展健康知识宣教活动。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（二）加大健康政策和知识宣传力度，</w:t>
      </w:r>
      <w:r>
        <w:rPr>
          <w:rFonts w:hint="eastAsia" w:eastAsia="仿宋_GB2312"/>
          <w:color w:val="auto"/>
          <w:sz w:val="32"/>
          <w:szCs w:val="32"/>
        </w:rPr>
        <w:t>加强</w:t>
      </w:r>
      <w:r>
        <w:rPr>
          <w:rFonts w:hint="eastAsia" w:eastAsia="仿宋_GB2312"/>
          <w:color w:val="auto"/>
          <w:sz w:val="32"/>
          <w:szCs w:val="32"/>
          <w:lang w:val="en-US" w:eastAsia="zh-CN"/>
        </w:rPr>
        <w:t>对</w:t>
      </w:r>
      <w:r>
        <w:rPr>
          <w:rFonts w:hint="eastAsia" w:eastAsia="仿宋_GB2312"/>
          <w:color w:val="auto"/>
          <w:sz w:val="32"/>
          <w:szCs w:val="32"/>
        </w:rPr>
        <w:t>健康类节目、栏目监管，</w:t>
      </w:r>
      <w:r>
        <w:rPr>
          <w:rFonts w:hint="eastAsia" w:eastAsia="仿宋_GB2312"/>
          <w:color w:val="auto"/>
          <w:sz w:val="32"/>
          <w:szCs w:val="32"/>
          <w:lang w:val="en-US" w:eastAsia="zh-CN"/>
        </w:rPr>
        <w:t>营造</w:t>
      </w:r>
      <w:r>
        <w:rPr>
          <w:rFonts w:hint="eastAsia" w:eastAsia="仿宋_GB2312"/>
          <w:color w:val="auto"/>
          <w:sz w:val="32"/>
          <w:szCs w:val="32"/>
        </w:rPr>
        <w:t>健康文化</w:t>
      </w:r>
      <w:r>
        <w:rPr>
          <w:rFonts w:hint="eastAsia" w:eastAsia="仿宋_GB2312"/>
          <w:color w:val="auto"/>
          <w:sz w:val="32"/>
          <w:szCs w:val="32"/>
          <w:lang w:val="en-US" w:eastAsia="zh-CN"/>
        </w:rPr>
        <w:t>宣传</w:t>
      </w:r>
      <w:r>
        <w:rPr>
          <w:rFonts w:hint="eastAsia" w:eastAsia="仿宋_GB2312"/>
          <w:color w:val="auto"/>
          <w:sz w:val="32"/>
          <w:szCs w:val="32"/>
        </w:rPr>
        <w:t>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（三）负责统筹规划全区群众健康体育发展，负责推行全民健身计划，指导并广泛开展群众性体育活动，实施国家体育锻炼标准，</w:t>
      </w:r>
      <w:r>
        <w:rPr>
          <w:rFonts w:hint="eastAsia" w:eastAsia="仿宋_GB2312"/>
          <w:color w:val="auto"/>
          <w:sz w:val="32"/>
          <w:szCs w:val="32"/>
        </w:rPr>
        <w:t>推动社会体育健身指导工作队伍</w:t>
      </w:r>
      <w:r>
        <w:rPr>
          <w:rFonts w:hint="eastAsia" w:eastAsia="仿宋_GB2312"/>
          <w:color w:val="auto"/>
          <w:sz w:val="32"/>
          <w:szCs w:val="32"/>
          <w:lang w:val="en-US" w:eastAsia="zh-CN"/>
        </w:rPr>
        <w:t>及</w:t>
      </w:r>
      <w:r>
        <w:rPr>
          <w:rFonts w:hint="eastAsia" w:eastAsia="仿宋_GB2312"/>
          <w:color w:val="auto"/>
          <w:sz w:val="32"/>
          <w:szCs w:val="32"/>
        </w:rPr>
        <w:t>制度</w:t>
      </w:r>
      <w:r>
        <w:rPr>
          <w:rFonts w:hint="eastAsia" w:eastAsia="仿宋_GB2312"/>
          <w:color w:val="auto"/>
          <w:sz w:val="32"/>
          <w:szCs w:val="32"/>
          <w:lang w:val="en-US" w:eastAsia="zh-CN"/>
        </w:rPr>
        <w:t>的建立</w:t>
      </w:r>
      <w:r>
        <w:rPr>
          <w:rFonts w:hint="eastAsia" w:eastAsia="仿宋_GB2312"/>
          <w:color w:val="auto"/>
          <w:sz w:val="32"/>
          <w:szCs w:val="32"/>
        </w:rPr>
        <w:t>建设。</w:t>
      </w:r>
      <w:r>
        <w:rPr>
          <w:rFonts w:hint="eastAsia" w:eastAsia="仿宋_GB2312"/>
          <w:sz w:val="32"/>
          <w:szCs w:val="32"/>
        </w:rPr>
        <w:t>经常参加体育锻炼人数比例达到32%以上。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（四）组织全区机关、企事业单位、街道、社区开展体育健身活动。做好健康运动指导工作，负责全区社会体育指导员的管理、培训、指导和考评工作。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（五）积极会同政府有关部门在多种目标人群中开展健康运动宣传工作和全民健身工程。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（六）在健康专家委员会的指导下，在指定的公园、广场建立方便群众健身的配套设施。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（七）加强公共体育场地设施建设，推动全民体育健身活动，开展运动健身知识科普活动，加强科学健身指导服务。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（八）为健康区工作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十五、区卫生健康委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（一）按照《“健康中国2030”规划纲要》《健康中国行（2019</w:t>
      </w:r>
      <w:r>
        <w:rPr>
          <w:rFonts w:hint="eastAsia" w:eastAsia="仿宋_GB2312"/>
          <w:sz w:val="32"/>
          <w:szCs w:val="32"/>
          <w:lang w:eastAsia="zh-CN"/>
        </w:rPr>
        <w:t>－</w:t>
      </w:r>
      <w:r>
        <w:rPr>
          <w:rFonts w:hint="eastAsia" w:eastAsia="仿宋_GB2312"/>
          <w:sz w:val="32"/>
          <w:szCs w:val="32"/>
        </w:rPr>
        <w:t>2030年）》要求安排各项重点工作，加强与各部门沟通协调，制定配套文件和实施方案，具体指导各部门、各街镇开展建设工作及督导检查；收集整理建设所需资料。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FF"/>
          <w:sz w:val="32"/>
          <w:szCs w:val="32"/>
        </w:rPr>
      </w:pPr>
      <w:r>
        <w:rPr>
          <w:rFonts w:hint="eastAsia" w:eastAsia="仿宋_GB2312"/>
          <w:sz w:val="32"/>
          <w:szCs w:val="32"/>
        </w:rPr>
        <w:t>（二）采取逐级培训方式，提高各级健康促进主管部门和专业机构对健康区理念、方法和建设内容的理解，提高建设能力，提高开展二级培训的能力。开展卫健系统专业技术人员全员培训，掌握健康教育基本技能。</w:t>
      </w:r>
      <w:r>
        <w:rPr>
          <w:rFonts w:hint="eastAsia" w:eastAsia="仿宋_GB2312"/>
          <w:color w:val="auto"/>
          <w:sz w:val="32"/>
          <w:szCs w:val="32"/>
        </w:rPr>
        <w:t>每年至少</w:t>
      </w:r>
      <w:r>
        <w:rPr>
          <w:rFonts w:hint="eastAsia" w:eastAsia="仿宋_GB2312"/>
          <w:color w:val="auto"/>
          <w:sz w:val="32"/>
          <w:szCs w:val="32"/>
          <w:lang w:val="en-US" w:eastAsia="zh-CN"/>
        </w:rPr>
        <w:t>组织</w:t>
      </w:r>
      <w:r>
        <w:rPr>
          <w:rFonts w:hint="eastAsia" w:eastAsia="仿宋_GB2312"/>
          <w:color w:val="auto"/>
          <w:sz w:val="32"/>
          <w:szCs w:val="32"/>
        </w:rPr>
        <w:t>2次覆盖全区医疗机构的培训。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w:t>
      </w:r>
      <w:r>
        <w:rPr>
          <w:rFonts w:hint="eastAsia" w:eastAsia="仿宋_GB2312"/>
          <w:color w:val="auto"/>
          <w:sz w:val="32"/>
          <w:szCs w:val="32"/>
        </w:rPr>
        <w:t>针对健康教育专业人员，每季度组织一次基层培训，</w:t>
      </w:r>
      <w:r>
        <w:rPr>
          <w:rFonts w:hint="eastAsia" w:eastAsia="仿宋_GB2312"/>
          <w:sz w:val="32"/>
          <w:szCs w:val="32"/>
        </w:rPr>
        <w:t>开展健康教育与健康促进专业技能培训，采用理论讲授、案例分析、小组讨论、模拟演练等方式，使其熟悉健康教育理论和方法，熟悉健康素养、烟草控制、优生优育等基本内容，掌握健康教育计划制定和实施、健康传播材料设计制作、健康讲座和健康咨询、社区诊断和现场调查等基本专业技能。每年轮训一遍。培训考核合格率达85%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（四）全面开展健康</w:t>
      </w:r>
      <w:r>
        <w:rPr>
          <w:rFonts w:hint="eastAsia" w:eastAsia="仿宋_GB2312"/>
          <w:sz w:val="32"/>
          <w:szCs w:val="32"/>
          <w:lang w:eastAsia="zh-CN"/>
        </w:rPr>
        <w:t>（</w:t>
      </w:r>
      <w:r>
        <w:rPr>
          <w:rFonts w:hint="eastAsia" w:eastAsia="仿宋_GB2312"/>
          <w:sz w:val="32"/>
          <w:szCs w:val="32"/>
        </w:rPr>
        <w:t>促进</w:t>
      </w:r>
      <w:r>
        <w:rPr>
          <w:rFonts w:hint="eastAsia" w:eastAsia="仿宋_GB2312"/>
          <w:sz w:val="32"/>
          <w:szCs w:val="32"/>
          <w:lang w:eastAsia="zh-CN"/>
        </w:rPr>
        <w:t>）</w:t>
      </w:r>
      <w:r>
        <w:rPr>
          <w:rFonts w:hint="eastAsia" w:eastAsia="仿宋_GB2312"/>
          <w:sz w:val="32"/>
          <w:szCs w:val="32"/>
        </w:rPr>
        <w:t>医院建设</w:t>
      </w:r>
      <w:r>
        <w:rPr>
          <w:rFonts w:hint="eastAsia" w:eastAsia="仿宋_GB2312"/>
          <w:sz w:val="32"/>
          <w:szCs w:val="32"/>
          <w:lang w:eastAsia="zh-CN"/>
        </w:rPr>
        <w:t>，</w:t>
      </w:r>
      <w:r>
        <w:rPr>
          <w:rFonts w:hint="eastAsia" w:eastAsia="仿宋_GB2312"/>
          <w:sz w:val="32"/>
          <w:szCs w:val="32"/>
        </w:rPr>
        <w:t>40%的医疗卫生机构（包括综合医院、专科医院、基层医疗卫生机构、计划生育技术服务机构）符合健康促进医院标准。（评价参考标准见附件6）。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w:t>
      </w:r>
      <w:r>
        <w:rPr>
          <w:rFonts w:hint="eastAsia" w:eastAsia="仿宋_GB2312"/>
          <w:color w:val="auto"/>
          <w:sz w:val="32"/>
          <w:szCs w:val="32"/>
          <w:lang w:val="en-US" w:eastAsia="zh-CN"/>
        </w:rPr>
        <w:t>建设巩固</w:t>
      </w:r>
      <w:r>
        <w:rPr>
          <w:rFonts w:hint="eastAsia" w:eastAsia="仿宋_GB2312"/>
          <w:color w:val="auto"/>
          <w:sz w:val="32"/>
          <w:szCs w:val="32"/>
        </w:rPr>
        <w:t>无烟环境</w:t>
      </w:r>
      <w:r>
        <w:rPr>
          <w:rFonts w:hint="eastAsia" w:eastAsia="仿宋_GB2312"/>
          <w:sz w:val="32"/>
          <w:szCs w:val="32"/>
        </w:rPr>
        <w:t>。辖区内所有公共场所和医院全面禁烟。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（六）深入社区开展健康巡讲，发放健康教育传播材料，组织丰富多彩的宣传教育活动，提高健康素养促进行动的质量和覆盖面。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七）与全国行动一致，围绕“健康中国行”年度主题，联合相关部门同步启动当地健康中国行活动。要充分发挥医疗卫生机构主体作用，发挥健康教育专业机构优势，有效利用大众媒体和新兴媒体，宣传年度健康主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（八）开展基本健康教育服务。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w:t>
      </w:r>
      <w:r>
        <w:rPr>
          <w:rFonts w:hint="eastAsia" w:eastAsia="仿宋_GB2312"/>
          <w:sz w:val="32"/>
          <w:szCs w:val="32"/>
          <w:lang w:eastAsia="zh-CN"/>
        </w:rPr>
        <w:t>．</w:t>
      </w:r>
      <w:r>
        <w:rPr>
          <w:rFonts w:hint="eastAsia" w:eastAsia="仿宋_GB2312"/>
          <w:sz w:val="32"/>
          <w:szCs w:val="32"/>
        </w:rPr>
        <w:t>健康教育服务形式包括给辖区居民传播健康视频资料、发放健康教育资料、</w:t>
      </w:r>
      <w:r>
        <w:rPr>
          <w:rFonts w:hint="eastAsia" w:eastAsia="仿宋_GB2312"/>
          <w:sz w:val="32"/>
          <w:szCs w:val="32"/>
          <w:lang w:eastAsia="zh-CN"/>
        </w:rPr>
        <w:t>举办</w:t>
      </w:r>
      <w:r>
        <w:rPr>
          <w:rFonts w:hint="eastAsia" w:eastAsia="仿宋_GB2312"/>
          <w:sz w:val="32"/>
          <w:szCs w:val="32"/>
        </w:rPr>
        <w:t>健康讲座、健康咨询、个体化指导等。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w:t>
      </w:r>
      <w:r>
        <w:rPr>
          <w:rFonts w:hint="eastAsia" w:eastAsia="仿宋_GB2312"/>
          <w:sz w:val="32"/>
          <w:szCs w:val="32"/>
          <w:lang w:eastAsia="zh-CN"/>
        </w:rPr>
        <w:t>．</w:t>
      </w:r>
      <w:r>
        <w:rPr>
          <w:rFonts w:hint="eastAsia" w:eastAsia="仿宋_GB2312"/>
          <w:color w:val="auto"/>
          <w:sz w:val="32"/>
          <w:szCs w:val="32"/>
        </w:rPr>
        <w:t>全面落实国家基本公共卫生健康教育服务</w:t>
      </w:r>
      <w:r>
        <w:rPr>
          <w:rFonts w:hint="eastAsia" w:eastAsia="仿宋_GB2312"/>
          <w:color w:val="auto"/>
          <w:sz w:val="32"/>
          <w:szCs w:val="32"/>
          <w:lang w:val="en-US" w:eastAsia="zh-CN"/>
        </w:rPr>
        <w:t>政策，提升服务</w:t>
      </w:r>
      <w:r>
        <w:rPr>
          <w:rFonts w:hint="eastAsia" w:eastAsia="仿宋_GB2312"/>
          <w:color w:val="auto"/>
          <w:sz w:val="32"/>
          <w:szCs w:val="32"/>
        </w:rPr>
        <w:t>质量，</w:t>
      </w:r>
      <w:r>
        <w:rPr>
          <w:rFonts w:hint="eastAsia" w:eastAsia="仿宋_GB2312"/>
          <w:sz w:val="32"/>
          <w:szCs w:val="32"/>
        </w:rPr>
        <w:t>服务频次和质量达到国家要求。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九）通过健康素养促进行动、健康中国行以及国家基本公共卫生服务健康教育项目，在世界卫生日、无烟日、高血压日、糖尿病日、结核病日、艾滋病日等节日纪念日宣传时段内，多部门联合，深入社区开展健康主题活动。单场活动参与人数不低于200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（十）积极开展无烟单位建设，有固定健康教育宣传阵地，每年更换不少于4期。每年开展4次以上健康讲座和2次以上以健康为主题的集体活动，如戒烟竞赛、健康演讲比赛、健康知识竞赛等活动。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（十一）指导健康步道、健康主题公园等支持性环境建设，环境卫生和饮用水安全等指标达到卫生区标准。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（十二）组织公共场所从业人员开展健康知识培训及健康体检。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（十三）开展居民饮食安全、饮食健康知识的宣传和健康促进工作，并</w:t>
      </w:r>
      <w:r>
        <w:rPr>
          <w:rFonts w:hint="eastAsia" w:eastAsia="仿宋_GB2312"/>
          <w:color w:val="auto"/>
          <w:sz w:val="32"/>
          <w:szCs w:val="32"/>
        </w:rPr>
        <w:t>积极开展保健</w:t>
      </w:r>
      <w:r>
        <w:rPr>
          <w:rFonts w:hint="eastAsia" w:eastAsia="仿宋_GB2312"/>
          <w:color w:val="auto"/>
          <w:sz w:val="32"/>
          <w:szCs w:val="32"/>
          <w:lang w:val="en-US" w:eastAsia="zh-CN"/>
        </w:rPr>
        <w:t>知识宣传</w:t>
      </w:r>
      <w:r>
        <w:rPr>
          <w:rFonts w:hint="eastAsia" w:eastAsia="仿宋_GB2312"/>
          <w:color w:val="auto"/>
          <w:sz w:val="32"/>
          <w:szCs w:val="32"/>
        </w:rPr>
        <w:t>、</w:t>
      </w:r>
      <w:r>
        <w:rPr>
          <w:rFonts w:hint="eastAsia" w:eastAsia="仿宋_GB2312"/>
          <w:color w:val="auto"/>
          <w:sz w:val="32"/>
          <w:szCs w:val="32"/>
          <w:lang w:eastAsia="zh-CN"/>
        </w:rPr>
        <w:t>推广</w:t>
      </w:r>
      <w:r>
        <w:rPr>
          <w:rFonts w:hint="eastAsia" w:eastAsia="仿宋_GB2312"/>
          <w:color w:val="auto"/>
          <w:sz w:val="32"/>
          <w:szCs w:val="32"/>
        </w:rPr>
        <w:t>养生食谱和菜肴</w:t>
      </w:r>
      <w:r>
        <w:rPr>
          <w:rFonts w:hint="eastAsia" w:eastAsia="仿宋_GB2312"/>
          <w:color w:val="auto"/>
          <w:sz w:val="32"/>
          <w:szCs w:val="32"/>
          <w:lang w:val="en-US" w:eastAsia="zh-CN"/>
        </w:rPr>
        <w:t>制作</w:t>
      </w:r>
      <w:r>
        <w:rPr>
          <w:rFonts w:hint="eastAsia" w:eastAsia="仿宋_GB2312"/>
          <w:color w:val="auto"/>
          <w:sz w:val="32"/>
          <w:szCs w:val="32"/>
        </w:rPr>
        <w:t>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（十四）在全区评选出100个示范健康家庭。制定全区健康家庭实施方案，成立专项工作领导小组，明确职责分工和联络人，以</w:t>
      </w:r>
      <w:r>
        <w:rPr>
          <w:rFonts w:hint="eastAsia" w:eastAsia="仿宋_GB2312"/>
          <w:sz w:val="32"/>
          <w:szCs w:val="32"/>
          <w:lang w:eastAsia="zh-CN"/>
        </w:rPr>
        <w:t>街镇</w:t>
      </w:r>
      <w:r>
        <w:rPr>
          <w:rFonts w:hint="eastAsia" w:eastAsia="仿宋_GB2312"/>
          <w:sz w:val="32"/>
          <w:szCs w:val="32"/>
        </w:rPr>
        <w:t>为单位，组织开展以“中国公民健康素养66条”基本内容为主的健康知识培训，每年2次以上，组织开展健康家庭知识竞赛等活动，活动结束后撰写全区创建健康家庭活动工作总结，并及时上报到健康区工作</w:t>
      </w:r>
      <w:r>
        <w:rPr>
          <w:rFonts w:hint="eastAsia" w:eastAsia="仿宋_GB2312"/>
          <w:sz w:val="32"/>
          <w:szCs w:val="32"/>
          <w:lang w:val="en-US" w:eastAsia="zh-CN"/>
        </w:rPr>
        <w:t>办公室</w:t>
      </w:r>
      <w:r>
        <w:rPr>
          <w:rFonts w:hint="eastAsia" w:eastAsia="仿宋_GB2312"/>
          <w:sz w:val="32"/>
          <w:szCs w:val="32"/>
        </w:rPr>
        <w:t>（健康家庭评选标准见附件5）。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十六、公安津南分局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按照相应的查询规范文件要求，及时准确的为健康区工作</w:t>
      </w:r>
      <w:r>
        <w:rPr>
          <w:rFonts w:hint="eastAsia" w:eastAsia="仿宋_GB2312"/>
          <w:sz w:val="32"/>
          <w:szCs w:val="32"/>
          <w:lang w:val="en-US" w:eastAsia="zh-CN"/>
        </w:rPr>
        <w:t>办公室</w:t>
      </w:r>
      <w:r>
        <w:rPr>
          <w:rFonts w:hint="eastAsia" w:eastAsia="仿宋_GB2312"/>
          <w:sz w:val="32"/>
          <w:szCs w:val="32"/>
        </w:rPr>
        <w:t>提供辖区内居民户籍信息，人口信息等，用于津南区基线调查和评估工作。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十七、区市场监管局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（一）开展居民饮食安全宣传工作。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（二）食品安全指标达到国家级卫生区标准。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（三）组织食品从业人员开展食品安全知识培训，组织开展对食品从业人员健康情况的监督检查。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（四）组织大型商场、超市、餐饮单位、药店进行食品药品安全宣传活动。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（五）加强食品安全监管，防范区域性、系统性食品安全事故；开展食品药品安全宣传培训；加强健康类知识产权保护。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（六）为健康区工作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十八、区国资委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配合有关部门全面开展健康（促进）企业建设。20%的大中型企业符合健康（促进）企业标准。（评价参考标准见附件9）。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十九、区统计局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负责提供联网直报平台的单位名称，并依据国家统计局和天津市统计局反馈的统计数据，依法依规提供与建设全国健康区相关的统计数据。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二十、区医疗保障局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落实基本医疗保险制度，加强医疗救助，为健康区工作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二十一、经济开发区管委会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负责组织区域内各企业单位开展健康教育工作，组织各单位积极参与专业技术机构提供的健康区建设相关培训，督促各企业创建健康促进环境，落实健康区相关工作，协调各单位配合专业部门的技术指导和督导考核，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二十二、区总工会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动员广大职工积极组织、参与所在地区和单位文艺与体育活动。为健康区工作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二十三、团区委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每年开展不少于两次组织和动员全区团员、青年积极参与疾病防控、宣传教育及健康促进活动，并做好活动计划、总结等档案整理工作，为健康区工作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二十四、区妇联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结合工作职能，配合区</w:t>
      </w:r>
      <w:r>
        <w:rPr>
          <w:rFonts w:hint="eastAsia" w:eastAsia="仿宋_GB2312"/>
          <w:sz w:val="32"/>
          <w:szCs w:val="32"/>
          <w:lang w:eastAsia="zh-CN"/>
        </w:rPr>
        <w:t>卫生健康</w:t>
      </w:r>
      <w:r>
        <w:rPr>
          <w:rFonts w:hint="eastAsia" w:eastAsia="仿宋_GB2312"/>
          <w:sz w:val="32"/>
          <w:szCs w:val="32"/>
        </w:rPr>
        <w:t>委做好妇女参加健康促进工作，为健康区工作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二十五、区残联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对我区有健康困难的持证残疾人家庭开展适当的社会救助和社区帮扶，为健康区工作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二十六、各街镇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（一）开展健康社区</w:t>
      </w:r>
      <w:r>
        <w:rPr>
          <w:rFonts w:hint="eastAsia" w:eastAsia="仿宋_GB2312"/>
          <w:sz w:val="32"/>
          <w:szCs w:val="32"/>
          <w:lang w:eastAsia="zh-CN"/>
        </w:rPr>
        <w:t>、</w:t>
      </w:r>
      <w:r>
        <w:rPr>
          <w:rFonts w:hint="eastAsia" w:eastAsia="仿宋_GB2312"/>
          <w:sz w:val="32"/>
          <w:szCs w:val="32"/>
        </w:rPr>
        <w:t>健康村建设，20%</w:t>
      </w:r>
      <w:r>
        <w:rPr>
          <w:rFonts w:hint="eastAsia" w:eastAsia="仿宋_GB2312"/>
          <w:sz w:val="32"/>
          <w:szCs w:val="32"/>
          <w:lang w:eastAsia="zh-CN"/>
        </w:rPr>
        <w:t>的社区/村</w:t>
      </w:r>
      <w:r>
        <w:rPr>
          <w:rFonts w:hint="eastAsia" w:eastAsia="仿宋_GB2312"/>
          <w:sz w:val="32"/>
          <w:szCs w:val="32"/>
        </w:rPr>
        <w:t>符合健康社区</w:t>
      </w:r>
      <w:r>
        <w:rPr>
          <w:rFonts w:hint="eastAsia" w:eastAsia="仿宋_GB2312"/>
          <w:sz w:val="32"/>
          <w:szCs w:val="32"/>
          <w:lang w:eastAsia="zh-CN"/>
        </w:rPr>
        <w:t>、</w:t>
      </w:r>
      <w:r>
        <w:rPr>
          <w:rFonts w:hint="eastAsia" w:eastAsia="仿宋_GB2312"/>
          <w:sz w:val="32"/>
          <w:szCs w:val="32"/>
        </w:rPr>
        <w:t>健康村标准，组织社区居民参加健康家庭评选活动（评价参考标准见附件4）。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（二）开展健康家庭建设，与区</w:t>
      </w:r>
      <w:r>
        <w:rPr>
          <w:rFonts w:hint="eastAsia" w:eastAsia="仿宋_GB2312"/>
          <w:sz w:val="32"/>
          <w:szCs w:val="32"/>
          <w:lang w:eastAsia="zh-CN"/>
        </w:rPr>
        <w:t>卫生健康</w:t>
      </w:r>
      <w:r>
        <w:rPr>
          <w:rFonts w:hint="eastAsia" w:eastAsia="仿宋_GB2312"/>
          <w:sz w:val="32"/>
          <w:szCs w:val="32"/>
        </w:rPr>
        <w:t>委、区民政局配合，组织社区居民参加健康家庭评选活动，在全区评选出100个示范健康家庭。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（三）鼓励社区居民广泛参与健康区建设活动，定期听取社区居民对健康区建设工作的意见和建议。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（四）在每个社区设立健身场所、健康教育活动室和健康教育宣传栏。积极开展健康促进示范社区、示范单位活动。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（五）定期开展居民健康讲座。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（六）收集辖区各单位结合自身实际开展的健身保健活动资料，</w:t>
      </w:r>
      <w:r>
        <w:rPr>
          <w:rFonts w:hint="eastAsia" w:eastAsia="仿宋_GB2312"/>
          <w:color w:val="auto"/>
          <w:sz w:val="32"/>
          <w:szCs w:val="32"/>
        </w:rPr>
        <w:t>完善健康保健相关设施</w:t>
      </w:r>
      <w:r>
        <w:rPr>
          <w:rFonts w:hint="eastAsia" w:eastAsia="仿宋_GB2312"/>
          <w:color w:val="auto"/>
          <w:sz w:val="32"/>
          <w:szCs w:val="32"/>
          <w:lang w:eastAsia="zh-CN"/>
        </w:rPr>
        <w:t>，</w:t>
      </w:r>
      <w:r>
        <w:rPr>
          <w:rFonts w:hint="eastAsia" w:eastAsia="仿宋_GB2312"/>
          <w:color w:val="auto"/>
          <w:sz w:val="32"/>
          <w:szCs w:val="32"/>
        </w:rPr>
        <w:t>数据存档备查。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（七）居民健康素养水平在原基础上提高20%，成人吸烟率降低20%。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（八）积极配合辖区医疗卫生单位做好基线调查等相关工作。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（九）加强健康文化传播。健全完善乡村文化活动室、图书室、文化广场等场所</w:t>
      </w:r>
      <w:r>
        <w:rPr>
          <w:rFonts w:hint="eastAsia" w:eastAsia="仿宋_GB2312"/>
          <w:sz w:val="32"/>
          <w:szCs w:val="32"/>
          <w:lang w:eastAsia="zh-CN"/>
        </w:rPr>
        <w:t>，</w:t>
      </w:r>
      <w:r>
        <w:rPr>
          <w:rFonts w:hint="eastAsia" w:eastAsia="仿宋_GB2312"/>
          <w:sz w:val="32"/>
          <w:szCs w:val="32"/>
        </w:rPr>
        <w:t>组织开展丰富多彩、健康向上的群众文化生活</w:t>
      </w:r>
      <w:r>
        <w:rPr>
          <w:rFonts w:hint="eastAsia" w:eastAsia="仿宋_GB2312"/>
          <w:sz w:val="32"/>
          <w:szCs w:val="32"/>
          <w:lang w:eastAsia="zh-CN"/>
        </w:rPr>
        <w:t>，</w:t>
      </w:r>
      <w:r>
        <w:rPr>
          <w:rFonts w:hint="eastAsia" w:eastAsia="仿宋_GB2312"/>
          <w:sz w:val="32"/>
          <w:szCs w:val="32"/>
        </w:rPr>
        <w:t>积极发展乡村特色文化。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（十）基层健康教育骨干培养行动。建立覆盖所有村、街、居委会的健康教育骨干队伍，并实现健康教育骨干队伍培训全覆盖。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（十一）培育一家1个“健康明白人”。依托家庭医生签约服务，区</w:t>
      </w:r>
      <w:r>
        <w:rPr>
          <w:rFonts w:hint="eastAsia" w:eastAsia="仿宋_GB2312"/>
          <w:sz w:val="32"/>
          <w:szCs w:val="32"/>
          <w:lang w:eastAsia="zh-CN"/>
        </w:rPr>
        <w:t>卫生健康</w:t>
      </w:r>
      <w:r>
        <w:rPr>
          <w:rFonts w:hint="eastAsia" w:eastAsia="仿宋_GB2312"/>
          <w:sz w:val="32"/>
          <w:szCs w:val="32"/>
        </w:rPr>
        <w:t>委组织家庭医生团队为每个农村家庭至少培训1名家庭成员，优先选择家庭中文化水平较高者，使其掌握健康素养基本知识与技能，树立自身是健康第一责任人理念，带动家庭成员养成健康生活方式并签订承诺书，达到改善生活方式、控制疾病发生、提高健康水平的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（十二）发放1份《健康明白纸》宣传手册。区</w:t>
      </w:r>
      <w:r>
        <w:rPr>
          <w:rFonts w:hint="eastAsia" w:eastAsia="仿宋_GB2312"/>
          <w:sz w:val="32"/>
          <w:szCs w:val="32"/>
          <w:lang w:eastAsia="zh-CN"/>
        </w:rPr>
        <w:t>卫生健康</w:t>
      </w:r>
      <w:r>
        <w:rPr>
          <w:rFonts w:hint="eastAsia" w:eastAsia="仿宋_GB2312"/>
          <w:sz w:val="32"/>
          <w:szCs w:val="32"/>
        </w:rPr>
        <w:t>委提供宣传手册，由各街镇向健康社区</w:t>
      </w:r>
      <w:r>
        <w:rPr>
          <w:rFonts w:hint="eastAsia" w:eastAsia="仿宋_GB2312"/>
          <w:sz w:val="32"/>
          <w:szCs w:val="32"/>
          <w:lang w:eastAsia="zh-CN"/>
        </w:rPr>
        <w:t>、</w:t>
      </w:r>
      <w:r>
        <w:rPr>
          <w:rFonts w:hint="eastAsia" w:eastAsia="仿宋_GB2312"/>
          <w:sz w:val="32"/>
          <w:szCs w:val="32"/>
        </w:rPr>
        <w:t>健康村的每个有需要的家庭发放。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（十三）发放1份实用工具。由区</w:t>
      </w:r>
      <w:r>
        <w:rPr>
          <w:rFonts w:hint="eastAsia" w:eastAsia="仿宋_GB2312"/>
          <w:sz w:val="32"/>
          <w:szCs w:val="32"/>
          <w:lang w:eastAsia="zh-CN"/>
        </w:rPr>
        <w:t>卫生健康</w:t>
      </w:r>
      <w:r>
        <w:rPr>
          <w:rFonts w:hint="eastAsia" w:eastAsia="仿宋_GB2312"/>
          <w:sz w:val="32"/>
          <w:szCs w:val="32"/>
        </w:rPr>
        <w:t>委提供健康中国行手提袋、限盐勺、口罩和BMI转盘等健康实用工具，由各街镇和基层医疗机构向健康社区</w:t>
      </w:r>
      <w:r>
        <w:rPr>
          <w:rFonts w:hint="eastAsia" w:eastAsia="仿宋_GB2312"/>
          <w:sz w:val="32"/>
          <w:szCs w:val="32"/>
          <w:lang w:eastAsia="zh-CN"/>
        </w:rPr>
        <w:t>、</w:t>
      </w:r>
      <w:r>
        <w:rPr>
          <w:rFonts w:hint="eastAsia" w:eastAsia="仿宋_GB2312"/>
          <w:sz w:val="32"/>
          <w:szCs w:val="32"/>
        </w:rPr>
        <w:t>健康村有需要的家庭发放。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（十四）为健康区工作</w:t>
      </w:r>
      <w:r>
        <w:rPr>
          <w:rFonts w:hint="eastAsia" w:eastAsia="仿宋_GB2312"/>
          <w:sz w:val="32"/>
          <w:szCs w:val="32"/>
          <w:lang w:val="en-US" w:eastAsia="zh-CN"/>
        </w:rPr>
        <w:t>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二十七、区融媒体中心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将健康促进政策和相关知识列入日常宣传内容，在津南区广播电视台刊播区疾控中心提供宣传素材，普及健康知识与技能宣传。在所属媒体刊发区</w:t>
      </w:r>
      <w:r>
        <w:rPr>
          <w:rFonts w:hint="eastAsia" w:eastAsia="仿宋_GB2312"/>
          <w:sz w:val="32"/>
          <w:szCs w:val="32"/>
          <w:lang w:eastAsia="zh-CN"/>
        </w:rPr>
        <w:t>卫生健康</w:t>
      </w:r>
      <w:r>
        <w:rPr>
          <w:rFonts w:hint="eastAsia" w:eastAsia="仿宋_GB2312"/>
          <w:sz w:val="32"/>
          <w:szCs w:val="32"/>
        </w:rPr>
        <w:t>委提供的健康公益广告，传播健康教育核心信息。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开设健康教育类专题节目或栏目，在电视、移动媒体和新媒体播放区</w:t>
      </w:r>
      <w:r>
        <w:rPr>
          <w:rFonts w:hint="eastAsia" w:eastAsia="仿宋_GB2312"/>
          <w:sz w:val="32"/>
          <w:szCs w:val="32"/>
          <w:lang w:eastAsia="zh-CN"/>
        </w:rPr>
        <w:t>卫生健康</w:t>
      </w:r>
      <w:r>
        <w:rPr>
          <w:rFonts w:hint="eastAsia" w:eastAsia="仿宋_GB2312"/>
          <w:sz w:val="32"/>
          <w:szCs w:val="32"/>
        </w:rPr>
        <w:t>委提供的健康公益广告，传播健康教育核心信息。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（三）每月播放公益广告和科普知识。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（四）在重大主题宣传日加大宣传力度，播放活动报道。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（五）根据区</w:t>
      </w:r>
      <w:r>
        <w:rPr>
          <w:rFonts w:hint="eastAsia" w:eastAsia="仿宋_GB2312"/>
          <w:sz w:val="32"/>
          <w:szCs w:val="32"/>
          <w:lang w:eastAsia="zh-CN"/>
        </w:rPr>
        <w:t>卫生健康</w:t>
      </w:r>
      <w:r>
        <w:rPr>
          <w:rFonts w:hint="eastAsia" w:eastAsia="仿宋_GB2312"/>
          <w:sz w:val="32"/>
          <w:szCs w:val="32"/>
        </w:rPr>
        <w:t>委提供的新闻线索及素材，每年每类媒体宣传健康区相关工作至少10次，累计达20次。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（六）为建设全国</w:t>
      </w:r>
      <w:r>
        <w:rPr>
          <w:rFonts w:hint="default" w:eastAsia="仿宋_GB2312"/>
          <w:sz w:val="32"/>
          <w:szCs w:val="32"/>
          <w:lang w:val="en"/>
        </w:rPr>
        <w:t>健康区工作办公室</w:t>
      </w:r>
      <w:r>
        <w:rPr>
          <w:rFonts w:hint="eastAsia" w:eastAsia="仿宋_GB2312"/>
          <w:sz w:val="32"/>
          <w:szCs w:val="32"/>
        </w:rPr>
        <w:t>提供所需相关资料。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二十八、各部门、机关、企事业单位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各部门、机关、企事业单位，协调配合政府及相关部门开展健康区建设工作。按照健康</w:t>
      </w:r>
      <w:r>
        <w:rPr>
          <w:rFonts w:hint="eastAsia" w:eastAsia="仿宋_GB2312"/>
          <w:sz w:val="32"/>
          <w:szCs w:val="32"/>
          <w:lang w:eastAsia="zh-CN"/>
        </w:rPr>
        <w:t>（</w:t>
      </w:r>
      <w:r>
        <w:rPr>
          <w:rFonts w:hint="eastAsia" w:eastAsia="仿宋_GB2312"/>
          <w:sz w:val="32"/>
          <w:szCs w:val="32"/>
        </w:rPr>
        <w:t>促进</w:t>
      </w:r>
      <w:r>
        <w:rPr>
          <w:rFonts w:hint="eastAsia" w:eastAsia="仿宋_GB2312"/>
          <w:sz w:val="32"/>
          <w:szCs w:val="32"/>
          <w:lang w:eastAsia="zh-CN"/>
        </w:rPr>
        <w:t>）</w:t>
      </w:r>
      <w:r>
        <w:rPr>
          <w:rFonts w:hint="eastAsia" w:eastAsia="仿宋_GB2312"/>
          <w:sz w:val="32"/>
          <w:szCs w:val="32"/>
        </w:rPr>
        <w:t>机关和健康</w:t>
      </w:r>
      <w:r>
        <w:rPr>
          <w:rFonts w:hint="eastAsia" w:eastAsia="仿宋_GB2312"/>
          <w:sz w:val="32"/>
          <w:szCs w:val="32"/>
          <w:lang w:eastAsia="zh-CN"/>
        </w:rPr>
        <w:t>（</w:t>
      </w:r>
      <w:r>
        <w:rPr>
          <w:rFonts w:hint="eastAsia" w:eastAsia="仿宋_GB2312"/>
          <w:sz w:val="32"/>
          <w:szCs w:val="32"/>
        </w:rPr>
        <w:t>促进</w:t>
      </w:r>
      <w:r>
        <w:rPr>
          <w:rFonts w:hint="eastAsia" w:eastAsia="仿宋_GB2312"/>
          <w:sz w:val="32"/>
          <w:szCs w:val="32"/>
          <w:lang w:eastAsia="zh-CN"/>
        </w:rPr>
        <w:t>）</w:t>
      </w:r>
      <w:r>
        <w:rPr>
          <w:rFonts w:hint="eastAsia" w:eastAsia="仿宋_GB2312"/>
          <w:sz w:val="32"/>
          <w:szCs w:val="32"/>
        </w:rPr>
        <w:t>企业标准制定本单位健康</w:t>
      </w:r>
      <w:r>
        <w:rPr>
          <w:rFonts w:hint="eastAsia" w:eastAsia="仿宋_GB2312"/>
          <w:sz w:val="32"/>
          <w:szCs w:val="32"/>
          <w:lang w:eastAsia="zh-CN"/>
        </w:rPr>
        <w:t>（</w:t>
      </w:r>
      <w:r>
        <w:rPr>
          <w:rFonts w:hint="eastAsia" w:eastAsia="仿宋_GB2312"/>
          <w:sz w:val="32"/>
          <w:szCs w:val="32"/>
        </w:rPr>
        <w:t>促进</w:t>
      </w:r>
      <w:r>
        <w:rPr>
          <w:rFonts w:hint="eastAsia" w:eastAsia="仿宋_GB2312"/>
          <w:sz w:val="32"/>
          <w:szCs w:val="32"/>
          <w:lang w:eastAsia="zh-CN"/>
        </w:rPr>
        <w:t>）</w:t>
      </w:r>
      <w:r>
        <w:rPr>
          <w:rFonts w:hint="eastAsia" w:eastAsia="仿宋_GB2312"/>
          <w:sz w:val="32"/>
          <w:szCs w:val="32"/>
        </w:rPr>
        <w:t>相关机制和政策，安排专人负责健康教育和健康</w:t>
      </w:r>
      <w:r>
        <w:rPr>
          <w:rFonts w:hint="eastAsia" w:eastAsia="仿宋_GB2312"/>
          <w:sz w:val="32"/>
          <w:szCs w:val="32"/>
          <w:lang w:eastAsia="zh-CN"/>
        </w:rPr>
        <w:t>（</w:t>
      </w:r>
      <w:r>
        <w:rPr>
          <w:rFonts w:hint="eastAsia" w:eastAsia="仿宋_GB2312"/>
          <w:sz w:val="32"/>
          <w:szCs w:val="32"/>
        </w:rPr>
        <w:t>促进</w:t>
      </w:r>
      <w:r>
        <w:rPr>
          <w:rFonts w:hint="eastAsia" w:eastAsia="仿宋_GB2312"/>
          <w:sz w:val="32"/>
          <w:szCs w:val="32"/>
          <w:lang w:eastAsia="zh-CN"/>
        </w:rPr>
        <w:t>）</w:t>
      </w:r>
      <w:r>
        <w:rPr>
          <w:rFonts w:hint="eastAsia" w:eastAsia="仿宋_GB2312"/>
          <w:sz w:val="32"/>
          <w:szCs w:val="32"/>
        </w:rPr>
        <w:t>工作，并接受急救和疾病预防知识培训，结合自身实际每年开展4次以上健康讲座，每年举办2次以健康为主题的集体活动，以及定期组织职工开展集体文体活动，建立、配备、完善健康保健相应设施，每2年为职工提供1次健康体检，并给予健康指导建议。组织各单位对职工吸烟人群、肥胖人群进行统计，在2年内职工肥胖率下降5%、吸烟率下降3%，为建设全国</w:t>
      </w:r>
      <w:r>
        <w:rPr>
          <w:rFonts w:hint="default" w:eastAsia="仿宋_GB2312"/>
          <w:sz w:val="32"/>
          <w:szCs w:val="32"/>
          <w:lang w:val="en"/>
        </w:rPr>
        <w:t>健康区工作办公室</w:t>
      </w:r>
      <w:r>
        <w:rPr>
          <w:rFonts w:hint="eastAsia" w:eastAsia="仿宋_GB2312"/>
          <w:sz w:val="32"/>
          <w:szCs w:val="32"/>
        </w:rPr>
        <w:t>提供所需相关资料（健康促进机关评价参考标准见附件8）。</w:t>
      </w:r>
    </w:p>
    <w:p>
      <w:pPr>
        <w:overflowPunct w:val="0"/>
        <w:spacing w:line="560" w:lineRule="exact"/>
        <w:rPr>
          <w:rFonts w:eastAsia="仿宋_GB2312" w:cs="仿宋_GB2312"/>
          <w:sz w:val="32"/>
          <w:szCs w:val="32"/>
        </w:rPr>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start="1"/>
          <w:cols w:space="720" w:num="1"/>
          <w:docGrid w:linePitch="312" w:charSpace="0"/>
        </w:sectPr>
      </w:pPr>
    </w:p>
    <w:p>
      <w:pPr>
        <w:spacing w:line="560" w:lineRule="exact"/>
        <w:rPr>
          <w:rFonts w:eastAsia="黑体"/>
          <w:bCs/>
          <w:sz w:val="32"/>
          <w:szCs w:val="32"/>
        </w:rPr>
      </w:pPr>
      <w:r>
        <w:rPr>
          <w:rFonts w:eastAsia="黑体"/>
          <w:bCs/>
          <w:sz w:val="32"/>
          <w:szCs w:val="32"/>
        </w:rPr>
        <w:t>附件3</w:t>
      </w:r>
    </w:p>
    <w:p>
      <w:pPr>
        <w:pStyle w:val="2"/>
        <w:spacing w:line="560" w:lineRule="exact"/>
        <w:rPr>
          <w:rFonts w:eastAsia="黑体"/>
          <w:bCs/>
          <w:sz w:val="32"/>
          <w:szCs w:val="32"/>
        </w:rPr>
      </w:pPr>
    </w:p>
    <w:p>
      <w:pPr>
        <w:pStyle w:val="2"/>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建设全国健康区综合任务分配表</w:t>
      </w:r>
    </w:p>
    <w:p>
      <w:pPr>
        <w:pStyle w:val="2"/>
        <w:spacing w:line="200" w:lineRule="exact"/>
        <w:ind w:firstLine="0" w:firstLineChars="0"/>
        <w:rPr>
          <w:rFonts w:hint="eastAsia" w:ascii="方正小标宋简体" w:hAnsi="方正小标宋简体" w:eastAsia="方正小标宋简体" w:cs="方正小标宋简体"/>
          <w:sz w:val="44"/>
          <w:szCs w:val="44"/>
        </w:rPr>
      </w:pPr>
    </w:p>
    <w:tbl>
      <w:tblPr>
        <w:tblStyle w:val="10"/>
        <w:tblW w:w="12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82"/>
        <w:gridCol w:w="3052"/>
        <w:gridCol w:w="4121"/>
        <w:gridCol w:w="736"/>
        <w:gridCol w:w="103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252" w:type="dxa"/>
            <w:noWrap/>
            <w:vAlign w:val="center"/>
          </w:tcPr>
          <w:p>
            <w:pPr>
              <w:pStyle w:val="2"/>
              <w:spacing w:line="320" w:lineRule="exact"/>
              <w:ind w:firstLine="0" w:firstLineChars="0"/>
              <w:jc w:val="center"/>
              <w:rPr>
                <w:rFonts w:eastAsia="黑体"/>
                <w:bCs/>
                <w:kern w:val="0"/>
                <w:szCs w:val="21"/>
              </w:rPr>
            </w:pPr>
            <w:r>
              <w:rPr>
                <w:rFonts w:hAnsi="黑体" w:eastAsia="黑体"/>
                <w:bCs/>
                <w:kern w:val="0"/>
                <w:szCs w:val="21"/>
              </w:rPr>
              <w:t>一级指标</w:t>
            </w:r>
          </w:p>
        </w:tc>
        <w:tc>
          <w:tcPr>
            <w:tcW w:w="1282" w:type="dxa"/>
            <w:noWrap/>
            <w:vAlign w:val="center"/>
          </w:tcPr>
          <w:p>
            <w:pPr>
              <w:pStyle w:val="2"/>
              <w:widowControl w:val="0"/>
              <w:spacing w:line="320" w:lineRule="exact"/>
              <w:ind w:firstLine="0" w:firstLineChars="0"/>
              <w:jc w:val="center"/>
              <w:rPr>
                <w:rFonts w:eastAsia="黑体"/>
                <w:bCs/>
                <w:kern w:val="0"/>
                <w:szCs w:val="21"/>
              </w:rPr>
            </w:pPr>
            <w:r>
              <w:rPr>
                <w:rFonts w:hAnsi="黑体" w:eastAsia="黑体"/>
                <w:bCs/>
                <w:kern w:val="0"/>
                <w:szCs w:val="21"/>
              </w:rPr>
              <w:t>二级指标</w:t>
            </w:r>
          </w:p>
        </w:tc>
        <w:tc>
          <w:tcPr>
            <w:tcW w:w="3052" w:type="dxa"/>
            <w:noWrap/>
            <w:vAlign w:val="center"/>
          </w:tcPr>
          <w:p>
            <w:pPr>
              <w:pStyle w:val="2"/>
              <w:widowControl w:val="0"/>
              <w:spacing w:line="320" w:lineRule="exact"/>
              <w:ind w:firstLine="0" w:firstLineChars="0"/>
              <w:jc w:val="center"/>
              <w:rPr>
                <w:rFonts w:eastAsia="黑体"/>
                <w:bCs/>
                <w:kern w:val="0"/>
                <w:szCs w:val="21"/>
              </w:rPr>
            </w:pPr>
            <w:r>
              <w:rPr>
                <w:rFonts w:hAnsi="黑体" w:eastAsia="黑体"/>
                <w:bCs/>
                <w:kern w:val="0"/>
                <w:szCs w:val="21"/>
              </w:rPr>
              <w:t>指标解释</w:t>
            </w:r>
          </w:p>
        </w:tc>
        <w:tc>
          <w:tcPr>
            <w:tcW w:w="4121" w:type="dxa"/>
            <w:noWrap/>
            <w:vAlign w:val="center"/>
          </w:tcPr>
          <w:p>
            <w:pPr>
              <w:pStyle w:val="2"/>
              <w:widowControl w:val="0"/>
              <w:spacing w:line="320" w:lineRule="exact"/>
              <w:ind w:firstLine="0" w:firstLineChars="0"/>
              <w:jc w:val="center"/>
              <w:rPr>
                <w:rFonts w:eastAsia="黑体"/>
                <w:bCs/>
                <w:kern w:val="0"/>
                <w:szCs w:val="21"/>
              </w:rPr>
            </w:pPr>
            <w:r>
              <w:rPr>
                <w:rFonts w:hAnsi="黑体" w:eastAsia="黑体"/>
                <w:bCs/>
                <w:kern w:val="0"/>
                <w:szCs w:val="21"/>
              </w:rPr>
              <w:t>评分标准</w:t>
            </w:r>
          </w:p>
        </w:tc>
        <w:tc>
          <w:tcPr>
            <w:tcW w:w="736" w:type="dxa"/>
            <w:noWrap/>
            <w:vAlign w:val="center"/>
          </w:tcPr>
          <w:p>
            <w:pPr>
              <w:pStyle w:val="2"/>
              <w:widowControl w:val="0"/>
              <w:spacing w:line="320" w:lineRule="exact"/>
              <w:ind w:firstLine="0" w:firstLineChars="0"/>
              <w:jc w:val="center"/>
              <w:rPr>
                <w:rFonts w:hint="eastAsia" w:eastAsia="黑体"/>
                <w:bCs/>
                <w:kern w:val="0"/>
                <w:szCs w:val="21"/>
              </w:rPr>
            </w:pPr>
            <w:r>
              <w:rPr>
                <w:rFonts w:hAnsi="黑体" w:eastAsia="黑体"/>
                <w:bCs/>
                <w:kern w:val="0"/>
                <w:szCs w:val="21"/>
              </w:rPr>
              <w:t>权重</w:t>
            </w:r>
          </w:p>
          <w:p>
            <w:pPr>
              <w:pStyle w:val="2"/>
              <w:widowControl w:val="0"/>
              <w:spacing w:line="320" w:lineRule="exact"/>
              <w:ind w:firstLine="0" w:firstLineChars="0"/>
              <w:jc w:val="center"/>
              <w:rPr>
                <w:rFonts w:eastAsia="黑体"/>
                <w:bCs/>
                <w:kern w:val="0"/>
                <w:szCs w:val="21"/>
              </w:rPr>
            </w:pPr>
            <w:r>
              <w:rPr>
                <w:rFonts w:hint="eastAsia" w:hAnsi="黑体" w:eastAsia="黑体"/>
                <w:bCs/>
                <w:kern w:val="0"/>
                <w:szCs w:val="21"/>
              </w:rPr>
              <w:t>（</w:t>
            </w:r>
            <w:r>
              <w:rPr>
                <w:rFonts w:hAnsi="黑体" w:eastAsia="黑体"/>
                <w:bCs/>
                <w:kern w:val="0"/>
                <w:szCs w:val="21"/>
              </w:rPr>
              <w:t>分</w:t>
            </w:r>
            <w:r>
              <w:rPr>
                <w:rFonts w:hint="eastAsia" w:hAnsi="黑体" w:eastAsia="黑体"/>
                <w:bCs/>
                <w:kern w:val="0"/>
                <w:szCs w:val="21"/>
              </w:rPr>
              <w:t>）</w:t>
            </w:r>
          </w:p>
        </w:tc>
        <w:tc>
          <w:tcPr>
            <w:tcW w:w="1035" w:type="dxa"/>
            <w:noWrap/>
            <w:vAlign w:val="center"/>
          </w:tcPr>
          <w:p>
            <w:pPr>
              <w:pStyle w:val="2"/>
              <w:widowControl w:val="0"/>
              <w:spacing w:line="320" w:lineRule="exact"/>
              <w:ind w:firstLine="0" w:firstLineChars="0"/>
              <w:jc w:val="center"/>
              <w:rPr>
                <w:rFonts w:eastAsia="黑体"/>
                <w:bCs/>
                <w:kern w:val="0"/>
                <w:szCs w:val="21"/>
              </w:rPr>
            </w:pPr>
            <w:r>
              <w:rPr>
                <w:rFonts w:hAnsi="黑体" w:eastAsia="黑体"/>
                <w:bCs/>
                <w:kern w:val="0"/>
                <w:szCs w:val="21"/>
              </w:rPr>
              <w:t>评估办法</w:t>
            </w:r>
          </w:p>
        </w:tc>
        <w:tc>
          <w:tcPr>
            <w:tcW w:w="1295" w:type="dxa"/>
            <w:noWrap/>
            <w:vAlign w:val="center"/>
          </w:tcPr>
          <w:p>
            <w:pPr>
              <w:pStyle w:val="2"/>
              <w:widowControl w:val="0"/>
              <w:spacing w:line="320" w:lineRule="exact"/>
              <w:ind w:left="-19" w:leftChars="-10" w:right="-19" w:rightChars="-10" w:firstLine="0" w:firstLineChars="0"/>
              <w:jc w:val="center"/>
              <w:rPr>
                <w:rFonts w:eastAsia="黑体"/>
                <w:bCs/>
                <w:kern w:val="0"/>
                <w:szCs w:val="21"/>
              </w:rPr>
            </w:pPr>
            <w:r>
              <w:rPr>
                <w:rFonts w:hAnsi="黑体" w:eastAsia="黑体"/>
                <w:bCs/>
                <w:kern w:val="0"/>
                <w:szCs w:val="21"/>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52" w:type="dxa"/>
            <w:vMerge w:val="restart"/>
            <w:noWrap/>
            <w:vAlign w:val="center"/>
          </w:tcPr>
          <w:p>
            <w:pPr>
              <w:widowControl/>
              <w:numPr>
                <w:ilvl w:val="0"/>
                <w:numId w:val="1"/>
              </w:numPr>
              <w:spacing w:line="280" w:lineRule="exact"/>
              <w:jc w:val="center"/>
              <w:rPr>
                <w:rFonts w:hint="eastAsia" w:eastAsia="仿宋_GB2312"/>
                <w:kern w:val="0"/>
                <w:szCs w:val="21"/>
              </w:rPr>
            </w:pPr>
            <w:r>
              <w:rPr>
                <w:rFonts w:hint="eastAsia" w:eastAsia="仿宋_GB2312"/>
                <w:kern w:val="0"/>
                <w:szCs w:val="21"/>
              </w:rPr>
              <w:t>组织</w:t>
            </w:r>
          </w:p>
          <w:p>
            <w:pPr>
              <w:widowControl/>
              <w:numPr>
                <w:ilvl w:val="0"/>
                <w:numId w:val="0"/>
              </w:numPr>
              <w:spacing w:line="280" w:lineRule="exact"/>
              <w:jc w:val="both"/>
              <w:rPr>
                <w:rFonts w:hint="eastAsia" w:eastAsia="仿宋_GB2312"/>
                <w:kern w:val="0"/>
                <w:szCs w:val="21"/>
              </w:rPr>
            </w:pPr>
            <w:r>
              <w:rPr>
                <w:rFonts w:hint="eastAsia" w:eastAsia="仿宋_GB2312"/>
                <w:kern w:val="0"/>
                <w:szCs w:val="21"/>
              </w:rPr>
              <w:t>管理（90分）</w:t>
            </w: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1</w:t>
            </w:r>
            <w:r>
              <w:rPr>
                <w:rFonts w:hint="eastAsia" w:eastAsia="仿宋_GB2312"/>
                <w:kern w:val="0"/>
                <w:szCs w:val="21"/>
                <w:lang w:eastAsia="zh-CN"/>
              </w:rPr>
              <w:t>．</w:t>
            </w:r>
            <w:r>
              <w:rPr>
                <w:rFonts w:hint="eastAsia" w:eastAsia="仿宋_GB2312"/>
                <w:kern w:val="0"/>
                <w:szCs w:val="21"/>
              </w:rPr>
              <w:t>工作网络</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建立覆盖政府有关组成部门、乡镇（街道）、学校、机关、企业的健康促进工作网络。每单位专（兼）职人员承担健康促进与健康教育工作。定期对专（兼）职人员开展培训，人员培训覆盖率达100%。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（1）查阅机构数量和工作网络人员名单。网络覆盖率100%得10分、达50%得5分。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restart"/>
            <w:noWrap/>
            <w:vAlign w:val="center"/>
          </w:tcPr>
          <w:p>
            <w:pPr>
              <w:widowControl/>
              <w:spacing w:line="280" w:lineRule="exact"/>
              <w:jc w:val="center"/>
              <w:rPr>
                <w:rFonts w:hint="eastAsia" w:eastAsia="仿宋_GB2312"/>
                <w:kern w:val="0"/>
                <w:sz w:val="21"/>
                <w:szCs w:val="21"/>
              </w:rPr>
            </w:pPr>
            <w:r>
              <w:rPr>
                <w:rFonts w:hint="eastAsia" w:eastAsia="仿宋_GB2312"/>
                <w:kern w:val="0"/>
                <w:sz w:val="21"/>
                <w:szCs w:val="21"/>
              </w:rPr>
              <w:t>听取汇报</w:t>
            </w:r>
          </w:p>
          <w:p>
            <w:pPr>
              <w:widowControl/>
              <w:spacing w:line="280" w:lineRule="exact"/>
              <w:jc w:val="center"/>
              <w:rPr>
                <w:rFonts w:hint="eastAsia" w:eastAsia="仿宋_GB2312"/>
                <w:kern w:val="0"/>
                <w:szCs w:val="21"/>
              </w:rPr>
            </w:pPr>
            <w:r>
              <w:rPr>
                <w:rFonts w:hint="eastAsia" w:eastAsia="仿宋_GB2312"/>
                <w:kern w:val="0"/>
                <w:sz w:val="21"/>
                <w:szCs w:val="21"/>
              </w:rPr>
              <w:t>查阅资料</w:t>
            </w: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健康区</w:t>
            </w:r>
            <w:r>
              <w:rPr>
                <w:rFonts w:hint="eastAsia" w:eastAsia="仿宋_GB2312"/>
                <w:color w:val="000000"/>
                <w:kern w:val="0"/>
                <w:sz w:val="21"/>
                <w:szCs w:val="21"/>
                <w:lang w:eastAsia="zh-CN"/>
              </w:rPr>
              <w:t>工作</w:t>
            </w:r>
            <w:r>
              <w:rPr>
                <w:rFonts w:hint="eastAsia" w:eastAsia="仿宋_GB2312"/>
                <w:color w:val="000000"/>
                <w:kern w:val="0"/>
                <w:sz w:val="21"/>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（2）查阅培训记录，培训覆盖率100%得5分、达50%得3分。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健康区</w:t>
            </w:r>
            <w:r>
              <w:rPr>
                <w:rFonts w:hint="eastAsia" w:eastAsia="仿宋_GB2312"/>
                <w:color w:val="000000"/>
                <w:kern w:val="0"/>
                <w:sz w:val="21"/>
                <w:szCs w:val="21"/>
                <w:lang w:eastAsia="zh-CN"/>
              </w:rPr>
              <w:t>工作</w:t>
            </w:r>
            <w:r>
              <w:rPr>
                <w:rFonts w:hint="eastAsia" w:eastAsia="仿宋_GB2312"/>
                <w:color w:val="000000"/>
                <w:kern w:val="0"/>
                <w:sz w:val="21"/>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2</w:t>
            </w:r>
            <w:r>
              <w:rPr>
                <w:rFonts w:hint="eastAsia" w:eastAsia="仿宋_GB2312"/>
                <w:kern w:val="0"/>
                <w:szCs w:val="21"/>
                <w:lang w:eastAsia="zh-CN"/>
              </w:rPr>
              <w:t>．</w:t>
            </w:r>
            <w:r>
              <w:rPr>
                <w:rFonts w:hint="eastAsia" w:eastAsia="仿宋_GB2312"/>
                <w:kern w:val="0"/>
                <w:szCs w:val="21"/>
              </w:rPr>
              <w:t>专业网络</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以健康教育专业机构为核心、覆盖辖区内所有医院、公共卫生机构、计划生育服务机构、基层医疗卫生机构的健康促进专业网络。每单位有专职人员承担健康促进与健康教育工作。定期对专职人员开展培训，人员培训覆盖率达100%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（1）查阅机构数量和专业网络人员名单。专业网络覆盖率100%得10分、达50%得5分。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健康区</w:t>
            </w:r>
            <w:r>
              <w:rPr>
                <w:rFonts w:hint="eastAsia" w:eastAsia="仿宋_GB2312"/>
                <w:color w:val="000000"/>
                <w:kern w:val="0"/>
                <w:sz w:val="21"/>
                <w:szCs w:val="21"/>
                <w:lang w:eastAsia="zh-CN"/>
              </w:rPr>
              <w:t>工作</w:t>
            </w:r>
            <w:r>
              <w:rPr>
                <w:rFonts w:hint="eastAsia" w:eastAsia="仿宋_GB2312"/>
                <w:color w:val="000000"/>
                <w:kern w:val="0"/>
                <w:sz w:val="21"/>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（2）查阅培训记录，培训覆盖率100%得5分、达50%得3分。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default" w:eastAsia="仿宋_GB2312"/>
                <w:color w:val="000000"/>
                <w:kern w:val="0"/>
                <w:sz w:val="21"/>
                <w:szCs w:val="21"/>
                <w:lang w:val="en"/>
              </w:rPr>
            </w:pPr>
            <w:r>
              <w:rPr>
                <w:rFonts w:hint="default" w:eastAsia="仿宋_GB2312"/>
                <w:color w:val="000000"/>
                <w:kern w:val="0"/>
                <w:sz w:val="21"/>
                <w:szCs w:val="21"/>
                <w:lang w:val="en"/>
              </w:rPr>
              <w:t>健康区工作办公室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3</w:t>
            </w:r>
            <w:r>
              <w:rPr>
                <w:rFonts w:hint="eastAsia" w:eastAsia="仿宋_GB2312"/>
                <w:kern w:val="0"/>
                <w:szCs w:val="21"/>
                <w:lang w:eastAsia="zh-CN"/>
              </w:rPr>
              <w:t>．</w:t>
            </w:r>
            <w:r>
              <w:rPr>
                <w:rFonts w:hint="eastAsia" w:eastAsia="仿宋_GB2312"/>
                <w:kern w:val="0"/>
                <w:szCs w:val="21"/>
              </w:rPr>
              <w:t>项目管理</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开展基线调查，具备数据分析能力，了解当地的主要健康问题，制定科学的干预策略和措施。</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（1）开展基线调查（或社区诊断），得10分。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default" w:eastAsia="仿宋_GB2312"/>
                <w:color w:val="000000"/>
                <w:kern w:val="0"/>
                <w:sz w:val="21"/>
                <w:szCs w:val="21"/>
                <w:lang w:val="en"/>
              </w:rPr>
            </w:pPr>
            <w:r>
              <w:rPr>
                <w:rFonts w:hint="default" w:eastAsia="仿宋_GB2312"/>
                <w:color w:val="000000"/>
                <w:kern w:val="0"/>
                <w:sz w:val="21"/>
                <w:szCs w:val="21"/>
                <w:lang w:val="en"/>
              </w:rPr>
              <w:t>健康区工作办公室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（2）完成基线调查报告（或社区诊断报告），当地主要健康问题/优先领域清晰，健康促进资源分析合理，提出的干预策略和措施明确，得10分。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default" w:eastAsia="仿宋_GB2312"/>
                <w:color w:val="000000"/>
                <w:kern w:val="0"/>
                <w:sz w:val="21"/>
                <w:szCs w:val="21"/>
                <w:lang w:val="en"/>
              </w:rPr>
            </w:pPr>
            <w:r>
              <w:rPr>
                <w:rFonts w:hint="default" w:eastAsia="仿宋_GB2312"/>
                <w:color w:val="000000"/>
                <w:kern w:val="0"/>
                <w:sz w:val="21"/>
                <w:szCs w:val="21"/>
                <w:lang w:val="en"/>
              </w:rPr>
              <w:t>健康区工作办公室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一、组织管理（90分）</w:t>
            </w: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3</w:t>
            </w:r>
            <w:r>
              <w:rPr>
                <w:rFonts w:hint="eastAsia" w:eastAsia="仿宋_GB2312"/>
                <w:kern w:val="0"/>
                <w:szCs w:val="21"/>
                <w:lang w:eastAsia="zh-CN"/>
              </w:rPr>
              <w:t>．</w:t>
            </w:r>
            <w:r>
              <w:rPr>
                <w:rFonts w:hint="eastAsia" w:eastAsia="仿宋_GB2312"/>
                <w:kern w:val="0"/>
                <w:szCs w:val="21"/>
              </w:rPr>
              <w:t>项目管理</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建立督导检查、考核评估的工作机制，定期了解各项工作进展，听取政府各部门和居民的工作建议。</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（3）每开展1次督导和技术指导，提出有针对性的工作建议，得5分，最高20分。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20</w:t>
            </w:r>
          </w:p>
        </w:tc>
        <w:tc>
          <w:tcPr>
            <w:tcW w:w="1035" w:type="dxa"/>
            <w:vMerge w:val="restart"/>
            <w:noWrap/>
            <w:vAlign w:val="center"/>
          </w:tcPr>
          <w:p>
            <w:pPr>
              <w:widowControl/>
              <w:spacing w:line="280" w:lineRule="exact"/>
              <w:jc w:val="center"/>
              <w:rPr>
                <w:rFonts w:hint="eastAsia" w:eastAsia="仿宋_GB2312"/>
                <w:kern w:val="0"/>
                <w:sz w:val="21"/>
                <w:szCs w:val="21"/>
              </w:rPr>
            </w:pPr>
            <w:r>
              <w:rPr>
                <w:rFonts w:hint="eastAsia" w:eastAsia="仿宋_GB2312"/>
                <w:kern w:val="0"/>
                <w:sz w:val="21"/>
                <w:szCs w:val="21"/>
              </w:rPr>
              <w:t>听取汇报</w:t>
            </w:r>
          </w:p>
          <w:p>
            <w:pPr>
              <w:spacing w:line="280" w:lineRule="exact"/>
              <w:jc w:val="center"/>
              <w:rPr>
                <w:rFonts w:hint="eastAsia" w:eastAsia="仿宋_GB2312"/>
                <w:kern w:val="0"/>
                <w:szCs w:val="21"/>
              </w:rPr>
            </w:pPr>
            <w:r>
              <w:rPr>
                <w:rFonts w:hint="eastAsia" w:eastAsia="仿宋_GB2312"/>
                <w:kern w:val="0"/>
                <w:sz w:val="21"/>
                <w:szCs w:val="21"/>
              </w:rPr>
              <w:t>查阅资料</w:t>
            </w: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定期监测项目组织实施情况，开展项目技术评估。</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（4）完成健康促进县（区）评估人群健康调查，得10分。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default" w:eastAsia="仿宋_GB2312"/>
                <w:color w:val="000000"/>
                <w:kern w:val="0"/>
                <w:sz w:val="21"/>
                <w:szCs w:val="21"/>
                <w:lang w:val="en"/>
              </w:rPr>
            </w:pPr>
            <w:r>
              <w:rPr>
                <w:rFonts w:hint="default" w:eastAsia="仿宋_GB2312"/>
                <w:color w:val="000000"/>
                <w:kern w:val="0"/>
                <w:sz w:val="21"/>
                <w:szCs w:val="21"/>
                <w:lang w:val="en"/>
              </w:rPr>
              <w:t>健康区工作办公室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（5）有各类场所建设过程评估资料，得10分。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default" w:eastAsia="仿宋_GB2312"/>
                <w:color w:val="000000"/>
                <w:kern w:val="0"/>
                <w:sz w:val="21"/>
                <w:szCs w:val="21"/>
                <w:lang w:val="en"/>
              </w:rPr>
            </w:pPr>
            <w:r>
              <w:rPr>
                <w:rFonts w:hint="default" w:eastAsia="仿宋_GB2312"/>
                <w:color w:val="000000"/>
                <w:kern w:val="0"/>
                <w:sz w:val="21"/>
                <w:szCs w:val="21"/>
                <w:lang w:val="en"/>
              </w:rPr>
              <w:t>健康区工作办公室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52" w:type="dxa"/>
            <w:vMerge w:val="restart"/>
            <w:noWrap/>
            <w:tcMar>
              <w:top w:w="0" w:type="dxa"/>
              <w:left w:w="57" w:type="dxa"/>
              <w:bottom w:w="0" w:type="dxa"/>
              <w:right w:w="57" w:type="dxa"/>
            </w:tcMar>
            <w:vAlign w:val="center"/>
          </w:tcPr>
          <w:p>
            <w:pPr>
              <w:widowControl/>
              <w:spacing w:line="280" w:lineRule="exact"/>
              <w:jc w:val="both"/>
              <w:rPr>
                <w:rFonts w:hint="eastAsia" w:eastAsia="仿宋_GB2312"/>
                <w:kern w:val="0"/>
                <w:szCs w:val="21"/>
              </w:rPr>
            </w:pPr>
            <w:r>
              <w:rPr>
                <w:rFonts w:hint="eastAsia" w:eastAsia="仿宋_GB2312"/>
                <w:kern w:val="0"/>
                <w:szCs w:val="21"/>
              </w:rPr>
              <w:t>二、健康政策（150分）</w:t>
            </w: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1</w:t>
            </w:r>
            <w:r>
              <w:rPr>
                <w:rFonts w:hint="eastAsia" w:eastAsia="仿宋_GB2312"/>
                <w:kern w:val="0"/>
                <w:szCs w:val="21"/>
                <w:lang w:eastAsia="zh-CN"/>
              </w:rPr>
              <w:t>．</w:t>
            </w:r>
            <w:r>
              <w:rPr>
                <w:rFonts w:hint="eastAsia" w:eastAsia="仿宋_GB2312"/>
                <w:kern w:val="0"/>
                <w:szCs w:val="21"/>
              </w:rPr>
              <w:t>宣传普及</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卫生健康部门主动向各级党政领导和部门负责人宣讲“将健康融入所有政策”的概念和意义。</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（1）举办“将健康融入所有政策”策略专题讲座或培训班，得10分。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eastAsia" w:eastAsia="仿宋_GB2312"/>
                <w:color w:val="000000"/>
                <w:kern w:val="0"/>
                <w:sz w:val="21"/>
                <w:szCs w:val="21"/>
              </w:rPr>
              <w:t>各部门、各镇街、</w:t>
            </w: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（2）工作网络和专业网络人员参加，得10分。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2</w:t>
            </w:r>
            <w:r>
              <w:rPr>
                <w:rFonts w:hint="eastAsia" w:eastAsia="仿宋_GB2312"/>
                <w:kern w:val="0"/>
                <w:szCs w:val="21"/>
                <w:lang w:eastAsia="zh-CN"/>
              </w:rPr>
              <w:t>．</w:t>
            </w:r>
            <w:r>
              <w:rPr>
                <w:rFonts w:hint="eastAsia" w:eastAsia="仿宋_GB2312"/>
                <w:kern w:val="0"/>
                <w:szCs w:val="21"/>
              </w:rPr>
              <w:t>公共政策健康审查制度</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成立健康专家委员会。建立公共政策审查制度。相关部门在提出、起草、修订、发布等政策制定环节，征求健康专家委员会的意见。</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（1）成立健康专家委员会，得15分。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（2）建立公共政策审查制度。相关部门在提出、起草、修订、发布等政策制定环节有专家委员会或健康领域行政人员和专家的参与，得15分。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3</w:t>
            </w:r>
            <w:r>
              <w:rPr>
                <w:rFonts w:hint="eastAsia" w:eastAsia="仿宋_GB2312"/>
                <w:kern w:val="0"/>
                <w:szCs w:val="21"/>
                <w:lang w:eastAsia="zh-CN"/>
              </w:rPr>
              <w:t>．</w:t>
            </w:r>
            <w:r>
              <w:rPr>
                <w:rFonts w:hint="eastAsia" w:eastAsia="仿宋_GB2312"/>
                <w:kern w:val="0"/>
                <w:szCs w:val="21"/>
              </w:rPr>
              <w:t>政策制定</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相关部门和乡镇（街道）梳理本部门与健康相关的公共政策，补充、修订或新制定促进健康的公共政策。</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（1）梳理政府部门政策情况，每梳理一个部门政策得3分，最高20分。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20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（2）参与政府和相关部门补充、修订与健康有关的公共政策，每制定1条政策得5分，最多30分。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30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4</w:t>
            </w:r>
            <w:r>
              <w:rPr>
                <w:rFonts w:hint="eastAsia" w:eastAsia="仿宋_GB2312"/>
                <w:kern w:val="0"/>
                <w:szCs w:val="21"/>
                <w:lang w:eastAsia="zh-CN"/>
              </w:rPr>
              <w:t>．</w:t>
            </w:r>
            <w:r>
              <w:rPr>
                <w:rFonts w:hint="eastAsia" w:eastAsia="仿宋_GB2312"/>
                <w:kern w:val="0"/>
                <w:szCs w:val="21"/>
              </w:rPr>
              <w:t>跨部门行动</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针对当地需要优先应对的健康问题，开展跨部门健康行动。在多部门协作、资源统筹、社会动员、健康管理、健康产业等方面取得创新。</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（1）联合多个部门开展针对重点健康问题和重点人群的健康行动，每个行动得5分，最高30分。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30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（2）每类创新得5分，最高20分。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20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52" w:type="dxa"/>
            <w:noWrap/>
            <w:vAlign w:val="center"/>
          </w:tcPr>
          <w:p>
            <w:pPr>
              <w:pStyle w:val="2"/>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一级指标</w:t>
            </w:r>
          </w:p>
        </w:tc>
        <w:tc>
          <w:tcPr>
            <w:tcW w:w="1282"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二级指标</w:t>
            </w:r>
          </w:p>
        </w:tc>
        <w:tc>
          <w:tcPr>
            <w:tcW w:w="3052"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指标解释</w:t>
            </w:r>
          </w:p>
        </w:tc>
        <w:tc>
          <w:tcPr>
            <w:tcW w:w="4121"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评分标准</w:t>
            </w:r>
          </w:p>
        </w:tc>
        <w:tc>
          <w:tcPr>
            <w:tcW w:w="736" w:type="dxa"/>
            <w:noWrap/>
            <w:vAlign w:val="center"/>
          </w:tcPr>
          <w:p>
            <w:pPr>
              <w:pStyle w:val="2"/>
              <w:widowControl w:val="0"/>
              <w:spacing w:line="320" w:lineRule="exact"/>
              <w:ind w:firstLine="0" w:firstLineChars="0"/>
              <w:jc w:val="center"/>
              <w:rPr>
                <w:rFonts w:hint="eastAsia" w:eastAsia="黑体"/>
                <w:bCs/>
                <w:kern w:val="0"/>
                <w:szCs w:val="21"/>
              </w:rPr>
            </w:pPr>
            <w:r>
              <w:rPr>
                <w:rFonts w:hAnsi="黑体" w:eastAsia="黑体"/>
                <w:bCs/>
                <w:kern w:val="0"/>
                <w:szCs w:val="21"/>
              </w:rPr>
              <w:t>权重</w:t>
            </w:r>
          </w:p>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int="eastAsia" w:hAnsi="黑体" w:eastAsia="黑体"/>
                <w:bCs/>
                <w:kern w:val="0"/>
                <w:szCs w:val="21"/>
              </w:rPr>
              <w:t>（</w:t>
            </w:r>
            <w:r>
              <w:rPr>
                <w:rFonts w:hAnsi="黑体" w:eastAsia="黑体"/>
                <w:bCs/>
                <w:kern w:val="0"/>
                <w:szCs w:val="21"/>
              </w:rPr>
              <w:t>分</w:t>
            </w:r>
            <w:r>
              <w:rPr>
                <w:rFonts w:hint="eastAsia" w:hAnsi="黑体" w:eastAsia="黑体"/>
                <w:bCs/>
                <w:kern w:val="0"/>
                <w:szCs w:val="21"/>
              </w:rPr>
              <w:t>）</w:t>
            </w:r>
          </w:p>
        </w:tc>
        <w:tc>
          <w:tcPr>
            <w:tcW w:w="1035"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评估办法</w:t>
            </w:r>
          </w:p>
        </w:tc>
        <w:tc>
          <w:tcPr>
            <w:tcW w:w="1295"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blHeader/>
        </w:trPr>
        <w:tc>
          <w:tcPr>
            <w:tcW w:w="1252" w:type="dxa"/>
            <w:vMerge w:val="restart"/>
            <w:noWrap/>
            <w:vAlign w:val="center"/>
          </w:tcPr>
          <w:p>
            <w:pPr>
              <w:widowControl/>
              <w:numPr>
                <w:ilvl w:val="0"/>
                <w:numId w:val="0"/>
              </w:numPr>
              <w:spacing w:line="280" w:lineRule="exact"/>
              <w:jc w:val="both"/>
              <w:rPr>
                <w:rFonts w:hint="eastAsia" w:eastAsia="仿宋_GB2312"/>
                <w:kern w:val="0"/>
                <w:szCs w:val="21"/>
              </w:rPr>
            </w:pPr>
            <w:r>
              <w:rPr>
                <w:rFonts w:hint="eastAsia" w:eastAsia="仿宋_GB2312"/>
                <w:kern w:val="0"/>
                <w:szCs w:val="21"/>
                <w:lang w:eastAsia="zh-CN"/>
              </w:rPr>
              <w:t>三、</w:t>
            </w:r>
            <w:r>
              <w:rPr>
                <w:rFonts w:hint="eastAsia" w:eastAsia="仿宋_GB2312"/>
                <w:kern w:val="0"/>
                <w:szCs w:val="21"/>
              </w:rPr>
              <w:t>健康场所（250分）</w:t>
            </w:r>
          </w:p>
        </w:tc>
        <w:tc>
          <w:tcPr>
            <w:tcW w:w="1282" w:type="dxa"/>
            <w:vMerge w:val="restart"/>
            <w:noWrap/>
            <w:vAlign w:val="center"/>
          </w:tcPr>
          <w:p>
            <w:pPr>
              <w:widowControl/>
              <w:spacing w:line="280" w:lineRule="exact"/>
              <w:jc w:val="center"/>
              <w:rPr>
                <w:rFonts w:hint="eastAsia" w:eastAsia="仿宋_GB2312"/>
                <w:kern w:val="0"/>
                <w:szCs w:val="21"/>
                <w:lang w:eastAsia="zh-CN"/>
              </w:rPr>
            </w:pPr>
            <w:r>
              <w:rPr>
                <w:rFonts w:hint="eastAsia" w:eastAsia="仿宋_GB2312"/>
                <w:kern w:val="0"/>
                <w:szCs w:val="21"/>
              </w:rPr>
              <w:t>1</w:t>
            </w:r>
            <w:r>
              <w:rPr>
                <w:rFonts w:hint="eastAsia" w:eastAsia="仿宋_GB2312"/>
                <w:kern w:val="0"/>
                <w:szCs w:val="21"/>
                <w:lang w:eastAsia="zh-CN"/>
              </w:rPr>
              <w:t>．</w:t>
            </w:r>
            <w:r>
              <w:rPr>
                <w:rFonts w:hint="eastAsia" w:eastAsia="仿宋_GB2312"/>
                <w:kern w:val="0"/>
                <w:szCs w:val="21"/>
              </w:rPr>
              <w:t>健康</w:t>
            </w:r>
            <w:r>
              <w:rPr>
                <w:rFonts w:hint="eastAsia" w:eastAsia="仿宋_GB2312"/>
                <w:kern w:val="0"/>
                <w:szCs w:val="21"/>
                <w:lang w:eastAsia="zh-CN"/>
              </w:rPr>
              <w:t>社区/村</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建立健康社区</w:t>
            </w:r>
            <w:r>
              <w:rPr>
                <w:rFonts w:hint="eastAsia" w:eastAsia="仿宋_GB2312"/>
                <w:kern w:val="0"/>
                <w:szCs w:val="21"/>
                <w:lang w:eastAsia="zh-CN"/>
              </w:rPr>
              <w:t>、</w:t>
            </w:r>
            <w:r>
              <w:rPr>
                <w:rFonts w:hint="eastAsia" w:eastAsia="仿宋_GB2312"/>
                <w:kern w:val="0"/>
                <w:szCs w:val="21"/>
              </w:rPr>
              <w:t>健康村工作机制，建设20%健康社区和健康村。</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（1）有区域健康社区建设工作计划得5分，有区域健康</w:t>
            </w:r>
            <w:r>
              <w:rPr>
                <w:rFonts w:hint="eastAsia" w:eastAsia="仿宋_GB2312"/>
                <w:kern w:val="0"/>
                <w:szCs w:val="21"/>
                <w:lang w:eastAsia="zh-CN"/>
              </w:rPr>
              <w:t>社区/村</w:t>
            </w:r>
            <w:r>
              <w:rPr>
                <w:rFonts w:hint="eastAsia" w:eastAsia="仿宋_GB2312"/>
                <w:kern w:val="0"/>
                <w:szCs w:val="21"/>
              </w:rPr>
              <w:t>督导评估报告和工作总结得5分。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听取汇报</w:t>
            </w:r>
          </w:p>
          <w:p>
            <w:pPr>
              <w:widowControl/>
              <w:spacing w:line="280" w:lineRule="exact"/>
              <w:jc w:val="center"/>
              <w:rPr>
                <w:rFonts w:hint="eastAsia" w:eastAsia="仿宋_GB2312"/>
                <w:kern w:val="0"/>
                <w:szCs w:val="21"/>
              </w:rPr>
            </w:pPr>
            <w:r>
              <w:rPr>
                <w:rFonts w:hint="eastAsia" w:eastAsia="仿宋_GB2312"/>
                <w:kern w:val="0"/>
                <w:szCs w:val="21"/>
              </w:rPr>
              <w:t>查阅资料</w:t>
            </w:r>
          </w:p>
          <w:p>
            <w:pPr>
              <w:widowControl/>
              <w:spacing w:line="280" w:lineRule="exact"/>
              <w:jc w:val="center"/>
              <w:rPr>
                <w:rFonts w:hint="eastAsia" w:eastAsia="仿宋_GB2312"/>
                <w:kern w:val="0"/>
                <w:szCs w:val="21"/>
              </w:rPr>
            </w:pPr>
            <w:r>
              <w:rPr>
                <w:rFonts w:hint="eastAsia" w:eastAsia="仿宋_GB2312"/>
                <w:kern w:val="0"/>
                <w:szCs w:val="21"/>
              </w:rPr>
              <w:t>现场查看</w:t>
            </w:r>
          </w:p>
          <w:p>
            <w:pPr>
              <w:widowControl/>
              <w:spacing w:line="280" w:lineRule="exact"/>
              <w:jc w:val="center"/>
              <w:rPr>
                <w:rFonts w:hint="eastAsia" w:eastAsia="仿宋_GB2312"/>
                <w:kern w:val="0"/>
                <w:szCs w:val="21"/>
              </w:rPr>
            </w:pPr>
            <w:r>
              <w:rPr>
                <w:rFonts w:hint="eastAsia" w:eastAsia="仿宋_GB2312"/>
                <w:kern w:val="0"/>
                <w:szCs w:val="21"/>
              </w:rPr>
              <w:t>快速测评</w:t>
            </w: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（2）至少整理6个健康</w:t>
            </w:r>
            <w:r>
              <w:rPr>
                <w:rFonts w:hint="eastAsia" w:eastAsia="仿宋_GB2312"/>
                <w:kern w:val="0"/>
                <w:szCs w:val="21"/>
                <w:lang w:eastAsia="zh-CN"/>
              </w:rPr>
              <w:t>社区/村</w:t>
            </w:r>
            <w:r>
              <w:rPr>
                <w:rFonts w:hint="eastAsia" w:eastAsia="仿宋_GB2312"/>
                <w:kern w:val="0"/>
                <w:szCs w:val="21"/>
              </w:rPr>
              <w:t>建设档案，得5分。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（3）有20%达标</w:t>
            </w:r>
            <w:r>
              <w:rPr>
                <w:rFonts w:hint="eastAsia" w:eastAsia="仿宋_GB2312"/>
                <w:kern w:val="0"/>
                <w:szCs w:val="21"/>
                <w:lang w:eastAsia="zh-CN"/>
              </w:rPr>
              <w:t>的</w:t>
            </w:r>
            <w:r>
              <w:rPr>
                <w:rFonts w:hint="eastAsia" w:eastAsia="仿宋_GB2312"/>
                <w:kern w:val="0"/>
                <w:szCs w:val="21"/>
              </w:rPr>
              <w:t>健康社区和健康村名单得10分，有10%得5分。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（4）在达标</w:t>
            </w:r>
            <w:r>
              <w:rPr>
                <w:rFonts w:hint="eastAsia" w:eastAsia="仿宋_GB2312"/>
                <w:kern w:val="0"/>
                <w:szCs w:val="21"/>
                <w:lang w:eastAsia="zh-CN"/>
              </w:rPr>
              <w:t>社区/村</w:t>
            </w:r>
            <w:r>
              <w:rPr>
                <w:rFonts w:hint="eastAsia" w:eastAsia="仿宋_GB2312"/>
                <w:kern w:val="0"/>
                <w:szCs w:val="21"/>
              </w:rPr>
              <w:t>名单中，随机抽取1个</w:t>
            </w:r>
            <w:r>
              <w:rPr>
                <w:rFonts w:hint="eastAsia" w:eastAsia="仿宋_GB2312"/>
                <w:kern w:val="0"/>
                <w:szCs w:val="21"/>
                <w:lang w:eastAsia="zh-CN"/>
              </w:rPr>
              <w:t>社区/村</w:t>
            </w:r>
            <w:r>
              <w:rPr>
                <w:rFonts w:hint="eastAsia" w:eastAsia="仿宋_GB2312"/>
                <w:kern w:val="0"/>
                <w:szCs w:val="21"/>
              </w:rPr>
              <w:t>开展现场考核，记录现场考核得分，最高15分。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2</w:t>
            </w:r>
            <w:r>
              <w:rPr>
                <w:rFonts w:hint="eastAsia" w:eastAsia="仿宋_GB2312"/>
                <w:kern w:val="0"/>
                <w:szCs w:val="21"/>
                <w:lang w:eastAsia="zh-CN"/>
              </w:rPr>
              <w:t>．</w:t>
            </w:r>
            <w:r>
              <w:rPr>
                <w:rFonts w:hint="eastAsia" w:eastAsia="仿宋_GB2312"/>
                <w:kern w:val="0"/>
                <w:szCs w:val="21"/>
              </w:rPr>
              <w:t>健康家庭</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建立健康家庭评选工作机制，建设20%健康家庭，评选一批示范健康家庭。</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（1）有健康家庭建设工作方案和总结资料得10分。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（2）有100户示范健康家庭名单得5分，有50户得3分。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（3）至少整理10户健康家庭档案，得5分。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3</w:t>
            </w:r>
            <w:r>
              <w:rPr>
                <w:rFonts w:hint="default" w:eastAsia="仿宋_GB2312"/>
                <w:kern w:val="0"/>
                <w:szCs w:val="21"/>
                <w:lang w:val="en"/>
              </w:rPr>
              <w:t>．</w:t>
            </w:r>
            <w:r>
              <w:rPr>
                <w:rFonts w:hint="eastAsia" w:eastAsia="仿宋_GB2312"/>
                <w:kern w:val="0"/>
                <w:szCs w:val="21"/>
              </w:rPr>
              <w:t>健康促进医院</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建立健康</w:t>
            </w:r>
            <w:r>
              <w:rPr>
                <w:rFonts w:hint="eastAsia" w:eastAsia="仿宋_GB2312"/>
                <w:kern w:val="0"/>
                <w:szCs w:val="21"/>
                <w:lang w:eastAsia="zh-CN"/>
              </w:rPr>
              <w:t>（</w:t>
            </w:r>
            <w:r>
              <w:rPr>
                <w:rFonts w:hint="eastAsia" w:eastAsia="仿宋_GB2312"/>
                <w:kern w:val="0"/>
                <w:szCs w:val="21"/>
              </w:rPr>
              <w:t>促进</w:t>
            </w:r>
            <w:r>
              <w:rPr>
                <w:rFonts w:hint="eastAsia" w:eastAsia="仿宋_GB2312"/>
                <w:kern w:val="0"/>
                <w:szCs w:val="21"/>
                <w:lang w:eastAsia="zh-CN"/>
              </w:rPr>
              <w:t>）</w:t>
            </w:r>
            <w:r>
              <w:rPr>
                <w:rFonts w:hint="eastAsia" w:eastAsia="仿宋_GB2312"/>
                <w:kern w:val="0"/>
                <w:szCs w:val="21"/>
              </w:rPr>
              <w:t>医院建设工作机制，建设40%健康</w:t>
            </w:r>
            <w:r>
              <w:rPr>
                <w:rFonts w:hint="eastAsia" w:eastAsia="仿宋_GB2312"/>
                <w:kern w:val="0"/>
                <w:szCs w:val="21"/>
                <w:lang w:eastAsia="zh-CN"/>
              </w:rPr>
              <w:t>（</w:t>
            </w:r>
            <w:r>
              <w:rPr>
                <w:rFonts w:hint="eastAsia" w:eastAsia="仿宋_GB2312"/>
                <w:kern w:val="0"/>
                <w:szCs w:val="21"/>
              </w:rPr>
              <w:t>促进</w:t>
            </w:r>
            <w:r>
              <w:rPr>
                <w:rFonts w:hint="eastAsia" w:eastAsia="仿宋_GB2312"/>
                <w:kern w:val="0"/>
                <w:szCs w:val="21"/>
                <w:lang w:eastAsia="zh-CN"/>
              </w:rPr>
              <w:t>）</w:t>
            </w:r>
            <w:r>
              <w:rPr>
                <w:rFonts w:hint="eastAsia" w:eastAsia="仿宋_GB2312"/>
                <w:kern w:val="0"/>
                <w:szCs w:val="21"/>
              </w:rPr>
              <w:t>医院（包括综合医院、专科医院、基层医疗卫生机构、计划生育技术服务机构）。</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（1）有区域健康促进医院、无烟卫生健康单位建设方案得5分，有督导报告和工作总结得5分。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（2）有40%达标的健康促进医院名单得10分，有30%达标的健康促进医院名单得5分。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（3）至少整理3个健康促进医院建设档案，得5分。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blHeader/>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（4）在达标医疗卫生机构名单中，随机抽取1个医疗卫生机构开展现场考核，记录现场考核得分，最高15分。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1252" w:type="dxa"/>
            <w:noWrap/>
            <w:vAlign w:val="center"/>
          </w:tcPr>
          <w:p>
            <w:pPr>
              <w:pStyle w:val="2"/>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一级指标</w:t>
            </w:r>
          </w:p>
        </w:tc>
        <w:tc>
          <w:tcPr>
            <w:tcW w:w="1282"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二级指标</w:t>
            </w:r>
          </w:p>
        </w:tc>
        <w:tc>
          <w:tcPr>
            <w:tcW w:w="3052"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指标解释</w:t>
            </w:r>
          </w:p>
        </w:tc>
        <w:tc>
          <w:tcPr>
            <w:tcW w:w="4121"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评分标准</w:t>
            </w:r>
          </w:p>
        </w:tc>
        <w:tc>
          <w:tcPr>
            <w:tcW w:w="736" w:type="dxa"/>
            <w:noWrap/>
            <w:vAlign w:val="center"/>
          </w:tcPr>
          <w:p>
            <w:pPr>
              <w:pStyle w:val="2"/>
              <w:widowControl w:val="0"/>
              <w:spacing w:line="320" w:lineRule="exact"/>
              <w:ind w:firstLine="0" w:firstLineChars="0"/>
              <w:jc w:val="center"/>
              <w:rPr>
                <w:rFonts w:hint="eastAsia" w:eastAsia="黑体"/>
                <w:bCs/>
                <w:kern w:val="0"/>
                <w:szCs w:val="21"/>
              </w:rPr>
            </w:pPr>
            <w:r>
              <w:rPr>
                <w:rFonts w:hAnsi="黑体" w:eastAsia="黑体"/>
                <w:bCs/>
                <w:kern w:val="0"/>
                <w:szCs w:val="21"/>
              </w:rPr>
              <w:t>权重</w:t>
            </w:r>
          </w:p>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int="eastAsia" w:hAnsi="黑体" w:eastAsia="黑体"/>
                <w:bCs/>
                <w:kern w:val="0"/>
                <w:szCs w:val="21"/>
              </w:rPr>
              <w:t>（</w:t>
            </w:r>
            <w:r>
              <w:rPr>
                <w:rFonts w:hAnsi="黑体" w:eastAsia="黑体"/>
                <w:bCs/>
                <w:kern w:val="0"/>
                <w:szCs w:val="21"/>
              </w:rPr>
              <w:t>分</w:t>
            </w:r>
            <w:r>
              <w:rPr>
                <w:rFonts w:hint="eastAsia" w:hAnsi="黑体" w:eastAsia="黑体"/>
                <w:bCs/>
                <w:kern w:val="0"/>
                <w:szCs w:val="21"/>
              </w:rPr>
              <w:t>）</w:t>
            </w:r>
          </w:p>
        </w:tc>
        <w:tc>
          <w:tcPr>
            <w:tcW w:w="1035"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评估办法</w:t>
            </w:r>
          </w:p>
        </w:tc>
        <w:tc>
          <w:tcPr>
            <w:tcW w:w="1295" w:type="dxa"/>
            <w:noWrap/>
            <w:vAlign w:val="center"/>
          </w:tcPr>
          <w:p>
            <w:pPr>
              <w:pStyle w:val="2"/>
              <w:widowControl w:val="0"/>
              <w:spacing w:line="320" w:lineRule="exact"/>
              <w:ind w:firstLine="0" w:firstLineChars="0"/>
              <w:jc w:val="center"/>
              <w:rPr>
                <w:rFonts w:hint="eastAsia" w:ascii="Times New Roman" w:hAnsi="Times New Roman" w:eastAsia="黑体" w:cs="Times New Roman"/>
                <w:bCs/>
                <w:kern w:val="0"/>
                <w:sz w:val="21"/>
                <w:szCs w:val="21"/>
                <w:lang w:val="en-US" w:eastAsia="zh-CN" w:bidi="ar-SA"/>
              </w:rPr>
            </w:pPr>
            <w:r>
              <w:rPr>
                <w:rFonts w:hAnsi="黑体" w:eastAsia="黑体"/>
                <w:bCs/>
                <w:kern w:val="0"/>
                <w:szCs w:val="21"/>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三、健康场所（250分）</w:t>
            </w: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4</w:t>
            </w:r>
            <w:r>
              <w:rPr>
                <w:rFonts w:hint="default" w:eastAsia="仿宋_GB2312"/>
                <w:kern w:val="0"/>
                <w:szCs w:val="21"/>
                <w:lang w:val="en"/>
              </w:rPr>
              <w:t>．</w:t>
            </w:r>
            <w:r>
              <w:rPr>
                <w:rFonts w:hint="eastAsia" w:eastAsia="仿宋_GB2312"/>
                <w:kern w:val="0"/>
                <w:szCs w:val="21"/>
              </w:rPr>
              <w:t>健康（促进）学校</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建立健康促进学校工作机制，建设一定比例的健康（促进）学校。</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（1）有区域健康（促进）学校建设方案得5分，有督导报告和工作总结得5分。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听取汇报</w:t>
            </w:r>
          </w:p>
          <w:p>
            <w:pPr>
              <w:widowControl/>
              <w:spacing w:line="280" w:lineRule="exact"/>
              <w:jc w:val="center"/>
              <w:rPr>
                <w:rFonts w:hint="eastAsia" w:eastAsia="仿宋_GB2312"/>
                <w:kern w:val="0"/>
                <w:szCs w:val="21"/>
              </w:rPr>
            </w:pPr>
            <w:r>
              <w:rPr>
                <w:rFonts w:hint="eastAsia" w:eastAsia="仿宋_GB2312"/>
                <w:kern w:val="0"/>
                <w:szCs w:val="21"/>
              </w:rPr>
              <w:t>查阅资料</w:t>
            </w:r>
          </w:p>
          <w:p>
            <w:pPr>
              <w:widowControl/>
              <w:spacing w:line="280" w:lineRule="exact"/>
              <w:jc w:val="center"/>
              <w:rPr>
                <w:rFonts w:hint="eastAsia" w:eastAsia="仿宋_GB2312"/>
                <w:kern w:val="0"/>
                <w:szCs w:val="21"/>
              </w:rPr>
            </w:pPr>
            <w:r>
              <w:rPr>
                <w:rFonts w:hint="eastAsia" w:eastAsia="仿宋_GB2312"/>
                <w:kern w:val="0"/>
                <w:szCs w:val="21"/>
              </w:rPr>
              <w:t>现场查看</w:t>
            </w:r>
          </w:p>
          <w:p>
            <w:pPr>
              <w:widowControl/>
              <w:spacing w:line="280" w:lineRule="exact"/>
              <w:jc w:val="center"/>
              <w:rPr>
                <w:rFonts w:hint="eastAsia" w:eastAsia="仿宋_GB2312"/>
                <w:kern w:val="0"/>
                <w:szCs w:val="21"/>
              </w:rPr>
            </w:pPr>
            <w:r>
              <w:rPr>
                <w:rFonts w:hint="eastAsia" w:eastAsia="仿宋_GB2312"/>
                <w:kern w:val="0"/>
                <w:szCs w:val="21"/>
              </w:rPr>
              <w:t>快速测评</w:t>
            </w: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（2）有50%达标的健康（促进）学校名单得10分，有30%达标的健康（促进）学校名单得5分。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（3）至少整理3个健康（促进）学校档案，得5分。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（4）在达标健康（促进）学校名单中，随机抽取1个学校开展现场考核，记录现场考核得分，最高15分。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5</w:t>
            </w:r>
            <w:r>
              <w:rPr>
                <w:rFonts w:hint="default" w:eastAsia="仿宋_GB2312"/>
                <w:kern w:val="0"/>
                <w:szCs w:val="21"/>
                <w:lang w:val="en"/>
              </w:rPr>
              <w:t>．</w:t>
            </w:r>
            <w:r>
              <w:rPr>
                <w:rFonts w:hint="eastAsia" w:eastAsia="仿宋_GB2312"/>
                <w:kern w:val="0"/>
                <w:szCs w:val="21"/>
              </w:rPr>
              <w:t>健康（促进）机关（单位）</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建立健康（促进）机关（单位）工作机制，建设一定比例的健康（促进）机关（单位）。</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（1）有区域健康（促进）机关（单位）建设方案得5分，有督导报告和工作总结得5分。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default" w:eastAsia="仿宋_GB2312"/>
                <w:color w:val="000000"/>
                <w:kern w:val="0"/>
                <w:szCs w:val="21"/>
                <w:lang w:val="en"/>
              </w:rPr>
              <w:t>健康区工作办公室</w:t>
            </w:r>
            <w:r>
              <w:rPr>
                <w:rFonts w:hint="eastAsia" w:eastAsia="仿宋_GB2312"/>
                <w:color w:val="000000"/>
                <w:kern w:val="0"/>
                <w:sz w:val="21"/>
                <w:szCs w:val="21"/>
              </w:rPr>
              <w:t>、各机关、事业单位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（2）有50%达标的健康（促进）机关（单位）名单得10分，有30%达标的健康（促进）机关（单位）名单得5分。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default" w:eastAsia="仿宋_GB2312"/>
                <w:color w:val="000000"/>
                <w:kern w:val="0"/>
                <w:sz w:val="21"/>
                <w:szCs w:val="21"/>
                <w:lang w:val="en"/>
              </w:rPr>
              <w:t>健康区工作办公室</w:t>
            </w:r>
            <w:r>
              <w:rPr>
                <w:rFonts w:hint="eastAsia" w:eastAsia="仿宋_GB2312"/>
                <w:color w:val="000000"/>
                <w:kern w:val="0"/>
                <w:sz w:val="21"/>
                <w:szCs w:val="21"/>
              </w:rPr>
              <w:t>、各机关、事业单位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（3）至少整理3个健康（促进）机关（单位）档案，得5分。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default" w:eastAsia="仿宋_GB2312"/>
                <w:color w:val="000000"/>
                <w:kern w:val="0"/>
                <w:sz w:val="21"/>
                <w:szCs w:val="21"/>
                <w:lang w:val="en"/>
              </w:rPr>
              <w:t>健康区工作办公室</w:t>
            </w:r>
            <w:r>
              <w:rPr>
                <w:rFonts w:hint="eastAsia" w:eastAsia="仿宋_GB2312"/>
                <w:color w:val="000000"/>
                <w:kern w:val="0"/>
                <w:sz w:val="21"/>
                <w:szCs w:val="21"/>
              </w:rPr>
              <w:t>、各机关、事业单位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（4）在达标健康（促进）机关（单位）名单中，随机抽取1个机关开展现场考核，记录现场考核得分，最高15分。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default" w:eastAsia="仿宋_GB2312"/>
                <w:color w:val="000000"/>
                <w:kern w:val="0"/>
                <w:sz w:val="21"/>
                <w:szCs w:val="21"/>
                <w:lang w:val="en"/>
              </w:rPr>
              <w:t>健康区工作办公室</w:t>
            </w:r>
            <w:r>
              <w:rPr>
                <w:rFonts w:hint="eastAsia" w:eastAsia="仿宋_GB2312"/>
                <w:color w:val="000000"/>
                <w:kern w:val="0"/>
                <w:sz w:val="21"/>
                <w:szCs w:val="21"/>
              </w:rPr>
              <w:t>、各机关、事业单位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三、健康场所（250分）</w:t>
            </w: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6</w:t>
            </w:r>
            <w:r>
              <w:rPr>
                <w:rFonts w:hint="default" w:eastAsia="仿宋_GB2312"/>
                <w:kern w:val="0"/>
                <w:szCs w:val="21"/>
                <w:lang w:val="en"/>
              </w:rPr>
              <w:t>．</w:t>
            </w:r>
            <w:r>
              <w:rPr>
                <w:rFonts w:hint="eastAsia" w:eastAsia="仿宋_GB2312"/>
                <w:kern w:val="0"/>
                <w:szCs w:val="21"/>
              </w:rPr>
              <w:t>健康（促进）企业</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建立健康（促进）企业工作机制，建设一定比例的健康（促进）企业。</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（1）有区域健康（促进）企业建设方案得5分，有督导报告和工作总结得5分。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听取汇报</w:t>
            </w:r>
          </w:p>
          <w:p>
            <w:pPr>
              <w:widowControl/>
              <w:spacing w:line="280" w:lineRule="exact"/>
              <w:jc w:val="center"/>
              <w:rPr>
                <w:rFonts w:hint="eastAsia" w:eastAsia="仿宋_GB2312"/>
                <w:kern w:val="0"/>
                <w:szCs w:val="21"/>
              </w:rPr>
            </w:pPr>
            <w:r>
              <w:rPr>
                <w:rFonts w:hint="eastAsia" w:eastAsia="仿宋_GB2312"/>
                <w:kern w:val="0"/>
                <w:szCs w:val="21"/>
              </w:rPr>
              <w:t>查阅资料</w:t>
            </w:r>
          </w:p>
          <w:p>
            <w:pPr>
              <w:widowControl/>
              <w:spacing w:line="280" w:lineRule="exact"/>
              <w:jc w:val="center"/>
              <w:rPr>
                <w:rFonts w:hint="eastAsia" w:eastAsia="仿宋_GB2312"/>
                <w:kern w:val="0"/>
                <w:szCs w:val="21"/>
              </w:rPr>
            </w:pPr>
            <w:r>
              <w:rPr>
                <w:rFonts w:hint="eastAsia" w:eastAsia="仿宋_GB2312"/>
                <w:kern w:val="0"/>
                <w:szCs w:val="21"/>
              </w:rPr>
              <w:t>现场查看</w:t>
            </w:r>
          </w:p>
          <w:p>
            <w:pPr>
              <w:widowControl/>
              <w:spacing w:line="280" w:lineRule="exact"/>
              <w:jc w:val="center"/>
              <w:rPr>
                <w:rFonts w:hint="eastAsia" w:eastAsia="仿宋_GB2312"/>
                <w:kern w:val="0"/>
                <w:szCs w:val="21"/>
              </w:rPr>
            </w:pPr>
            <w:r>
              <w:rPr>
                <w:rFonts w:hint="eastAsia" w:eastAsia="仿宋_GB2312"/>
                <w:kern w:val="0"/>
                <w:szCs w:val="21"/>
              </w:rPr>
              <w:t>快速测评</w:t>
            </w:r>
          </w:p>
        </w:tc>
        <w:tc>
          <w:tcPr>
            <w:tcW w:w="1295" w:type="dxa"/>
            <w:noWrap/>
            <w:vAlign w:val="center"/>
          </w:tcPr>
          <w:p>
            <w:pPr>
              <w:widowControl/>
              <w:spacing w:line="280" w:lineRule="exact"/>
              <w:ind w:left="-19" w:leftChars="-10" w:right="-19" w:rightChars="-10"/>
              <w:rPr>
                <w:rFonts w:hint="eastAsia" w:eastAsia="仿宋_GB2312"/>
                <w:kern w:val="0"/>
                <w:szCs w:val="21"/>
              </w:rPr>
            </w:pPr>
            <w:r>
              <w:rPr>
                <w:rFonts w:hint="eastAsia" w:eastAsia="仿宋_GB2312"/>
                <w:kern w:val="0"/>
                <w:szCs w:val="21"/>
                <w:lang w:eastAsia="zh-CN"/>
              </w:rPr>
              <w:t>工业和信息化</w:t>
            </w:r>
            <w:r>
              <w:rPr>
                <w:rFonts w:hint="eastAsia" w:eastAsia="仿宋_GB2312"/>
                <w:kern w:val="0"/>
                <w:szCs w:val="21"/>
              </w:rPr>
              <w:t>局、国资委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（2）有20%达标的健康（促进）企业名单得10分，有5%达标的健康（促进）企业名单得5分。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eastAsia" w:eastAsia="仿宋_GB2312"/>
                <w:kern w:val="0"/>
                <w:szCs w:val="21"/>
                <w:lang w:eastAsia="zh-CN"/>
              </w:rPr>
              <w:t>工业和信息化</w:t>
            </w:r>
            <w:r>
              <w:rPr>
                <w:rFonts w:hint="eastAsia" w:eastAsia="仿宋_GB2312"/>
                <w:kern w:val="0"/>
                <w:szCs w:val="21"/>
              </w:rPr>
              <w:t>局、国资委</w:t>
            </w:r>
            <w:r>
              <w:rPr>
                <w:rFonts w:hint="eastAsia" w:eastAsia="仿宋_GB2312"/>
                <w:color w:val="000000"/>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（3）至少整理1个健康（促进）企业档案，得5分。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eastAsia" w:eastAsia="仿宋_GB2312"/>
                <w:kern w:val="0"/>
                <w:szCs w:val="21"/>
                <w:lang w:eastAsia="zh-CN"/>
              </w:rPr>
              <w:t>工业和信息化</w:t>
            </w:r>
            <w:r>
              <w:rPr>
                <w:rFonts w:hint="eastAsia" w:eastAsia="仿宋_GB2312"/>
                <w:kern w:val="0"/>
                <w:szCs w:val="21"/>
              </w:rPr>
              <w:t>局、国资委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（4）在达标健康（促进）企业名单中，随机抽取1个企业开展现场考核，记录现场考核得分，最高15分。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eastAsia" w:eastAsia="仿宋_GB2312"/>
                <w:kern w:val="0"/>
                <w:szCs w:val="21"/>
                <w:lang w:eastAsia="zh-CN"/>
              </w:rPr>
              <w:t>工业和信息化</w:t>
            </w:r>
            <w:r>
              <w:rPr>
                <w:rFonts w:hint="eastAsia" w:eastAsia="仿宋_GB2312"/>
                <w:kern w:val="0"/>
                <w:szCs w:val="21"/>
              </w:rPr>
              <w:t>局、国资委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7</w:t>
            </w:r>
            <w:r>
              <w:rPr>
                <w:rFonts w:hint="default" w:eastAsia="仿宋_GB2312"/>
                <w:kern w:val="0"/>
                <w:szCs w:val="21"/>
                <w:lang w:val="en"/>
              </w:rPr>
              <w:t>．</w:t>
            </w:r>
            <w:r>
              <w:rPr>
                <w:rFonts w:hint="eastAsia" w:eastAsia="仿宋_GB2312"/>
                <w:kern w:val="0"/>
                <w:szCs w:val="21"/>
              </w:rPr>
              <w:t>公共环境</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建设健康步道、健康主题公园等公共设施，所有室内公共场所、工作场所和公共交通工具全面禁止吸烟，营造促进健康的公共环境。</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（1）建立无烟环境工作机制，有工作计划得5分，有督导报告得5分。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default" w:eastAsia="仿宋_GB2312"/>
                <w:color w:val="000000"/>
                <w:kern w:val="0"/>
                <w:sz w:val="21"/>
                <w:szCs w:val="21"/>
                <w:lang w:val="en"/>
              </w:rPr>
              <w:t>健康区工作办公室</w:t>
            </w:r>
            <w:r>
              <w:rPr>
                <w:rFonts w:hint="eastAsia" w:eastAsia="仿宋_GB2312"/>
                <w:color w:val="000000"/>
                <w:kern w:val="0"/>
                <w:sz w:val="21"/>
                <w:szCs w:val="21"/>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（2）共同建设1个健康主题公园，得5分。共同建设1条健康步道，得5分。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default" w:eastAsia="仿宋_GB2312"/>
                <w:color w:val="000000"/>
                <w:kern w:val="0"/>
                <w:sz w:val="21"/>
                <w:szCs w:val="21"/>
                <w:lang w:val="en"/>
              </w:rPr>
              <w:t>健康区工作办公室</w:t>
            </w:r>
            <w:r>
              <w:rPr>
                <w:rFonts w:hint="eastAsia" w:eastAsia="仿宋_GB2312"/>
                <w:color w:val="000000"/>
                <w:kern w:val="0"/>
                <w:sz w:val="21"/>
                <w:szCs w:val="21"/>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（3）评估时经过的道路、公共场所和公园步道，有无烟标识、有健康提示、环境卫生无垃圾堆放、无烟头，得10分。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四、健康文化（150分）</w:t>
            </w:r>
          </w:p>
        </w:tc>
        <w:tc>
          <w:tcPr>
            <w:tcW w:w="1282"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1</w:t>
            </w:r>
            <w:r>
              <w:rPr>
                <w:rFonts w:hint="default" w:eastAsia="仿宋_GB2312"/>
                <w:kern w:val="0"/>
                <w:szCs w:val="21"/>
                <w:lang w:val="en"/>
              </w:rPr>
              <w:t>．</w:t>
            </w:r>
            <w:r>
              <w:rPr>
                <w:rFonts w:hint="eastAsia" w:eastAsia="仿宋_GB2312"/>
                <w:kern w:val="0"/>
                <w:szCs w:val="21"/>
              </w:rPr>
              <w:t>媒体合作</w:t>
            </w:r>
          </w:p>
        </w:tc>
        <w:tc>
          <w:tcPr>
            <w:tcW w:w="3052" w:type="dxa"/>
            <w:vMerge w:val="restart"/>
            <w:noWrap/>
            <w:vAlign w:val="center"/>
          </w:tcPr>
          <w:p>
            <w:pPr>
              <w:widowControl/>
              <w:spacing w:line="280" w:lineRule="exact"/>
              <w:rPr>
                <w:rFonts w:hint="eastAsia" w:eastAsia="仿宋_GB2312"/>
                <w:kern w:val="0"/>
                <w:szCs w:val="21"/>
              </w:rPr>
            </w:pPr>
            <w:r>
              <w:rPr>
                <w:rFonts w:hint="eastAsia" w:eastAsia="仿宋_GB2312"/>
                <w:kern w:val="0"/>
                <w:szCs w:val="21"/>
              </w:rPr>
              <w:t>本地电视台、广播电台和报纸开设健康类节目或栏目。定期组织媒体培训会或媒体交流会。</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（1）共同建设满半年的电视台健康节目、广播电台健康节目、报纸健康栏目，分别得5分，不满半年分别得3分，最高15分。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听取汇报</w:t>
            </w:r>
          </w:p>
          <w:p>
            <w:pPr>
              <w:widowControl/>
              <w:spacing w:line="280" w:lineRule="exact"/>
              <w:jc w:val="center"/>
              <w:rPr>
                <w:rFonts w:hint="eastAsia" w:eastAsia="仿宋_GB2312"/>
                <w:kern w:val="0"/>
                <w:szCs w:val="21"/>
              </w:rPr>
            </w:pPr>
            <w:r>
              <w:rPr>
                <w:rFonts w:hint="eastAsia" w:eastAsia="仿宋_GB2312"/>
                <w:kern w:val="0"/>
                <w:szCs w:val="21"/>
              </w:rPr>
              <w:t>查阅资料</w:t>
            </w:r>
          </w:p>
        </w:tc>
        <w:tc>
          <w:tcPr>
            <w:tcW w:w="1295" w:type="dxa"/>
            <w:noWrap/>
            <w:vAlign w:val="center"/>
          </w:tcPr>
          <w:p>
            <w:pPr>
              <w:widowControl/>
              <w:spacing w:line="280" w:lineRule="exact"/>
              <w:ind w:left="-19" w:leftChars="-10" w:right="-19" w:rightChars="-10"/>
              <w:jc w:val="both"/>
              <w:rPr>
                <w:rFonts w:hint="eastAsia" w:eastAsia="仿宋_GB2312"/>
                <w:color w:val="000000"/>
                <w:kern w:val="0"/>
                <w:sz w:val="21"/>
                <w:szCs w:val="21"/>
              </w:rPr>
            </w:pPr>
            <w:r>
              <w:rPr>
                <w:rFonts w:hint="eastAsia" w:eastAsia="仿宋_GB2312"/>
                <w:color w:val="000000"/>
                <w:kern w:val="0"/>
                <w:sz w:val="21"/>
                <w:szCs w:val="21"/>
              </w:rPr>
              <w:t>区政府，融媒体中心，</w:t>
            </w: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vMerge w:val="continue"/>
            <w:noWrap/>
            <w:vAlign w:val="center"/>
          </w:tcPr>
          <w:p>
            <w:pPr>
              <w:widowControl/>
              <w:spacing w:line="280" w:lineRule="exact"/>
              <w:jc w:val="center"/>
              <w:rPr>
                <w:rFonts w:hint="eastAsia" w:eastAsia="仿宋_GB2312"/>
                <w:kern w:val="0"/>
                <w:szCs w:val="21"/>
              </w:rPr>
            </w:pPr>
          </w:p>
        </w:tc>
        <w:tc>
          <w:tcPr>
            <w:tcW w:w="3052" w:type="dxa"/>
            <w:vMerge w:val="continue"/>
            <w:noWrap/>
            <w:vAlign w:val="center"/>
          </w:tcPr>
          <w:p>
            <w:pPr>
              <w:widowControl/>
              <w:spacing w:line="280" w:lineRule="exact"/>
              <w:rPr>
                <w:rFonts w:hint="eastAsia" w:eastAsia="仿宋_GB2312"/>
                <w:kern w:val="0"/>
                <w:szCs w:val="21"/>
              </w:rPr>
            </w:pP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（2）组织1次媒体培训会或媒体交流活动（包括媒体培训会、交流会、通气会）得5分，最高15分。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15</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区委</w:t>
            </w:r>
            <w:r>
              <w:rPr>
                <w:rFonts w:hint="eastAsia" w:eastAsia="仿宋_GB2312"/>
                <w:color w:val="000000"/>
                <w:kern w:val="0"/>
                <w:sz w:val="21"/>
                <w:szCs w:val="21"/>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2</w:t>
            </w:r>
            <w:r>
              <w:rPr>
                <w:rFonts w:hint="default" w:eastAsia="仿宋_GB2312"/>
                <w:kern w:val="0"/>
                <w:szCs w:val="21"/>
                <w:lang w:val="en"/>
              </w:rPr>
              <w:t>．</w:t>
            </w:r>
            <w:r>
              <w:rPr>
                <w:rFonts w:hint="eastAsia" w:eastAsia="仿宋_GB2312"/>
                <w:kern w:val="0"/>
                <w:szCs w:val="21"/>
              </w:rPr>
              <w:t>新媒体健康传播</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设立健康类微博、微信等新媒体平台，开展健康科普。</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每设立1个有专人维护、定期更新（至少每周更新一次）的健康类新媒体平台（微信公众号或微博账号）得20分，最高40分。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40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lang w:eastAsia="zh-CN"/>
              </w:rPr>
              <w:t>卫生健康</w:t>
            </w:r>
            <w:r>
              <w:rPr>
                <w:rFonts w:hint="eastAsia" w:eastAsia="仿宋_GB2312"/>
                <w:color w:val="000000"/>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四、健康文化（150分）</w:t>
            </w:r>
          </w:p>
        </w:tc>
        <w:tc>
          <w:tcPr>
            <w:tcW w:w="1282"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3</w:t>
            </w:r>
            <w:r>
              <w:rPr>
                <w:rFonts w:hint="default" w:eastAsia="仿宋_GB2312"/>
                <w:kern w:val="0"/>
                <w:szCs w:val="21"/>
                <w:lang w:val="en"/>
              </w:rPr>
              <w:t>．</w:t>
            </w:r>
            <w:r>
              <w:rPr>
                <w:rFonts w:hint="eastAsia" w:eastAsia="仿宋_GB2312"/>
                <w:kern w:val="0"/>
                <w:szCs w:val="21"/>
              </w:rPr>
              <w:t>节日纪念日主题活动</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在重要节日纪念日宣传时段内，开展多部门联合的、单场活动人数不低于200人的、线上线下联合的、有媒体深入宣传的健康主题活动。</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每举办1次符合要求的健康节日纪念日主题活动，得5分，最高40分。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40</w:t>
            </w:r>
          </w:p>
        </w:tc>
        <w:tc>
          <w:tcPr>
            <w:tcW w:w="1035"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听取汇报</w:t>
            </w:r>
          </w:p>
          <w:p>
            <w:pPr>
              <w:widowControl/>
              <w:spacing w:line="280" w:lineRule="exact"/>
              <w:jc w:val="center"/>
              <w:rPr>
                <w:rFonts w:hint="eastAsia" w:eastAsia="仿宋_GB2312"/>
                <w:kern w:val="0"/>
                <w:szCs w:val="21"/>
              </w:rPr>
            </w:pPr>
            <w:r>
              <w:rPr>
                <w:rFonts w:hint="eastAsia" w:eastAsia="仿宋_GB2312"/>
                <w:kern w:val="0"/>
                <w:szCs w:val="21"/>
              </w:rPr>
              <w:t>查阅资料</w:t>
            </w:r>
          </w:p>
        </w:tc>
        <w:tc>
          <w:tcPr>
            <w:tcW w:w="1295" w:type="dxa"/>
            <w:noWrap/>
            <w:vAlign w:val="center"/>
          </w:tcPr>
          <w:p>
            <w:pPr>
              <w:widowControl/>
              <w:spacing w:line="280" w:lineRule="exact"/>
              <w:ind w:left="-19" w:leftChars="-10" w:right="-19" w:rightChars="-10"/>
              <w:jc w:val="center"/>
              <w:rPr>
                <w:rFonts w:hint="eastAsia" w:eastAsia="仿宋_GB2312"/>
                <w:kern w:val="0"/>
                <w:szCs w:val="21"/>
              </w:rPr>
            </w:pPr>
            <w:r>
              <w:rPr>
                <w:rFonts w:hint="eastAsia" w:eastAsia="仿宋_GB2312"/>
                <w:kern w:val="0"/>
                <w:szCs w:val="21"/>
                <w:lang w:eastAsia="zh-CN"/>
              </w:rPr>
              <w:t>卫生健康</w:t>
            </w:r>
            <w:r>
              <w:rPr>
                <w:rFonts w:hint="eastAsia" w:eastAsia="仿宋_GB2312"/>
                <w:kern w:val="0"/>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252" w:type="dxa"/>
            <w:vMerge w:val="continue"/>
            <w:noWrap/>
            <w:vAlign w:val="center"/>
          </w:tcPr>
          <w:p>
            <w:pPr>
              <w:widowControl/>
              <w:spacing w:line="280" w:lineRule="exact"/>
              <w:jc w:val="both"/>
              <w:rPr>
                <w:rFonts w:hint="eastAsia" w:eastAsia="仿宋_GB2312"/>
                <w:kern w:val="0"/>
                <w:szCs w:val="21"/>
              </w:rPr>
            </w:pPr>
          </w:p>
        </w:tc>
        <w:tc>
          <w:tcPr>
            <w:tcW w:w="1282"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4</w:t>
            </w:r>
            <w:r>
              <w:rPr>
                <w:rFonts w:hint="default" w:eastAsia="仿宋_GB2312"/>
                <w:kern w:val="0"/>
                <w:szCs w:val="21"/>
                <w:lang w:val="en"/>
              </w:rPr>
              <w:t>．</w:t>
            </w:r>
            <w:r>
              <w:rPr>
                <w:rFonts w:hint="eastAsia" w:eastAsia="仿宋_GB2312"/>
                <w:kern w:val="0"/>
                <w:szCs w:val="21"/>
              </w:rPr>
              <w:t>健康传播</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媒体积极宣传健康促进县（区）建设工作进展和成效。</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各类媒体（包括电视、广播、报纸等）宣传报道健康促进县（区）相关工作进展，每报道一次得2分，最高40分。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40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kern w:val="0"/>
                <w:szCs w:val="21"/>
              </w:rPr>
            </w:pPr>
            <w:r>
              <w:rPr>
                <w:rFonts w:hint="eastAsia" w:eastAsia="仿宋_GB2312"/>
                <w:kern w:val="0"/>
                <w:szCs w:val="21"/>
                <w:lang w:eastAsia="zh-CN"/>
              </w:rPr>
              <w:t>卫生健康</w:t>
            </w:r>
            <w:r>
              <w:rPr>
                <w:rFonts w:hint="eastAsia" w:eastAsia="仿宋_GB2312"/>
                <w:kern w:val="0"/>
                <w:szCs w:val="21"/>
              </w:rPr>
              <w:t>委，融媒体中心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五、健康环境（130分）</w:t>
            </w: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1</w:t>
            </w:r>
            <w:r>
              <w:rPr>
                <w:rFonts w:hint="default" w:eastAsia="仿宋_GB2312"/>
                <w:kern w:val="0"/>
                <w:szCs w:val="21"/>
                <w:lang w:val="en"/>
              </w:rPr>
              <w:t>．</w:t>
            </w:r>
            <w:r>
              <w:rPr>
                <w:rFonts w:hint="eastAsia" w:eastAsia="仿宋_GB2312"/>
                <w:kern w:val="0"/>
                <w:szCs w:val="21"/>
              </w:rPr>
              <w:t>空气质量</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环境空气质量优良天数占比&gt;80%。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环境空气质量优良天数占比&gt;80%。酌情得分。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听取汇报</w:t>
            </w:r>
          </w:p>
          <w:p>
            <w:pPr>
              <w:widowControl/>
              <w:spacing w:line="280" w:lineRule="exact"/>
              <w:jc w:val="center"/>
              <w:rPr>
                <w:rFonts w:hint="eastAsia" w:eastAsia="仿宋_GB2312"/>
                <w:kern w:val="0"/>
                <w:szCs w:val="21"/>
              </w:rPr>
            </w:pPr>
            <w:r>
              <w:rPr>
                <w:rFonts w:hint="eastAsia" w:eastAsia="仿宋_GB2312"/>
                <w:kern w:val="0"/>
                <w:szCs w:val="21"/>
              </w:rPr>
              <w:t>查阅资料</w:t>
            </w: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2</w:t>
            </w:r>
            <w:r>
              <w:rPr>
                <w:rFonts w:hint="default" w:eastAsia="仿宋_GB2312"/>
                <w:kern w:val="0"/>
                <w:szCs w:val="21"/>
                <w:lang w:val="en"/>
              </w:rPr>
              <w:t>．</w:t>
            </w:r>
            <w:r>
              <w:rPr>
                <w:rFonts w:hint="eastAsia" w:eastAsia="仿宋_GB2312"/>
                <w:kern w:val="0"/>
                <w:szCs w:val="21"/>
              </w:rPr>
              <w:t>饮用水质量</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生活饮用水水质合格率达100%。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生活饮用水水质合格率达100%。酌情得分。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3</w:t>
            </w:r>
            <w:r>
              <w:rPr>
                <w:rFonts w:hint="default" w:eastAsia="仿宋_GB2312"/>
                <w:kern w:val="0"/>
                <w:szCs w:val="21"/>
                <w:lang w:val="en"/>
              </w:rPr>
              <w:t>．</w:t>
            </w:r>
            <w:r>
              <w:rPr>
                <w:rFonts w:hint="eastAsia" w:eastAsia="仿宋_GB2312"/>
                <w:kern w:val="0"/>
                <w:szCs w:val="21"/>
              </w:rPr>
              <w:t>食品安全</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食品监督抽检合格率达100%。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食品监督抽检合格率达100%。酌情得分。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4</w:t>
            </w:r>
            <w:r>
              <w:rPr>
                <w:rFonts w:hint="default" w:eastAsia="仿宋_GB2312"/>
                <w:kern w:val="0"/>
                <w:szCs w:val="21"/>
                <w:lang w:val="en"/>
              </w:rPr>
              <w:t>．</w:t>
            </w:r>
            <w:r>
              <w:rPr>
                <w:rFonts w:hint="eastAsia" w:eastAsia="仿宋_GB2312"/>
                <w:kern w:val="0"/>
                <w:szCs w:val="21"/>
              </w:rPr>
              <w:t>垃圾处理</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生活垃圾无害化处理率（建城区）≥95%，生活垃圾集中处理率（农村） ≥90%。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生活垃圾无害化处理率（建成区）≥95%，生活垃圾集中处理率（农村）≥90%。酌情得分。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5</w:t>
            </w:r>
            <w:r>
              <w:rPr>
                <w:rFonts w:hint="default" w:eastAsia="仿宋_GB2312"/>
                <w:kern w:val="0"/>
                <w:szCs w:val="21"/>
                <w:lang w:val="en"/>
              </w:rPr>
              <w:t>．</w:t>
            </w:r>
            <w:r>
              <w:rPr>
                <w:rFonts w:hint="eastAsia" w:eastAsia="仿宋_GB2312"/>
                <w:kern w:val="0"/>
                <w:szCs w:val="21"/>
              </w:rPr>
              <w:t>污水处理</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生活污水集中处理率，区达到95%，县（建成区）达到85%。</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生活污水集中处理率，区达到95%，县（建成区）达到85%。酌情得分。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6</w:t>
            </w:r>
            <w:r>
              <w:rPr>
                <w:rFonts w:hint="default" w:eastAsia="仿宋_GB2312"/>
                <w:kern w:val="0"/>
                <w:szCs w:val="21"/>
                <w:lang w:val="en"/>
              </w:rPr>
              <w:t>．</w:t>
            </w:r>
            <w:r>
              <w:rPr>
                <w:rFonts w:hint="eastAsia" w:eastAsia="仿宋_GB2312"/>
                <w:kern w:val="0"/>
                <w:szCs w:val="21"/>
              </w:rPr>
              <w:t>厕所</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建成区三类以上公厕比例≥80%，农村无害化卫生厕所普及率≥60%。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建成区三类以上公厕比例≥80%，农村无害化卫生厕所普及率≥60%。酌情得分。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color w:val="000000"/>
                <w:kern w:val="0"/>
                <w:sz w:val="21"/>
                <w:szCs w:val="21"/>
              </w:rPr>
            </w:pPr>
            <w:r>
              <w:rPr>
                <w:rFonts w:hint="eastAsia" w:eastAsia="仿宋_GB2312"/>
                <w:color w:val="000000"/>
                <w:kern w:val="0"/>
                <w:sz w:val="21"/>
                <w:szCs w:val="21"/>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7</w:t>
            </w:r>
            <w:r>
              <w:rPr>
                <w:rFonts w:hint="default" w:eastAsia="仿宋_GB2312"/>
                <w:kern w:val="0"/>
                <w:szCs w:val="21"/>
                <w:lang w:val="en"/>
              </w:rPr>
              <w:t>．</w:t>
            </w:r>
            <w:r>
              <w:rPr>
                <w:rFonts w:hint="eastAsia" w:eastAsia="仿宋_GB2312"/>
                <w:kern w:val="0"/>
                <w:szCs w:val="21"/>
              </w:rPr>
              <w:t>绿地</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建城区人均公园绿地面积≥14</w:t>
            </w:r>
            <w:r>
              <w:rPr>
                <w:rFonts w:hint="default" w:eastAsia="仿宋_GB2312"/>
                <w:kern w:val="0"/>
                <w:szCs w:val="21"/>
                <w:lang w:val="en"/>
              </w:rPr>
              <w:t>．</w:t>
            </w:r>
            <w:r>
              <w:rPr>
                <w:rFonts w:hint="eastAsia" w:eastAsia="仿宋_GB2312"/>
                <w:kern w:val="0"/>
                <w:szCs w:val="21"/>
              </w:rPr>
              <w:t>6平方米。</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建成区人均公园绿地面积≥14</w:t>
            </w:r>
            <w:r>
              <w:rPr>
                <w:rFonts w:hint="eastAsia" w:eastAsia="仿宋_GB2312"/>
                <w:kern w:val="0"/>
                <w:szCs w:val="21"/>
                <w:lang w:val="en-US" w:eastAsia="zh-CN"/>
              </w:rPr>
              <w:t>.</w:t>
            </w:r>
            <w:r>
              <w:rPr>
                <w:rFonts w:hint="eastAsia" w:eastAsia="仿宋_GB2312"/>
                <w:kern w:val="0"/>
                <w:szCs w:val="21"/>
              </w:rPr>
              <w:t>6平方米。酌情得分。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color w:val="000000"/>
                <w:kern w:val="0"/>
                <w:sz w:val="21"/>
                <w:szCs w:val="21"/>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8</w:t>
            </w:r>
            <w:r>
              <w:rPr>
                <w:rFonts w:hint="default" w:eastAsia="仿宋_GB2312"/>
                <w:kern w:val="0"/>
                <w:szCs w:val="21"/>
                <w:lang w:val="en"/>
              </w:rPr>
              <w:t>．</w:t>
            </w:r>
            <w:r>
              <w:rPr>
                <w:rFonts w:hint="eastAsia" w:eastAsia="仿宋_GB2312"/>
                <w:kern w:val="0"/>
                <w:szCs w:val="21"/>
              </w:rPr>
              <w:t>住房</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城镇居民人均住房面积达35平方米。</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城镇居民人均住房面积达35平方米。酌情得分。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rPr>
              <w:t>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五、健康环境（130分）</w:t>
            </w: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9</w:t>
            </w:r>
            <w:r>
              <w:rPr>
                <w:rFonts w:hint="default" w:eastAsia="仿宋_GB2312"/>
                <w:kern w:val="0"/>
                <w:szCs w:val="21"/>
                <w:lang w:val="en"/>
              </w:rPr>
              <w:t>．</w:t>
            </w:r>
            <w:r>
              <w:rPr>
                <w:rFonts w:hint="eastAsia" w:eastAsia="仿宋_GB2312"/>
                <w:kern w:val="0"/>
                <w:szCs w:val="21"/>
              </w:rPr>
              <w:t>体育设施</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人均体育场地面积达到1</w:t>
            </w:r>
            <w:r>
              <w:rPr>
                <w:rFonts w:hint="default" w:eastAsia="仿宋_GB2312"/>
                <w:kern w:val="0"/>
                <w:szCs w:val="21"/>
                <w:lang w:val="en"/>
              </w:rPr>
              <w:t>．</w:t>
            </w:r>
            <w:r>
              <w:rPr>
                <w:rFonts w:hint="eastAsia" w:eastAsia="仿宋_GB2312"/>
                <w:kern w:val="0"/>
                <w:szCs w:val="21"/>
              </w:rPr>
              <w:t>8平方米。</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人均体育场地面积达到1</w:t>
            </w:r>
            <w:r>
              <w:rPr>
                <w:rFonts w:hint="eastAsia" w:eastAsia="仿宋_GB2312"/>
                <w:kern w:val="0"/>
                <w:szCs w:val="21"/>
                <w:lang w:val="en-US" w:eastAsia="zh-CN"/>
              </w:rPr>
              <w:t>.</w:t>
            </w:r>
            <w:r>
              <w:rPr>
                <w:rFonts w:hint="eastAsia" w:eastAsia="仿宋_GB2312"/>
                <w:kern w:val="0"/>
                <w:szCs w:val="21"/>
              </w:rPr>
              <w:t>8平方米。酌情得分。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restart"/>
            <w:noWrap/>
            <w:vAlign w:val="center"/>
          </w:tcPr>
          <w:p>
            <w:pPr>
              <w:widowControl/>
              <w:spacing w:line="280" w:lineRule="exact"/>
              <w:jc w:val="center"/>
              <w:rPr>
                <w:rFonts w:hint="eastAsia" w:eastAsia="仿宋_GB2312"/>
                <w:kern w:val="0"/>
                <w:szCs w:val="21"/>
              </w:rPr>
            </w:pPr>
            <w:r>
              <w:rPr>
                <w:rFonts w:hint="eastAsia" w:eastAsia="仿宋_GB2312"/>
                <w:kern w:val="0"/>
                <w:szCs w:val="21"/>
              </w:rPr>
              <w:t>听取汇报</w:t>
            </w:r>
          </w:p>
          <w:p>
            <w:pPr>
              <w:widowControl/>
              <w:spacing w:line="280" w:lineRule="exact"/>
              <w:jc w:val="center"/>
              <w:rPr>
                <w:rFonts w:hint="eastAsia" w:eastAsia="仿宋_GB2312"/>
                <w:kern w:val="0"/>
                <w:szCs w:val="21"/>
              </w:rPr>
            </w:pPr>
            <w:r>
              <w:rPr>
                <w:rFonts w:hint="eastAsia" w:eastAsia="仿宋_GB2312"/>
                <w:kern w:val="0"/>
                <w:szCs w:val="21"/>
              </w:rPr>
              <w:t>查阅资料</w:t>
            </w: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lang w:eastAsia="zh-CN"/>
              </w:rPr>
              <w:t>文化和旅游</w:t>
            </w:r>
            <w:r>
              <w:rPr>
                <w:rFonts w:hint="eastAsia" w:eastAsia="仿宋_GB2312"/>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52" w:type="dxa"/>
            <w:vMerge w:val="continue"/>
            <w:noWrap/>
            <w:vAlign w:val="center"/>
          </w:tcPr>
          <w:p>
            <w:pPr>
              <w:widowControl/>
              <w:spacing w:line="280" w:lineRule="exact"/>
              <w:jc w:val="both"/>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10</w:t>
            </w:r>
            <w:r>
              <w:rPr>
                <w:rFonts w:hint="default" w:eastAsia="仿宋_GB2312"/>
                <w:kern w:val="0"/>
                <w:szCs w:val="21"/>
                <w:lang w:val="en"/>
              </w:rPr>
              <w:t>．</w:t>
            </w:r>
            <w:r>
              <w:rPr>
                <w:rFonts w:hint="eastAsia" w:eastAsia="仿宋_GB2312"/>
                <w:kern w:val="0"/>
                <w:szCs w:val="21"/>
              </w:rPr>
              <w:t>社会保障</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基本养老保险参保率达到90%。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基本养老保险参保率达到90%。酌情得分。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52" w:type="dxa"/>
            <w:vMerge w:val="continue"/>
            <w:noWrap/>
            <w:vAlign w:val="center"/>
          </w:tcPr>
          <w:p>
            <w:pPr>
              <w:widowControl/>
              <w:spacing w:line="280" w:lineRule="exact"/>
              <w:jc w:val="both"/>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11</w:t>
            </w:r>
            <w:r>
              <w:rPr>
                <w:rFonts w:hint="default" w:eastAsia="仿宋_GB2312"/>
                <w:kern w:val="0"/>
                <w:szCs w:val="21"/>
                <w:lang w:val="en"/>
              </w:rPr>
              <w:t>．</w:t>
            </w:r>
            <w:r>
              <w:rPr>
                <w:rFonts w:hint="eastAsia" w:eastAsia="仿宋_GB2312"/>
                <w:kern w:val="0"/>
                <w:szCs w:val="21"/>
              </w:rPr>
              <w:t>养老</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每千名老年人口拥有养老床位数达到35张。</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每千名老年人口拥有养老床位数达到35张。酌情得分。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52" w:type="dxa"/>
            <w:vMerge w:val="continue"/>
            <w:noWrap/>
            <w:vAlign w:val="center"/>
          </w:tcPr>
          <w:p>
            <w:pPr>
              <w:widowControl/>
              <w:spacing w:line="280" w:lineRule="exact"/>
              <w:jc w:val="both"/>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12</w:t>
            </w:r>
            <w:r>
              <w:rPr>
                <w:rFonts w:hint="default" w:eastAsia="仿宋_GB2312"/>
                <w:kern w:val="0"/>
                <w:szCs w:val="21"/>
                <w:lang w:val="en"/>
              </w:rPr>
              <w:t>．</w:t>
            </w:r>
            <w:r>
              <w:rPr>
                <w:rFonts w:hint="eastAsia" w:eastAsia="仿宋_GB2312"/>
                <w:kern w:val="0"/>
                <w:szCs w:val="21"/>
              </w:rPr>
              <w:t>就业</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城镇登记失业率控制在5%以内。</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城镇登记失业率控制在5%以内。酌情得分。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2" w:type="dxa"/>
            <w:vMerge w:val="continue"/>
            <w:noWrap/>
            <w:vAlign w:val="center"/>
          </w:tcPr>
          <w:p>
            <w:pPr>
              <w:widowControl/>
              <w:spacing w:line="280" w:lineRule="exact"/>
              <w:jc w:val="both"/>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13</w:t>
            </w:r>
            <w:r>
              <w:rPr>
                <w:rFonts w:hint="default" w:eastAsia="仿宋_GB2312"/>
                <w:kern w:val="0"/>
                <w:szCs w:val="21"/>
                <w:lang w:val="en"/>
              </w:rPr>
              <w:t>．</w:t>
            </w:r>
            <w:r>
              <w:rPr>
                <w:rFonts w:hint="eastAsia" w:eastAsia="仿宋_GB2312"/>
                <w:kern w:val="0"/>
                <w:szCs w:val="21"/>
              </w:rPr>
              <w:t>文化教育</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高中阶段教育毛入学率达到90%。</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高中阶段教育毛入学率达到90%。酌情得分。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10</w:t>
            </w:r>
          </w:p>
        </w:tc>
        <w:tc>
          <w:tcPr>
            <w:tcW w:w="1035" w:type="dxa"/>
            <w:vMerge w:val="continue"/>
            <w:noWrap/>
            <w:vAlign w:val="center"/>
          </w:tcPr>
          <w:p>
            <w:pPr>
              <w:widowControl/>
              <w:spacing w:line="280" w:lineRule="exact"/>
              <w:jc w:val="center"/>
              <w:rPr>
                <w:rFonts w:hint="eastAsia" w:eastAsia="仿宋_GB2312"/>
                <w:kern w:val="0"/>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52" w:type="dxa"/>
            <w:vMerge w:val="restart"/>
            <w:noWrap/>
            <w:vAlign w:val="center"/>
          </w:tcPr>
          <w:p>
            <w:pPr>
              <w:widowControl/>
              <w:spacing w:line="280" w:lineRule="exact"/>
              <w:jc w:val="both"/>
              <w:rPr>
                <w:rFonts w:hint="eastAsia" w:eastAsia="仿宋_GB2312"/>
                <w:kern w:val="0"/>
                <w:szCs w:val="21"/>
              </w:rPr>
            </w:pPr>
            <w:r>
              <w:rPr>
                <w:rFonts w:hint="eastAsia" w:eastAsia="仿宋_GB2312"/>
                <w:kern w:val="0"/>
                <w:szCs w:val="21"/>
              </w:rPr>
              <w:t>六、健康人群（150分）</w:t>
            </w: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1</w:t>
            </w:r>
            <w:r>
              <w:rPr>
                <w:rFonts w:hint="default" w:eastAsia="仿宋_GB2312"/>
                <w:kern w:val="0"/>
                <w:szCs w:val="21"/>
                <w:lang w:val="en"/>
              </w:rPr>
              <w:t>．</w:t>
            </w:r>
            <w:r>
              <w:rPr>
                <w:rFonts w:hint="eastAsia" w:eastAsia="仿宋_GB2312"/>
                <w:kern w:val="0"/>
                <w:szCs w:val="21"/>
              </w:rPr>
              <w:t>健康素养</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居民健康素养水平达到本省平均水平。</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高于本省平均水平20%得50分，达到本省平均水平得30分，低于平均水平30%以内得10分</w:t>
            </w:r>
            <w:r>
              <w:rPr>
                <w:rFonts w:hint="eastAsia" w:eastAsia="仿宋_GB2312"/>
                <w:kern w:val="0"/>
                <w:szCs w:val="21"/>
                <w:lang w:eastAsia="zh-CN"/>
              </w:rPr>
              <w:t>，</w:t>
            </w:r>
            <w:r>
              <w:rPr>
                <w:rFonts w:hint="eastAsia" w:eastAsia="仿宋_GB2312"/>
                <w:kern w:val="0"/>
                <w:szCs w:val="21"/>
              </w:rPr>
              <w:t>比平均水平低30%以上不得分。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50</w:t>
            </w:r>
          </w:p>
        </w:tc>
        <w:tc>
          <w:tcPr>
            <w:tcW w:w="1035" w:type="dxa"/>
            <w:vMerge w:val="restart"/>
            <w:noWrap/>
            <w:vAlign w:val="center"/>
          </w:tcPr>
          <w:p>
            <w:pPr>
              <w:widowControl/>
              <w:spacing w:line="280" w:lineRule="exact"/>
              <w:jc w:val="center"/>
              <w:rPr>
                <w:rFonts w:hint="eastAsia" w:eastAsia="仿宋_GB2312"/>
                <w:kern w:val="0"/>
                <w:sz w:val="21"/>
                <w:szCs w:val="21"/>
              </w:rPr>
            </w:pPr>
            <w:r>
              <w:rPr>
                <w:rFonts w:hint="eastAsia" w:eastAsia="仿宋_GB2312"/>
                <w:kern w:val="0"/>
                <w:sz w:val="21"/>
                <w:szCs w:val="21"/>
              </w:rPr>
              <w:t>听取汇报</w:t>
            </w:r>
          </w:p>
          <w:p>
            <w:pPr>
              <w:widowControl/>
              <w:spacing w:line="280" w:lineRule="exact"/>
              <w:jc w:val="center"/>
              <w:rPr>
                <w:rFonts w:hint="eastAsia" w:eastAsia="仿宋_GB2312"/>
                <w:kern w:val="0"/>
                <w:sz w:val="21"/>
                <w:szCs w:val="21"/>
              </w:rPr>
            </w:pPr>
            <w:r>
              <w:rPr>
                <w:rFonts w:hint="eastAsia" w:eastAsia="仿宋_GB2312"/>
                <w:kern w:val="0"/>
                <w:sz w:val="21"/>
                <w:szCs w:val="21"/>
              </w:rPr>
              <w:t>查阅资料</w:t>
            </w: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lang w:eastAsia="zh-CN"/>
              </w:rPr>
              <w:t>卫生健康</w:t>
            </w:r>
            <w:r>
              <w:rPr>
                <w:rFonts w:hint="eastAsia" w:eastAsia="仿宋_GB2312"/>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2</w:t>
            </w:r>
            <w:r>
              <w:rPr>
                <w:rFonts w:hint="default" w:eastAsia="仿宋_GB2312"/>
                <w:kern w:val="0"/>
                <w:szCs w:val="21"/>
                <w:lang w:val="en"/>
              </w:rPr>
              <w:t>．</w:t>
            </w:r>
            <w:r>
              <w:rPr>
                <w:rFonts w:hint="eastAsia" w:eastAsia="仿宋_GB2312"/>
                <w:kern w:val="0"/>
                <w:szCs w:val="21"/>
              </w:rPr>
              <w:t>成人吸烟率</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成人吸烟率低于本省平均水平。</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比本省平均水平低20%得40分</w:t>
            </w:r>
            <w:r>
              <w:rPr>
                <w:rFonts w:hint="eastAsia" w:eastAsia="仿宋_GB2312"/>
                <w:kern w:val="0"/>
                <w:szCs w:val="21"/>
                <w:lang w:eastAsia="zh-CN"/>
              </w:rPr>
              <w:t>，</w:t>
            </w:r>
            <w:r>
              <w:rPr>
                <w:rFonts w:hint="eastAsia" w:eastAsia="仿宋_GB2312"/>
                <w:kern w:val="0"/>
                <w:szCs w:val="21"/>
              </w:rPr>
              <w:t>低于本省平均水平得30分</w:t>
            </w:r>
            <w:r>
              <w:rPr>
                <w:rFonts w:hint="eastAsia" w:eastAsia="仿宋_GB2312"/>
                <w:kern w:val="0"/>
                <w:szCs w:val="21"/>
                <w:lang w:eastAsia="zh-CN"/>
              </w:rPr>
              <w:t>，</w:t>
            </w:r>
            <w:r>
              <w:rPr>
                <w:rFonts w:hint="eastAsia" w:eastAsia="仿宋_GB2312"/>
                <w:kern w:val="0"/>
                <w:szCs w:val="21"/>
              </w:rPr>
              <w:t>比本省平均水平高30%以内得10分</w:t>
            </w:r>
            <w:r>
              <w:rPr>
                <w:rFonts w:hint="eastAsia" w:eastAsia="仿宋_GB2312"/>
                <w:kern w:val="0"/>
                <w:szCs w:val="21"/>
                <w:lang w:eastAsia="zh-CN"/>
              </w:rPr>
              <w:t>，</w:t>
            </w:r>
            <w:r>
              <w:rPr>
                <w:rFonts w:hint="eastAsia" w:eastAsia="仿宋_GB2312"/>
                <w:kern w:val="0"/>
                <w:szCs w:val="21"/>
              </w:rPr>
              <w:t>比本省平均水平高30%不得分。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40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lang w:eastAsia="zh-CN"/>
              </w:rPr>
              <w:t>卫生健康</w:t>
            </w:r>
            <w:r>
              <w:rPr>
                <w:rFonts w:hint="eastAsia" w:eastAsia="仿宋_GB2312"/>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3</w:t>
            </w:r>
            <w:r>
              <w:rPr>
                <w:rFonts w:hint="default" w:eastAsia="仿宋_GB2312"/>
                <w:kern w:val="0"/>
                <w:szCs w:val="21"/>
                <w:lang w:val="en"/>
              </w:rPr>
              <w:t>．</w:t>
            </w:r>
            <w:r>
              <w:rPr>
                <w:rFonts w:hint="eastAsia" w:eastAsia="仿宋_GB2312"/>
                <w:kern w:val="0"/>
                <w:szCs w:val="21"/>
              </w:rPr>
              <w:t>经常参加体育锻炼人口比例</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经常参加体育锻炼的人口比例高于本省平均水平。</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经常参加体育锻炼的人口比例≥32%得30分</w:t>
            </w:r>
            <w:r>
              <w:rPr>
                <w:rFonts w:hint="eastAsia" w:eastAsia="仿宋_GB2312"/>
                <w:kern w:val="0"/>
                <w:szCs w:val="21"/>
                <w:lang w:eastAsia="zh-CN"/>
              </w:rPr>
              <w:t>，</w:t>
            </w:r>
            <w:r>
              <w:rPr>
                <w:rFonts w:hint="eastAsia" w:eastAsia="仿宋_GB2312"/>
                <w:kern w:val="0"/>
                <w:szCs w:val="21"/>
              </w:rPr>
              <w:t>25%（含）～32%之间得15分</w:t>
            </w:r>
            <w:r>
              <w:rPr>
                <w:rFonts w:hint="eastAsia" w:eastAsia="仿宋_GB2312"/>
                <w:kern w:val="0"/>
                <w:szCs w:val="21"/>
                <w:lang w:eastAsia="zh-CN"/>
              </w:rPr>
              <w:t>，</w:t>
            </w:r>
            <w:r>
              <w:rPr>
                <w:rFonts w:hint="eastAsia" w:eastAsia="仿宋_GB2312"/>
                <w:kern w:val="0"/>
                <w:szCs w:val="21"/>
              </w:rPr>
              <w:t>20%（含）～25%之间得5分</w:t>
            </w:r>
            <w:r>
              <w:rPr>
                <w:rFonts w:hint="eastAsia" w:eastAsia="仿宋_GB2312"/>
                <w:kern w:val="0"/>
                <w:szCs w:val="21"/>
                <w:lang w:eastAsia="zh-CN"/>
              </w:rPr>
              <w:t>，</w:t>
            </w:r>
            <w:r>
              <w:rPr>
                <w:rFonts w:hint="eastAsia" w:eastAsia="仿宋_GB2312"/>
                <w:kern w:val="0"/>
                <w:szCs w:val="21"/>
              </w:rPr>
              <w:t>低于20%不得分。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30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lang w:eastAsia="zh-CN"/>
              </w:rPr>
              <w:t>文化和旅游</w:t>
            </w:r>
            <w:r>
              <w:rPr>
                <w:rFonts w:hint="eastAsia" w:eastAsia="仿宋_GB2312"/>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52" w:type="dxa"/>
            <w:vMerge w:val="continue"/>
            <w:noWrap/>
            <w:vAlign w:val="center"/>
          </w:tcPr>
          <w:p>
            <w:pPr>
              <w:widowControl/>
              <w:spacing w:line="280" w:lineRule="exact"/>
              <w:jc w:val="center"/>
              <w:rPr>
                <w:rFonts w:hint="eastAsia" w:eastAsia="仿宋_GB2312"/>
                <w:kern w:val="0"/>
                <w:szCs w:val="21"/>
              </w:rPr>
            </w:pPr>
          </w:p>
        </w:tc>
        <w:tc>
          <w:tcPr>
            <w:tcW w:w="1282" w:type="dxa"/>
            <w:noWrap/>
            <w:vAlign w:val="center"/>
          </w:tcPr>
          <w:p>
            <w:pPr>
              <w:widowControl/>
              <w:spacing w:line="280" w:lineRule="exact"/>
              <w:jc w:val="left"/>
              <w:rPr>
                <w:rFonts w:hint="eastAsia" w:eastAsia="仿宋_GB2312"/>
                <w:kern w:val="0"/>
                <w:szCs w:val="21"/>
              </w:rPr>
            </w:pPr>
            <w:r>
              <w:rPr>
                <w:rFonts w:hint="eastAsia" w:eastAsia="仿宋_GB2312"/>
                <w:kern w:val="0"/>
                <w:szCs w:val="21"/>
              </w:rPr>
              <w:t>4</w:t>
            </w:r>
            <w:r>
              <w:rPr>
                <w:rFonts w:hint="default" w:eastAsia="仿宋_GB2312"/>
                <w:kern w:val="0"/>
                <w:szCs w:val="21"/>
                <w:lang w:val="en"/>
              </w:rPr>
              <w:t>．</w:t>
            </w:r>
            <w:r>
              <w:rPr>
                <w:rFonts w:hint="eastAsia" w:eastAsia="仿宋_GB2312"/>
                <w:kern w:val="0"/>
                <w:szCs w:val="21"/>
              </w:rPr>
              <w:t>学生体质健康</w:t>
            </w:r>
          </w:p>
        </w:tc>
        <w:tc>
          <w:tcPr>
            <w:tcW w:w="3052" w:type="dxa"/>
            <w:noWrap/>
            <w:vAlign w:val="center"/>
          </w:tcPr>
          <w:p>
            <w:pPr>
              <w:widowControl/>
              <w:spacing w:line="280" w:lineRule="exact"/>
              <w:rPr>
                <w:rFonts w:hint="eastAsia" w:eastAsia="仿宋_GB2312"/>
                <w:kern w:val="0"/>
                <w:szCs w:val="21"/>
              </w:rPr>
            </w:pPr>
            <w:r>
              <w:rPr>
                <w:rFonts w:hint="eastAsia" w:eastAsia="仿宋_GB2312"/>
                <w:kern w:val="0"/>
                <w:szCs w:val="21"/>
              </w:rPr>
              <w:t>学生体质达到教育部《国家学生体质健康标准》有关标准。</w:t>
            </w:r>
          </w:p>
        </w:tc>
        <w:tc>
          <w:tcPr>
            <w:tcW w:w="4121" w:type="dxa"/>
            <w:noWrap/>
            <w:vAlign w:val="center"/>
          </w:tcPr>
          <w:p>
            <w:pPr>
              <w:widowControl/>
              <w:spacing w:line="280" w:lineRule="exact"/>
              <w:rPr>
                <w:rFonts w:hint="eastAsia" w:eastAsia="仿宋_GB2312"/>
                <w:kern w:val="0"/>
                <w:szCs w:val="21"/>
              </w:rPr>
            </w:pPr>
            <w:r>
              <w:rPr>
                <w:rFonts w:hint="eastAsia" w:eastAsia="仿宋_GB2312"/>
                <w:kern w:val="0"/>
                <w:szCs w:val="21"/>
              </w:rPr>
              <w:t>95%以上的学生达到合格以上等级得30分</w:t>
            </w:r>
            <w:r>
              <w:rPr>
                <w:rFonts w:hint="eastAsia" w:eastAsia="仿宋_GB2312"/>
                <w:kern w:val="0"/>
                <w:szCs w:val="21"/>
                <w:lang w:eastAsia="zh-CN"/>
              </w:rPr>
              <w:t>，</w:t>
            </w:r>
            <w:r>
              <w:rPr>
                <w:rFonts w:hint="eastAsia" w:eastAsia="仿宋_GB2312"/>
                <w:kern w:val="0"/>
                <w:szCs w:val="21"/>
              </w:rPr>
              <w:t>94%以上的学生达到得20分</w:t>
            </w:r>
            <w:r>
              <w:rPr>
                <w:rFonts w:hint="eastAsia" w:eastAsia="仿宋_GB2312"/>
                <w:kern w:val="0"/>
                <w:szCs w:val="21"/>
                <w:lang w:eastAsia="zh-CN"/>
              </w:rPr>
              <w:t>，</w:t>
            </w:r>
            <w:r>
              <w:rPr>
                <w:rFonts w:hint="eastAsia" w:eastAsia="仿宋_GB2312"/>
                <w:kern w:val="0"/>
                <w:szCs w:val="21"/>
              </w:rPr>
              <w:t>92%以上的学生达到得10分</w:t>
            </w:r>
            <w:r>
              <w:rPr>
                <w:rFonts w:hint="eastAsia" w:eastAsia="仿宋_GB2312"/>
                <w:kern w:val="0"/>
                <w:szCs w:val="21"/>
                <w:lang w:eastAsia="zh-CN"/>
              </w:rPr>
              <w:t>，</w:t>
            </w:r>
            <w:r>
              <w:rPr>
                <w:rFonts w:hint="eastAsia" w:eastAsia="仿宋_GB2312"/>
                <w:kern w:val="0"/>
                <w:szCs w:val="21"/>
              </w:rPr>
              <w:t>低于92%以上的学生达到得0分。</w:t>
            </w:r>
          </w:p>
        </w:tc>
        <w:tc>
          <w:tcPr>
            <w:tcW w:w="736" w:type="dxa"/>
            <w:noWrap/>
            <w:vAlign w:val="center"/>
          </w:tcPr>
          <w:p>
            <w:pPr>
              <w:widowControl/>
              <w:spacing w:line="280" w:lineRule="exact"/>
              <w:jc w:val="center"/>
              <w:rPr>
                <w:rFonts w:hint="eastAsia" w:eastAsia="仿宋_GB2312"/>
                <w:kern w:val="0"/>
                <w:szCs w:val="21"/>
              </w:rPr>
            </w:pPr>
            <w:r>
              <w:rPr>
                <w:rFonts w:hint="eastAsia" w:eastAsia="仿宋_GB2312"/>
                <w:kern w:val="0"/>
                <w:szCs w:val="21"/>
              </w:rPr>
              <w:t>30</w:t>
            </w:r>
          </w:p>
        </w:tc>
        <w:tc>
          <w:tcPr>
            <w:tcW w:w="1035" w:type="dxa"/>
            <w:vMerge w:val="continue"/>
            <w:noWrap/>
            <w:vAlign w:val="center"/>
          </w:tcPr>
          <w:p>
            <w:pPr>
              <w:widowControl/>
              <w:spacing w:line="280" w:lineRule="exact"/>
              <w:jc w:val="center"/>
              <w:rPr>
                <w:rFonts w:hint="eastAsia" w:eastAsia="仿宋_GB2312"/>
                <w:kern w:val="0"/>
                <w:sz w:val="21"/>
                <w:szCs w:val="21"/>
              </w:rPr>
            </w:pPr>
          </w:p>
        </w:tc>
        <w:tc>
          <w:tcPr>
            <w:tcW w:w="1295" w:type="dxa"/>
            <w:noWrap/>
            <w:vAlign w:val="center"/>
          </w:tcPr>
          <w:p>
            <w:pPr>
              <w:widowControl/>
              <w:spacing w:line="280" w:lineRule="exact"/>
              <w:ind w:left="-19" w:leftChars="-10" w:right="-19" w:rightChars="-10"/>
              <w:jc w:val="center"/>
              <w:rPr>
                <w:rFonts w:hint="eastAsia" w:eastAsia="仿宋_GB2312"/>
                <w:kern w:val="0"/>
                <w:sz w:val="21"/>
                <w:szCs w:val="21"/>
              </w:rPr>
            </w:pPr>
            <w:r>
              <w:rPr>
                <w:rFonts w:hint="eastAsia" w:eastAsia="仿宋_GB2312"/>
                <w:kern w:val="0"/>
                <w:sz w:val="21"/>
                <w:szCs w:val="21"/>
              </w:rPr>
              <w:t>教育局</w:t>
            </w:r>
          </w:p>
        </w:tc>
      </w:tr>
    </w:tbl>
    <w:p>
      <w:pPr>
        <w:spacing w:line="276" w:lineRule="auto"/>
        <w:rPr>
          <w:rFonts w:eastAsia="黑体"/>
          <w:bCs/>
          <w:sz w:val="32"/>
          <w:szCs w:val="32"/>
        </w:rPr>
      </w:pPr>
    </w:p>
    <w:p>
      <w:pPr>
        <w:ind w:firstLine="608" w:firstLineChars="200"/>
        <w:rPr>
          <w:rFonts w:eastAsia="仿宋_GB2312"/>
          <w:sz w:val="32"/>
          <w:szCs w:val="32"/>
        </w:rPr>
        <w:sectPr>
          <w:headerReference r:id="rId7" w:type="default"/>
          <w:footerReference r:id="rId9" w:type="default"/>
          <w:headerReference r:id="rId8" w:type="even"/>
          <w:footerReference r:id="rId10" w:type="even"/>
          <w:pgSz w:w="16838" w:h="11906" w:orient="landscape"/>
          <w:pgMar w:top="1531" w:right="2041" w:bottom="1531" w:left="2041" w:header="851" w:footer="1077" w:gutter="0"/>
          <w:pgNumType w:fmt="numberInDash"/>
          <w:cols w:space="0" w:num="1"/>
          <w:rtlGutter w:val="0"/>
          <w:docGrid w:type="linesAndChars" w:linePitch="590" w:charSpace="-3481"/>
        </w:sectPr>
      </w:pPr>
    </w:p>
    <w:p>
      <w:pPr>
        <w:widowControl/>
        <w:spacing w:line="276" w:lineRule="auto"/>
        <w:rPr>
          <w:rFonts w:hint="eastAsia" w:eastAsia="黑体"/>
          <w:sz w:val="32"/>
          <w:szCs w:val="32"/>
        </w:rPr>
      </w:pPr>
      <w:r>
        <w:rPr>
          <w:rFonts w:eastAsia="黑体"/>
          <w:sz w:val="32"/>
          <w:szCs w:val="32"/>
        </w:rPr>
        <w:t>附件4</w:t>
      </w:r>
    </w:p>
    <w:p>
      <w:pPr>
        <w:pStyle w:val="2"/>
        <w:ind w:firstLine="386"/>
      </w:pPr>
    </w:p>
    <w:p>
      <w:pPr>
        <w:overflowPunct w:val="0"/>
        <w:spacing w:line="560" w:lineRule="exact"/>
        <w:jc w:val="center"/>
        <w:rPr>
          <w:rFonts w:hint="eastAsia" w:eastAsia="方正小标宋简体"/>
          <w:sz w:val="44"/>
          <w:szCs w:val="44"/>
        </w:rPr>
      </w:pPr>
      <w:r>
        <w:rPr>
          <w:rFonts w:eastAsia="方正小标宋简体"/>
          <w:sz w:val="44"/>
          <w:szCs w:val="44"/>
        </w:rPr>
        <w:t>健康</w:t>
      </w:r>
      <w:r>
        <w:rPr>
          <w:rFonts w:hint="eastAsia" w:eastAsia="方正小标宋简体"/>
          <w:sz w:val="44"/>
          <w:szCs w:val="44"/>
        </w:rPr>
        <w:t>（</w:t>
      </w:r>
      <w:r>
        <w:rPr>
          <w:rFonts w:eastAsia="方正小标宋简体"/>
          <w:sz w:val="44"/>
          <w:szCs w:val="44"/>
        </w:rPr>
        <w:t>促进</w:t>
      </w:r>
      <w:r>
        <w:rPr>
          <w:rFonts w:hint="eastAsia" w:eastAsia="方正小标宋简体"/>
          <w:sz w:val="44"/>
          <w:szCs w:val="44"/>
        </w:rPr>
        <w:t>）</w:t>
      </w:r>
      <w:r>
        <w:rPr>
          <w:rFonts w:eastAsia="方正小标宋简体"/>
          <w:sz w:val="44"/>
          <w:szCs w:val="44"/>
        </w:rPr>
        <w:t>社区/村标准</w:t>
      </w:r>
    </w:p>
    <w:p>
      <w:pPr>
        <w:pStyle w:val="2"/>
        <w:spacing w:line="360" w:lineRule="exact"/>
        <w:ind w:firstLine="386"/>
      </w:pPr>
    </w:p>
    <w:tbl>
      <w:tblPr>
        <w:tblStyle w:val="10"/>
        <w:tblW w:w="12758" w:type="dxa"/>
        <w:tblInd w:w="108" w:type="dxa"/>
        <w:tblLayout w:type="fixed"/>
        <w:tblCellMar>
          <w:top w:w="0" w:type="dxa"/>
          <w:left w:w="108" w:type="dxa"/>
          <w:bottom w:w="0" w:type="dxa"/>
          <w:right w:w="108" w:type="dxa"/>
        </w:tblCellMar>
      </w:tblPr>
      <w:tblGrid>
        <w:gridCol w:w="1202"/>
        <w:gridCol w:w="1123"/>
        <w:gridCol w:w="4621"/>
        <w:gridCol w:w="4253"/>
        <w:gridCol w:w="600"/>
        <w:gridCol w:w="959"/>
      </w:tblGrid>
      <w:tr>
        <w:tblPrEx>
          <w:tblCellMar>
            <w:top w:w="0" w:type="dxa"/>
            <w:left w:w="108" w:type="dxa"/>
            <w:bottom w:w="0" w:type="dxa"/>
            <w:right w:w="108" w:type="dxa"/>
          </w:tblCellMar>
        </w:tblPrEx>
        <w:trPr>
          <w:trHeight w:val="576" w:hRule="atLeast"/>
          <w:tblHeader/>
        </w:trPr>
        <w:tc>
          <w:tcPr>
            <w:tcW w:w="1202"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65" w:leftChars="-34" w:right="-81" w:rightChars="-42"/>
              <w:jc w:val="center"/>
              <w:rPr>
                <w:rFonts w:eastAsia="黑体"/>
                <w:bCs/>
                <w:szCs w:val="21"/>
              </w:rPr>
            </w:pPr>
            <w:r>
              <w:rPr>
                <w:rFonts w:eastAsia="黑体"/>
                <w:bCs/>
                <w:szCs w:val="21"/>
              </w:rPr>
              <w:t>一级指标</w:t>
            </w:r>
          </w:p>
        </w:tc>
        <w:tc>
          <w:tcPr>
            <w:tcW w:w="1123" w:type="dxa"/>
            <w:tcBorders>
              <w:top w:val="single" w:color="auto" w:sz="4" w:space="0"/>
              <w:left w:val="nil"/>
              <w:bottom w:val="single" w:color="auto" w:sz="4" w:space="0"/>
              <w:right w:val="single" w:color="auto" w:sz="4" w:space="0"/>
            </w:tcBorders>
            <w:noWrap/>
            <w:vAlign w:val="center"/>
          </w:tcPr>
          <w:p>
            <w:pPr>
              <w:spacing w:line="280" w:lineRule="exact"/>
              <w:ind w:left="-65" w:leftChars="-34" w:right="-81" w:rightChars="-42"/>
              <w:jc w:val="center"/>
              <w:rPr>
                <w:rFonts w:eastAsia="黑体"/>
                <w:bCs/>
                <w:szCs w:val="21"/>
              </w:rPr>
            </w:pPr>
            <w:r>
              <w:rPr>
                <w:rFonts w:eastAsia="黑体"/>
                <w:bCs/>
                <w:szCs w:val="21"/>
              </w:rPr>
              <w:t>二级指标</w:t>
            </w:r>
          </w:p>
        </w:tc>
        <w:tc>
          <w:tcPr>
            <w:tcW w:w="4621" w:type="dxa"/>
            <w:tcBorders>
              <w:top w:val="single" w:color="auto" w:sz="4" w:space="0"/>
              <w:left w:val="nil"/>
              <w:bottom w:val="single" w:color="auto" w:sz="4" w:space="0"/>
              <w:right w:val="single" w:color="auto" w:sz="4" w:space="0"/>
            </w:tcBorders>
            <w:noWrap/>
            <w:vAlign w:val="center"/>
          </w:tcPr>
          <w:p>
            <w:pPr>
              <w:topLinePunct/>
              <w:spacing w:line="280" w:lineRule="exact"/>
              <w:ind w:left="-65" w:leftChars="-34" w:right="-81" w:rightChars="-42"/>
              <w:jc w:val="center"/>
              <w:rPr>
                <w:rFonts w:eastAsia="黑体"/>
                <w:bCs/>
                <w:szCs w:val="21"/>
              </w:rPr>
            </w:pPr>
            <w:r>
              <w:rPr>
                <w:rFonts w:eastAsia="黑体"/>
                <w:bCs/>
                <w:szCs w:val="21"/>
              </w:rPr>
              <w:t>指标解释</w:t>
            </w:r>
          </w:p>
        </w:tc>
        <w:tc>
          <w:tcPr>
            <w:tcW w:w="4253" w:type="dxa"/>
            <w:tcBorders>
              <w:top w:val="single" w:color="auto" w:sz="4" w:space="0"/>
              <w:left w:val="nil"/>
              <w:bottom w:val="single" w:color="auto" w:sz="4" w:space="0"/>
              <w:right w:val="single" w:color="auto" w:sz="4" w:space="0"/>
            </w:tcBorders>
            <w:noWrap/>
            <w:vAlign w:val="center"/>
          </w:tcPr>
          <w:p>
            <w:pPr>
              <w:spacing w:line="280" w:lineRule="exact"/>
              <w:ind w:left="-65" w:leftChars="-34" w:right="-81" w:rightChars="-42"/>
              <w:jc w:val="center"/>
              <w:rPr>
                <w:rFonts w:eastAsia="黑体"/>
                <w:bCs/>
                <w:szCs w:val="21"/>
              </w:rPr>
            </w:pPr>
            <w:r>
              <w:rPr>
                <w:rFonts w:eastAsia="黑体"/>
                <w:bCs/>
                <w:szCs w:val="21"/>
              </w:rPr>
              <w:t>评分标准</w:t>
            </w:r>
          </w:p>
        </w:tc>
        <w:tc>
          <w:tcPr>
            <w:tcW w:w="600" w:type="dxa"/>
            <w:tcBorders>
              <w:top w:val="single" w:color="auto" w:sz="4" w:space="0"/>
              <w:left w:val="nil"/>
              <w:bottom w:val="single" w:color="auto" w:sz="4" w:space="0"/>
              <w:right w:val="single" w:color="auto" w:sz="4" w:space="0"/>
            </w:tcBorders>
            <w:noWrap/>
            <w:vAlign w:val="center"/>
          </w:tcPr>
          <w:p>
            <w:pPr>
              <w:spacing w:line="280" w:lineRule="exact"/>
              <w:ind w:left="-65" w:leftChars="-34" w:right="-81" w:rightChars="-42"/>
              <w:jc w:val="center"/>
              <w:rPr>
                <w:rFonts w:eastAsia="黑体"/>
                <w:bCs/>
                <w:szCs w:val="21"/>
              </w:rPr>
            </w:pPr>
            <w:r>
              <w:rPr>
                <w:rFonts w:eastAsia="黑体"/>
                <w:bCs/>
                <w:szCs w:val="21"/>
              </w:rPr>
              <w:t>分值</w:t>
            </w:r>
          </w:p>
        </w:tc>
        <w:tc>
          <w:tcPr>
            <w:tcW w:w="959" w:type="dxa"/>
            <w:tcBorders>
              <w:top w:val="single" w:color="auto" w:sz="4" w:space="0"/>
              <w:left w:val="nil"/>
              <w:bottom w:val="single" w:color="auto" w:sz="4" w:space="0"/>
              <w:right w:val="single" w:color="auto" w:sz="4" w:space="0"/>
            </w:tcBorders>
            <w:noWrap/>
            <w:vAlign w:val="center"/>
          </w:tcPr>
          <w:p>
            <w:pPr>
              <w:spacing w:line="280" w:lineRule="exact"/>
              <w:ind w:left="-65" w:leftChars="-34" w:right="-81" w:rightChars="-42"/>
              <w:jc w:val="center"/>
              <w:rPr>
                <w:rFonts w:eastAsia="黑体"/>
                <w:bCs/>
                <w:szCs w:val="21"/>
              </w:rPr>
            </w:pPr>
            <w:r>
              <w:rPr>
                <w:rFonts w:eastAsia="黑体"/>
                <w:bCs/>
                <w:szCs w:val="21"/>
              </w:rPr>
              <w:t>考核办法</w:t>
            </w:r>
          </w:p>
        </w:tc>
      </w:tr>
      <w:tr>
        <w:tblPrEx>
          <w:tblCellMar>
            <w:top w:w="0" w:type="dxa"/>
            <w:left w:w="108" w:type="dxa"/>
            <w:bottom w:w="0" w:type="dxa"/>
            <w:right w:w="108" w:type="dxa"/>
          </w:tblCellMar>
        </w:tblPrEx>
        <w:trPr>
          <w:cantSplit/>
          <w:trHeight w:val="901" w:hRule="atLeast"/>
        </w:trPr>
        <w:tc>
          <w:tcPr>
            <w:tcW w:w="1202"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一、组织管理（20分）</w:t>
            </w: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承诺倡导</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居委会/行政村承诺建设健康（促进）社区/村。</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居委会/行政村采取签署承诺书等形式，承诺开展健康（促进）社区/村建设工作，得2分。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听取汇报，查阅档案</w:t>
            </w:r>
          </w:p>
        </w:tc>
      </w:tr>
      <w:tr>
        <w:tblPrEx>
          <w:tblCellMar>
            <w:top w:w="0" w:type="dxa"/>
            <w:left w:w="108" w:type="dxa"/>
            <w:bottom w:w="0" w:type="dxa"/>
            <w:right w:w="108" w:type="dxa"/>
          </w:tblCellMar>
        </w:tblPrEx>
        <w:trPr>
          <w:trHeight w:val="1124"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采取召开全体居民大会、倡议书入户、户外公共牌等形式，倡导辖区各单位和家庭户积极参与健康（促进）社区/村建设。</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采取召开全体居民大会、倡议书入户、户外公共牌等形式，倡导辖区各单位和家庭户积极参与健康社（促进）区/村建设，得3分。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45"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协调机制</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成立社区/行政村主要负责同志参加的健康促进社区领导小组，明确职责分工。</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成立主要领导牵头的领导小组得2分。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43"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每季度召开工作例会，讨论社区主要健康问题并提出具体应对措施。</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每年召开工作例会4次得3分，3次得2分，2次得1分。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685"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规章制度</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将健康（促进）社区/村建设纳入社区发展规划。</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将健康（促进）社区/村建设纳入社区发展规划，得2分。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1559"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制定促进社区健康的规章制度和相关措施，如改善社区环境卫生、落实公共场所无烟、促进居民采取健康生活方式、预防控制重大疾病和突发公共卫生事件、困难家庭健康帮扶措施等。</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制定促进社区健康的规章制度和措施，每制定一条得1分，累计不超过3分。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14" w:hRule="atLeast"/>
        </w:trPr>
        <w:tc>
          <w:tcPr>
            <w:tcW w:w="1202" w:type="dxa"/>
            <w:vMerge w:val="restart"/>
            <w:tcBorders>
              <w:top w:val="single" w:color="auto" w:sz="4" w:space="0"/>
              <w:left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一、组织管理（20分）</w:t>
            </w: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组织实施</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有专人负责健康社区工作，定期接受健康促进培训。</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有专人负责健康社区工作，得1分。每年接受健康促进培训达2次得1分，1次得0</w:t>
            </w:r>
            <w:r>
              <w:rPr>
                <w:rFonts w:hint="eastAsia" w:eastAsia="仿宋_GB2312"/>
                <w:szCs w:val="21"/>
                <w:lang w:val="en-US" w:eastAsia="zh-CN"/>
              </w:rPr>
              <w:t>.</w:t>
            </w:r>
            <w:r>
              <w:rPr>
                <w:rFonts w:hint="eastAsia" w:eastAsia="仿宋_GB2312"/>
                <w:szCs w:val="21"/>
              </w:rPr>
              <w:t>5分。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restart"/>
            <w:tcBorders>
              <w:top w:val="single" w:color="auto" w:sz="4" w:space="0"/>
              <w:left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听取汇报，查阅档案</w:t>
            </w:r>
          </w:p>
        </w:tc>
      </w:tr>
      <w:tr>
        <w:tblPrEx>
          <w:tblCellMar>
            <w:top w:w="0" w:type="dxa"/>
            <w:left w:w="108" w:type="dxa"/>
            <w:bottom w:w="0" w:type="dxa"/>
            <w:right w:w="108" w:type="dxa"/>
          </w:tblCellMar>
        </w:tblPrEx>
        <w:trPr>
          <w:trHeight w:val="1265" w:hRule="atLeast"/>
        </w:trPr>
        <w:tc>
          <w:tcPr>
            <w:tcW w:w="1202" w:type="dxa"/>
            <w:vMerge w:val="continue"/>
            <w:tcBorders>
              <w:left w:val="single" w:color="auto" w:sz="4" w:space="0"/>
              <w:bottom w:val="nil"/>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制定健康促进工作计划，定期总结。资料齐全，整理规范。</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有健康（促进）社区/村工作方案或计划，得1分。建设的文字、图片、实物等过程资料齐全、整理规范，得1分。有工作总结结构合理、内容详实得1分。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continue"/>
            <w:tcBorders>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42" w:hRule="atLeast"/>
        </w:trPr>
        <w:tc>
          <w:tcPr>
            <w:tcW w:w="1202" w:type="dxa"/>
            <w:vMerge w:val="restart"/>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二、健康环境（20分）</w:t>
            </w: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无烟环境</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辖区内所有室内公共场所、工作场所和公共交通工具一律禁止吸烟。</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居/村委会办公室、卫生室、主要道路没有发现烟头或者吸烟现象，得3分。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continue"/>
            <w:tcBorders>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41" w:hRule="atLeast"/>
        </w:trPr>
        <w:tc>
          <w:tcPr>
            <w:tcW w:w="1202" w:type="dxa"/>
            <w:vMerge w:val="continue"/>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社区主要建筑物入口处、电梯、公共厕所、会议室等区域有明显的无烟标识。</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居/村委会主要建筑物入口处、电梯、公共厕所、会议室有禁烟标识和健康提示，得3分。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restart"/>
            <w:tcBorders>
              <w:top w:val="single" w:color="auto" w:sz="4" w:space="0"/>
              <w:left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听取汇报查阅档案，现场查看</w:t>
            </w:r>
          </w:p>
        </w:tc>
      </w:tr>
      <w:tr>
        <w:tblPrEx>
          <w:tblCellMar>
            <w:top w:w="0" w:type="dxa"/>
            <w:left w:w="108" w:type="dxa"/>
            <w:bottom w:w="0" w:type="dxa"/>
            <w:right w:w="108" w:type="dxa"/>
          </w:tblCellMar>
        </w:tblPrEx>
        <w:trPr>
          <w:trHeight w:val="569" w:hRule="atLeast"/>
        </w:trPr>
        <w:tc>
          <w:tcPr>
            <w:tcW w:w="1202" w:type="dxa"/>
            <w:vMerge w:val="continue"/>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社区内无烟草广告和促销。</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社区内无烟草广告和促销，得2分。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continue"/>
            <w:tcBorders>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32" w:hRule="atLeast"/>
        </w:trPr>
        <w:tc>
          <w:tcPr>
            <w:tcW w:w="1202" w:type="dxa"/>
            <w:vMerge w:val="continue"/>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自然环境</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环境整洁，垃圾箱数量满足需要，垃圾日产日清。</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环境整洁，垃圾箱整洁，无垃圾零散堆放现象，得3分。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continue"/>
            <w:tcBorders>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703" w:hRule="atLeast"/>
        </w:trPr>
        <w:tc>
          <w:tcPr>
            <w:tcW w:w="1202" w:type="dxa"/>
            <w:vMerge w:val="continue"/>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使用卫生厕所家庭比例达到80%，粪便无害化处理。</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农村使用卫生厕所比例达到80%，或者城市公共厕所清洁卫生，得3分。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3</w:t>
            </w:r>
          </w:p>
        </w:tc>
        <w:tc>
          <w:tcPr>
            <w:tcW w:w="959" w:type="dxa"/>
            <w:vMerge w:val="continue"/>
            <w:tcBorders>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27" w:hRule="atLeast"/>
        </w:trPr>
        <w:tc>
          <w:tcPr>
            <w:tcW w:w="1202" w:type="dxa"/>
            <w:vMerge w:val="continue"/>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人文环境</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有固定健身场所和基本的健身设备，设备定期维护以保证正常使用，有安全提示。</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有固定健身场所和基本的健身设备，得1分。健身设备无健康隐患，周边有安全提示，得1分。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continue"/>
            <w:tcBorders>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39" w:hRule="atLeast"/>
        </w:trPr>
        <w:tc>
          <w:tcPr>
            <w:tcW w:w="1202" w:type="dxa"/>
            <w:vMerge w:val="continue"/>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有健康文化场所，提供健康教育资料，提供交流环境。</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 有开展健康文化的场所，得1分。该场所提供健康教育资料，定期组织健康交流，得1分。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continue"/>
            <w:tcBorders>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579" w:hRule="atLeast"/>
        </w:trPr>
        <w:tc>
          <w:tcPr>
            <w:tcW w:w="1202" w:type="dxa"/>
            <w:vMerge w:val="continue"/>
            <w:tcBorders>
              <w:top w:val="single" w:color="auto" w:sz="4" w:space="0"/>
              <w:left w:val="single" w:color="auto" w:sz="4" w:space="0"/>
              <w:bottom w:val="single" w:color="000000"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对弱势群体有健康帮扶措施。</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对弱势群体有健康帮扶措施，得2分。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959" w:type="dxa"/>
            <w:vMerge w:val="continue"/>
            <w:tcBorders>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1254" w:hRule="atLeast"/>
        </w:trPr>
        <w:tc>
          <w:tcPr>
            <w:tcW w:w="1202"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三、健康活动（50分）</w:t>
            </w:r>
          </w:p>
        </w:tc>
        <w:tc>
          <w:tcPr>
            <w:tcW w:w="112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基本健康教育服务</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配合基层医疗卫生机构开展健康教育活动，活动质量和频次符合基本公共卫生服务项目要求。</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有开展健康教育工作的计划和总结，得2分。每年开展4次以上健康教育讲座，得2分。每年开展健康咨询，得2分。建有健康教育宣传栏并定期更新，得2分。定期发放健康教育材料，得2分。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10</w:t>
            </w:r>
          </w:p>
        </w:tc>
        <w:tc>
          <w:tcPr>
            <w:tcW w:w="959" w:type="dxa"/>
            <w:vMerge w:val="restart"/>
            <w:tcBorders>
              <w:top w:val="single" w:color="auto" w:sz="4" w:space="0"/>
              <w:left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听取汇报查阅档案，现场查看</w:t>
            </w:r>
          </w:p>
        </w:tc>
      </w:tr>
      <w:tr>
        <w:tblPrEx>
          <w:tblCellMar>
            <w:top w:w="0" w:type="dxa"/>
            <w:left w:w="108" w:type="dxa"/>
            <w:bottom w:w="0" w:type="dxa"/>
            <w:right w:w="108" w:type="dxa"/>
          </w:tblCellMar>
        </w:tblPrEx>
        <w:trPr>
          <w:trHeight w:val="1017" w:hRule="atLeast"/>
        </w:trPr>
        <w:tc>
          <w:tcPr>
            <w:tcW w:w="1202"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健康家庭</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配合有关部门，组织社区居民参加健康家庭评选活动。</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有健康家庭评选工作计划和总结，有具体步骤和流程，得2分。动员、组织辖区居民参加健康家庭评选，得2分。开展针对家庭的健康活动，得2分。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6</w:t>
            </w:r>
          </w:p>
        </w:tc>
        <w:tc>
          <w:tcPr>
            <w:tcW w:w="959" w:type="dxa"/>
            <w:vMerge w:val="continue"/>
            <w:tcBorders>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1016" w:hRule="atLeast"/>
        </w:trPr>
        <w:tc>
          <w:tcPr>
            <w:tcW w:w="1202"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选出的健康家庭符合健康家庭标准，对辖区其他家庭起到示范带头作用。</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现场进入一个健康家庭，家庭环境清洁得1分；有健康标识和健康材料得1分；无人吸烟得1分；家庭关系和邻里关系和谐得1分。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4</w:t>
            </w:r>
          </w:p>
        </w:tc>
        <w:tc>
          <w:tcPr>
            <w:tcW w:w="959" w:type="dxa"/>
            <w:vMerge w:val="continue"/>
            <w:tcBorders>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1612" w:hRule="atLeast"/>
        </w:trPr>
        <w:tc>
          <w:tcPr>
            <w:tcW w:w="1202"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restart"/>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主题活动</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社区每年自发组织4次以上健康讲座。（讲座主题在辖区健康教育机构的业务指导下确定。可包括以下内容：科学就医、合理用药、传染病预防、安全急救；合理膳食、适量运动、戒烟限酒、心理平衡；母婴保健、科学育儿、健康老龄等。）</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每年开展4次及以上健康讲座或咨询得10分，2-3次得5分。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10</w:t>
            </w:r>
          </w:p>
        </w:tc>
        <w:tc>
          <w:tcPr>
            <w:tcW w:w="95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64" w:hRule="atLeast"/>
        </w:trPr>
        <w:tc>
          <w:tcPr>
            <w:tcW w:w="1202"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每年举办2次以上面向辖区居民的集体活动。（如健康知识竞赛、健康演讲比赛、戒烟竞赛、健康展览展示、社区体育活动等。）</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每年举办2次及以上、50个以上居民参与的集体活动，得10分，1次得5分。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10</w:t>
            </w:r>
          </w:p>
        </w:tc>
        <w:tc>
          <w:tcPr>
            <w:tcW w:w="959" w:type="dxa"/>
            <w:vMerge w:val="restart"/>
            <w:tcBorders>
              <w:top w:val="single" w:color="auto" w:sz="4" w:space="0"/>
              <w:left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864" w:hRule="atLeast"/>
        </w:trPr>
        <w:tc>
          <w:tcPr>
            <w:tcW w:w="1202"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1123" w:type="dxa"/>
            <w:vMerge w:val="continue"/>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开展有特色的健康教育活动，为居民提供健康自测和技术指导。（如健康小屋、健康加油站、健康餐厅、健康一条街、健康俱乐部等。）</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开展有特色的健康教育活动，得5分。采取某种形式，为居民提供健康自测和健康指导，得5分。</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10</w:t>
            </w:r>
          </w:p>
        </w:tc>
        <w:tc>
          <w:tcPr>
            <w:tcW w:w="959" w:type="dxa"/>
            <w:vMerge w:val="continue"/>
            <w:tcBorders>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p>
        </w:tc>
      </w:tr>
      <w:tr>
        <w:tblPrEx>
          <w:tblCellMar>
            <w:top w:w="0" w:type="dxa"/>
            <w:left w:w="108" w:type="dxa"/>
            <w:bottom w:w="0" w:type="dxa"/>
            <w:right w:w="108" w:type="dxa"/>
          </w:tblCellMar>
        </w:tblPrEx>
        <w:trPr>
          <w:trHeight w:val="745" w:hRule="atLeast"/>
        </w:trPr>
        <w:tc>
          <w:tcPr>
            <w:tcW w:w="1202" w:type="dxa"/>
            <w:tcBorders>
              <w:top w:val="nil"/>
              <w:left w:val="single" w:color="auto" w:sz="4" w:space="0"/>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四、建设效果（10分）</w:t>
            </w:r>
          </w:p>
        </w:tc>
        <w:tc>
          <w:tcPr>
            <w:tcW w:w="112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目标人群评价</w:t>
            </w: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目标人群对健康促进工作支持、理解、满意；目标人群的健康素养水平。</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随机抽取20户居民，开展满意度评价。</w:t>
            </w:r>
          </w:p>
          <w:p>
            <w:pPr>
              <w:spacing w:line="280" w:lineRule="exact"/>
              <w:rPr>
                <w:rFonts w:hint="eastAsia" w:eastAsia="仿宋_GB2312"/>
                <w:szCs w:val="21"/>
              </w:rPr>
            </w:pPr>
            <w:r>
              <w:rPr>
                <w:rFonts w:hint="eastAsia" w:eastAsia="仿宋_GB2312"/>
                <w:szCs w:val="21"/>
              </w:rPr>
              <w:t>随机抽取20户居民，开展居民健康素养调查。</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10</w:t>
            </w:r>
          </w:p>
        </w:tc>
        <w:tc>
          <w:tcPr>
            <w:tcW w:w="9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快速</w:t>
            </w:r>
          </w:p>
          <w:p>
            <w:pPr>
              <w:spacing w:line="280" w:lineRule="exact"/>
              <w:jc w:val="center"/>
              <w:rPr>
                <w:rFonts w:hint="eastAsia" w:eastAsia="仿宋_GB2312"/>
                <w:szCs w:val="21"/>
              </w:rPr>
            </w:pPr>
            <w:r>
              <w:rPr>
                <w:rFonts w:hint="eastAsia" w:eastAsia="仿宋_GB2312"/>
                <w:szCs w:val="21"/>
              </w:rPr>
              <w:t>调查</w:t>
            </w:r>
          </w:p>
        </w:tc>
      </w:tr>
      <w:tr>
        <w:tblPrEx>
          <w:tblCellMar>
            <w:top w:w="0" w:type="dxa"/>
            <w:left w:w="108" w:type="dxa"/>
            <w:bottom w:w="0" w:type="dxa"/>
            <w:right w:w="108" w:type="dxa"/>
          </w:tblCellMar>
        </w:tblPrEx>
        <w:trPr>
          <w:trHeight w:val="492" w:hRule="atLeast"/>
        </w:trPr>
        <w:tc>
          <w:tcPr>
            <w:tcW w:w="1202"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合计</w:t>
            </w:r>
          </w:p>
        </w:tc>
        <w:tc>
          <w:tcPr>
            <w:tcW w:w="112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p>
        </w:tc>
        <w:tc>
          <w:tcPr>
            <w:tcW w:w="4621"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　</w:t>
            </w:r>
          </w:p>
        </w:tc>
        <w:tc>
          <w:tcPr>
            <w:tcW w:w="4253"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　</w:t>
            </w:r>
          </w:p>
        </w:tc>
        <w:tc>
          <w:tcPr>
            <w:tcW w:w="600"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100</w:t>
            </w:r>
          </w:p>
        </w:tc>
        <w:tc>
          <w:tcPr>
            <w:tcW w:w="959"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p>
        </w:tc>
      </w:tr>
    </w:tbl>
    <w:p>
      <w:pPr>
        <w:widowControl/>
        <w:spacing w:line="276" w:lineRule="auto"/>
        <w:rPr>
          <w:rFonts w:eastAsia="黑体"/>
          <w:sz w:val="32"/>
          <w:szCs w:val="32"/>
        </w:rPr>
        <w:sectPr>
          <w:footerReference r:id="rId11" w:type="even"/>
          <w:pgSz w:w="16838" w:h="11906" w:orient="landscape"/>
          <w:pgMar w:top="1587" w:right="2098" w:bottom="1474" w:left="1984" w:header="851" w:footer="1077" w:gutter="0"/>
          <w:pgNumType w:fmt="numberInDash"/>
          <w:cols w:space="720" w:num="1"/>
          <w:docGrid w:type="linesAndChars" w:linePitch="590" w:charSpace="-3481"/>
        </w:sectPr>
      </w:pPr>
    </w:p>
    <w:p>
      <w:pPr>
        <w:widowControl/>
        <w:spacing w:line="560" w:lineRule="exact"/>
        <w:rPr>
          <w:rFonts w:hint="eastAsia" w:eastAsia="黑体"/>
          <w:sz w:val="32"/>
          <w:szCs w:val="32"/>
        </w:rPr>
      </w:pPr>
      <w:r>
        <w:rPr>
          <w:rFonts w:eastAsia="黑体"/>
          <w:sz w:val="32"/>
          <w:szCs w:val="32"/>
        </w:rPr>
        <w:t>附件5</w:t>
      </w:r>
    </w:p>
    <w:p>
      <w:pPr>
        <w:pStyle w:val="2"/>
        <w:spacing w:line="560" w:lineRule="exact"/>
        <w:ind w:firstLine="390"/>
      </w:pPr>
    </w:p>
    <w:p>
      <w:pPr>
        <w:overflowPunct w:val="0"/>
        <w:spacing w:line="560" w:lineRule="exact"/>
        <w:jc w:val="center"/>
        <w:rPr>
          <w:rFonts w:eastAsia="方正小标宋简体"/>
          <w:sz w:val="44"/>
          <w:szCs w:val="44"/>
        </w:rPr>
      </w:pPr>
      <w:r>
        <w:rPr>
          <w:rFonts w:eastAsia="方正小标宋简体"/>
          <w:sz w:val="44"/>
          <w:szCs w:val="44"/>
        </w:rPr>
        <w:t>健康家庭评选标准</w:t>
      </w:r>
    </w:p>
    <w:p>
      <w:pPr>
        <w:widowControl/>
        <w:spacing w:line="560" w:lineRule="exact"/>
        <w:jc w:val="left"/>
        <w:rPr>
          <w:kern w:val="0"/>
          <w:sz w:val="24"/>
        </w:rPr>
      </w:pPr>
    </w:p>
    <w:p>
      <w:pPr>
        <w:spacing w:line="560" w:lineRule="exact"/>
        <w:ind w:firstLine="604" w:firstLineChars="200"/>
        <w:rPr>
          <w:rFonts w:eastAsia="仿宋_GB2312"/>
          <w:spacing w:val="-2"/>
          <w:sz w:val="32"/>
          <w:szCs w:val="32"/>
        </w:rPr>
      </w:pPr>
      <w:r>
        <w:rPr>
          <w:rFonts w:eastAsia="仿宋_GB2312"/>
          <w:spacing w:val="-2"/>
          <w:sz w:val="32"/>
          <w:szCs w:val="32"/>
        </w:rPr>
        <w:t>各区县结合当地实际情况，采取媒体动员、社区组织、自愿申报、社区推荐、区县评选等方式，开展健康家庭评选活动。</w:t>
      </w:r>
    </w:p>
    <w:p>
      <w:pPr>
        <w:spacing w:line="560" w:lineRule="exact"/>
        <w:ind w:firstLine="604" w:firstLineChars="200"/>
        <w:rPr>
          <w:rFonts w:eastAsia="仿宋_GB2312"/>
          <w:spacing w:val="-2"/>
          <w:sz w:val="32"/>
          <w:szCs w:val="32"/>
        </w:rPr>
      </w:pPr>
      <w:r>
        <w:rPr>
          <w:rFonts w:eastAsia="仿宋_GB2312"/>
          <w:spacing w:val="-2"/>
          <w:sz w:val="32"/>
          <w:szCs w:val="32"/>
        </w:rPr>
        <w:t>健康家庭标准如下：</w:t>
      </w:r>
    </w:p>
    <w:p>
      <w:pPr>
        <w:spacing w:line="560" w:lineRule="exact"/>
        <w:ind w:firstLine="604" w:firstLineChars="200"/>
        <w:jc w:val="left"/>
        <w:rPr>
          <w:rFonts w:eastAsia="黑体"/>
          <w:spacing w:val="-2"/>
          <w:sz w:val="32"/>
          <w:szCs w:val="32"/>
        </w:rPr>
      </w:pPr>
      <w:r>
        <w:rPr>
          <w:rFonts w:eastAsia="黑体"/>
          <w:spacing w:val="-2"/>
          <w:sz w:val="32"/>
          <w:szCs w:val="32"/>
        </w:rPr>
        <w:t>评选标准</w:t>
      </w:r>
    </w:p>
    <w:p>
      <w:pPr>
        <w:spacing w:line="560" w:lineRule="exact"/>
        <w:ind w:firstLine="604" w:firstLineChars="200"/>
        <w:jc w:val="left"/>
        <w:rPr>
          <w:rFonts w:eastAsia="仿宋_GB2312"/>
          <w:spacing w:val="-2"/>
          <w:sz w:val="32"/>
          <w:szCs w:val="32"/>
        </w:rPr>
      </w:pPr>
      <w:r>
        <w:rPr>
          <w:rFonts w:eastAsia="仿宋_GB2312"/>
          <w:spacing w:val="-2"/>
          <w:sz w:val="32"/>
          <w:szCs w:val="32"/>
        </w:rPr>
        <w:t>1</w:t>
      </w:r>
      <w:r>
        <w:rPr>
          <w:rFonts w:hint="eastAsia" w:eastAsia="仿宋_GB2312"/>
          <w:spacing w:val="-2"/>
          <w:sz w:val="32"/>
          <w:szCs w:val="32"/>
        </w:rPr>
        <w:t>．</w:t>
      </w:r>
      <w:r>
        <w:rPr>
          <w:rFonts w:eastAsia="仿宋_GB2312"/>
          <w:spacing w:val="-2"/>
          <w:sz w:val="32"/>
          <w:szCs w:val="32"/>
        </w:rPr>
        <w:t>家庭卫生整洁，光线充足，通风良好。</w:t>
      </w:r>
    </w:p>
    <w:p>
      <w:pPr>
        <w:spacing w:line="560" w:lineRule="exact"/>
        <w:ind w:firstLine="604" w:firstLineChars="200"/>
        <w:jc w:val="left"/>
        <w:rPr>
          <w:rFonts w:eastAsia="仿宋_GB2312"/>
          <w:spacing w:val="-2"/>
          <w:sz w:val="32"/>
          <w:szCs w:val="32"/>
        </w:rPr>
      </w:pPr>
      <w:r>
        <w:rPr>
          <w:rFonts w:eastAsia="仿宋_GB2312"/>
          <w:spacing w:val="-2"/>
          <w:sz w:val="32"/>
          <w:szCs w:val="32"/>
        </w:rPr>
        <w:t>2</w:t>
      </w:r>
      <w:r>
        <w:rPr>
          <w:rFonts w:hint="eastAsia" w:eastAsia="仿宋_GB2312"/>
          <w:spacing w:val="-2"/>
          <w:sz w:val="32"/>
          <w:szCs w:val="32"/>
        </w:rPr>
        <w:t>．</w:t>
      </w:r>
      <w:r>
        <w:rPr>
          <w:rFonts w:eastAsia="仿宋_GB2312"/>
          <w:spacing w:val="-2"/>
          <w:sz w:val="32"/>
          <w:szCs w:val="32"/>
        </w:rPr>
        <w:t>厕所卫生，垃圾定点投放，文明饲养禽畜宠物。</w:t>
      </w:r>
    </w:p>
    <w:p>
      <w:pPr>
        <w:spacing w:line="560" w:lineRule="exact"/>
        <w:ind w:firstLine="604" w:firstLineChars="200"/>
        <w:jc w:val="left"/>
        <w:rPr>
          <w:rFonts w:eastAsia="仿宋_GB2312"/>
          <w:spacing w:val="-2"/>
          <w:sz w:val="32"/>
          <w:szCs w:val="32"/>
        </w:rPr>
      </w:pPr>
      <w:r>
        <w:rPr>
          <w:rFonts w:eastAsia="仿宋_GB2312"/>
          <w:spacing w:val="-2"/>
          <w:sz w:val="32"/>
          <w:szCs w:val="32"/>
        </w:rPr>
        <w:t>3</w:t>
      </w:r>
      <w:r>
        <w:rPr>
          <w:rFonts w:hint="eastAsia" w:eastAsia="仿宋_GB2312"/>
          <w:spacing w:val="-2"/>
          <w:sz w:val="32"/>
          <w:szCs w:val="32"/>
        </w:rPr>
        <w:t>．</w:t>
      </w:r>
      <w:r>
        <w:rPr>
          <w:rFonts w:eastAsia="仿宋_GB2312"/>
          <w:spacing w:val="-2"/>
          <w:sz w:val="32"/>
          <w:szCs w:val="32"/>
        </w:rPr>
        <w:t>主动学习健康知识，树立健康理念。</w:t>
      </w:r>
    </w:p>
    <w:p>
      <w:pPr>
        <w:spacing w:line="560" w:lineRule="exact"/>
        <w:ind w:firstLine="604" w:firstLineChars="200"/>
        <w:jc w:val="left"/>
        <w:rPr>
          <w:rFonts w:eastAsia="仿宋_GB2312"/>
          <w:spacing w:val="-2"/>
          <w:sz w:val="32"/>
          <w:szCs w:val="32"/>
        </w:rPr>
      </w:pPr>
      <w:r>
        <w:rPr>
          <w:rFonts w:eastAsia="仿宋_GB2312"/>
          <w:spacing w:val="-2"/>
          <w:sz w:val="32"/>
          <w:szCs w:val="32"/>
        </w:rPr>
        <w:t>4</w:t>
      </w:r>
      <w:r>
        <w:rPr>
          <w:rFonts w:hint="eastAsia" w:eastAsia="仿宋_GB2312"/>
          <w:spacing w:val="-2"/>
          <w:sz w:val="32"/>
          <w:szCs w:val="32"/>
        </w:rPr>
        <w:t>．</w:t>
      </w:r>
      <w:r>
        <w:rPr>
          <w:rFonts w:eastAsia="仿宋_GB2312"/>
          <w:spacing w:val="-2"/>
          <w:sz w:val="32"/>
          <w:szCs w:val="32"/>
        </w:rPr>
        <w:t>养成良好生活习惯，讲究个人卫生。</w:t>
      </w:r>
    </w:p>
    <w:p>
      <w:pPr>
        <w:spacing w:line="560" w:lineRule="exact"/>
        <w:ind w:firstLine="604" w:firstLineChars="200"/>
        <w:jc w:val="left"/>
        <w:rPr>
          <w:rFonts w:eastAsia="仿宋_GB2312"/>
          <w:spacing w:val="-2"/>
          <w:sz w:val="32"/>
          <w:szCs w:val="32"/>
        </w:rPr>
      </w:pPr>
      <w:r>
        <w:rPr>
          <w:rFonts w:eastAsia="仿宋_GB2312"/>
          <w:spacing w:val="-2"/>
          <w:sz w:val="32"/>
          <w:szCs w:val="32"/>
        </w:rPr>
        <w:t>5</w:t>
      </w:r>
      <w:r>
        <w:rPr>
          <w:rFonts w:hint="eastAsia" w:eastAsia="仿宋_GB2312"/>
          <w:spacing w:val="-2"/>
          <w:sz w:val="32"/>
          <w:szCs w:val="32"/>
        </w:rPr>
        <w:t>．</w:t>
      </w:r>
      <w:r>
        <w:rPr>
          <w:rFonts w:eastAsia="仿宋_GB2312"/>
          <w:spacing w:val="-2"/>
          <w:sz w:val="32"/>
          <w:szCs w:val="32"/>
        </w:rPr>
        <w:t>合理膳食，戒烟限酒。</w:t>
      </w:r>
    </w:p>
    <w:p>
      <w:pPr>
        <w:spacing w:line="560" w:lineRule="exact"/>
        <w:ind w:firstLine="604" w:firstLineChars="200"/>
        <w:jc w:val="left"/>
        <w:rPr>
          <w:rFonts w:eastAsia="仿宋_GB2312"/>
          <w:spacing w:val="-2"/>
          <w:sz w:val="32"/>
          <w:szCs w:val="32"/>
        </w:rPr>
      </w:pPr>
      <w:r>
        <w:rPr>
          <w:rFonts w:eastAsia="仿宋_GB2312"/>
          <w:spacing w:val="-2"/>
          <w:sz w:val="32"/>
          <w:szCs w:val="32"/>
        </w:rPr>
        <w:t>6</w:t>
      </w:r>
      <w:r>
        <w:rPr>
          <w:rFonts w:hint="eastAsia" w:eastAsia="仿宋_GB2312"/>
          <w:spacing w:val="-2"/>
          <w:sz w:val="32"/>
          <w:szCs w:val="32"/>
        </w:rPr>
        <w:t>．</w:t>
      </w:r>
      <w:r>
        <w:rPr>
          <w:rFonts w:eastAsia="仿宋_GB2312"/>
          <w:spacing w:val="-2"/>
          <w:sz w:val="32"/>
          <w:szCs w:val="32"/>
        </w:rPr>
        <w:t>适量运动，心理平衡。</w:t>
      </w:r>
    </w:p>
    <w:p>
      <w:pPr>
        <w:spacing w:line="560" w:lineRule="exact"/>
        <w:ind w:firstLine="604" w:firstLineChars="200"/>
        <w:jc w:val="left"/>
        <w:rPr>
          <w:rFonts w:eastAsia="仿宋_GB2312"/>
          <w:spacing w:val="-2"/>
          <w:sz w:val="32"/>
          <w:szCs w:val="32"/>
        </w:rPr>
      </w:pPr>
      <w:r>
        <w:rPr>
          <w:rFonts w:eastAsia="仿宋_GB2312"/>
          <w:spacing w:val="-2"/>
          <w:sz w:val="32"/>
          <w:szCs w:val="32"/>
        </w:rPr>
        <w:t>7</w:t>
      </w:r>
      <w:r>
        <w:rPr>
          <w:rFonts w:hint="eastAsia" w:eastAsia="仿宋_GB2312"/>
          <w:spacing w:val="-2"/>
          <w:sz w:val="32"/>
          <w:szCs w:val="32"/>
        </w:rPr>
        <w:t>．</w:t>
      </w:r>
      <w:r>
        <w:rPr>
          <w:rFonts w:eastAsia="仿宋_GB2312"/>
          <w:spacing w:val="-2"/>
          <w:sz w:val="32"/>
          <w:szCs w:val="32"/>
        </w:rPr>
        <w:t>定期体检，科学就医。</w:t>
      </w:r>
    </w:p>
    <w:p>
      <w:pPr>
        <w:spacing w:line="560" w:lineRule="exact"/>
        <w:ind w:firstLine="604" w:firstLineChars="200"/>
        <w:jc w:val="left"/>
        <w:rPr>
          <w:rFonts w:eastAsia="仿宋_GB2312"/>
          <w:spacing w:val="-2"/>
          <w:sz w:val="32"/>
          <w:szCs w:val="32"/>
        </w:rPr>
      </w:pPr>
      <w:r>
        <w:rPr>
          <w:rFonts w:eastAsia="仿宋_GB2312"/>
          <w:spacing w:val="-2"/>
          <w:sz w:val="32"/>
          <w:szCs w:val="32"/>
        </w:rPr>
        <w:t>8</w:t>
      </w:r>
      <w:r>
        <w:rPr>
          <w:rFonts w:hint="eastAsia" w:eastAsia="仿宋_GB2312"/>
          <w:spacing w:val="-2"/>
          <w:sz w:val="32"/>
          <w:szCs w:val="32"/>
        </w:rPr>
        <w:t>．</w:t>
      </w:r>
      <w:r>
        <w:rPr>
          <w:rFonts w:eastAsia="仿宋_GB2312"/>
          <w:spacing w:val="-2"/>
          <w:sz w:val="32"/>
          <w:szCs w:val="32"/>
        </w:rPr>
        <w:t>优生优育，爱老敬老。</w:t>
      </w:r>
    </w:p>
    <w:p>
      <w:pPr>
        <w:spacing w:line="560" w:lineRule="exact"/>
        <w:ind w:firstLine="604" w:firstLineChars="200"/>
        <w:jc w:val="left"/>
        <w:rPr>
          <w:rFonts w:eastAsia="仿宋_GB2312"/>
          <w:spacing w:val="-2"/>
          <w:sz w:val="32"/>
          <w:szCs w:val="32"/>
        </w:rPr>
      </w:pPr>
      <w:r>
        <w:rPr>
          <w:rFonts w:eastAsia="仿宋_GB2312"/>
          <w:spacing w:val="-2"/>
          <w:sz w:val="32"/>
          <w:szCs w:val="32"/>
        </w:rPr>
        <w:t>9</w:t>
      </w:r>
      <w:r>
        <w:rPr>
          <w:rFonts w:hint="eastAsia" w:eastAsia="仿宋_GB2312"/>
          <w:spacing w:val="-2"/>
          <w:sz w:val="32"/>
          <w:szCs w:val="32"/>
        </w:rPr>
        <w:t>．</w:t>
      </w:r>
      <w:r>
        <w:rPr>
          <w:rFonts w:eastAsia="仿宋_GB2312"/>
          <w:spacing w:val="-2"/>
          <w:sz w:val="32"/>
          <w:szCs w:val="32"/>
        </w:rPr>
        <w:t>家庭和谐，崇尚公德。</w:t>
      </w:r>
    </w:p>
    <w:p>
      <w:pPr>
        <w:widowControl/>
        <w:spacing w:line="560" w:lineRule="exact"/>
        <w:ind w:firstLine="604" w:firstLineChars="200"/>
        <w:jc w:val="left"/>
        <w:rPr>
          <w:rFonts w:eastAsia="仿宋_GB2312"/>
          <w:spacing w:val="-2"/>
          <w:sz w:val="32"/>
          <w:szCs w:val="32"/>
        </w:rPr>
        <w:sectPr>
          <w:footerReference r:id="rId13" w:type="default"/>
          <w:headerReference r:id="rId12" w:type="even"/>
          <w:footerReference r:id="rId14" w:type="even"/>
          <w:pgSz w:w="11906" w:h="16838"/>
          <w:pgMar w:top="2098" w:right="1474" w:bottom="1985" w:left="1588" w:header="851" w:footer="1644" w:gutter="0"/>
          <w:pgNumType w:fmt="numberInDash"/>
          <w:cols w:space="720" w:num="1"/>
          <w:docGrid w:type="linesAndChars" w:linePitch="590" w:charSpace="-3072"/>
        </w:sectPr>
      </w:pPr>
      <w:r>
        <w:rPr>
          <w:rFonts w:eastAsia="仿宋_GB2312"/>
          <w:spacing w:val="-2"/>
          <w:sz w:val="32"/>
          <w:szCs w:val="32"/>
        </w:rPr>
        <w:t>10</w:t>
      </w:r>
      <w:r>
        <w:rPr>
          <w:rFonts w:hint="eastAsia" w:eastAsia="仿宋_GB2312"/>
          <w:spacing w:val="-2"/>
          <w:sz w:val="32"/>
          <w:szCs w:val="32"/>
        </w:rPr>
        <w:t>．</w:t>
      </w:r>
      <w:r>
        <w:rPr>
          <w:rFonts w:eastAsia="仿宋_GB2312"/>
          <w:spacing w:val="-2"/>
          <w:sz w:val="32"/>
          <w:szCs w:val="32"/>
        </w:rPr>
        <w:t>邻里互助，支持公益。</w:t>
      </w:r>
    </w:p>
    <w:p>
      <w:pPr>
        <w:widowControl/>
        <w:spacing w:line="560" w:lineRule="exact"/>
        <w:rPr>
          <w:rFonts w:hint="eastAsia" w:eastAsia="黑体"/>
          <w:sz w:val="32"/>
          <w:szCs w:val="32"/>
        </w:rPr>
      </w:pPr>
      <w:r>
        <w:rPr>
          <w:rFonts w:eastAsia="黑体"/>
          <w:sz w:val="32"/>
          <w:szCs w:val="32"/>
        </w:rPr>
        <w:t>附件6</w:t>
      </w:r>
    </w:p>
    <w:p>
      <w:pPr>
        <w:pStyle w:val="2"/>
        <w:spacing w:line="560" w:lineRule="exact"/>
        <w:ind w:firstLine="392"/>
      </w:pPr>
    </w:p>
    <w:p>
      <w:pPr>
        <w:overflowPunct w:val="0"/>
        <w:spacing w:line="560" w:lineRule="exact"/>
        <w:jc w:val="center"/>
        <w:rPr>
          <w:rFonts w:hint="eastAsia" w:eastAsia="方正小标宋简体"/>
          <w:sz w:val="44"/>
          <w:szCs w:val="44"/>
        </w:rPr>
      </w:pPr>
      <w:r>
        <w:rPr>
          <w:rFonts w:eastAsia="方正小标宋简体"/>
          <w:sz w:val="44"/>
          <w:szCs w:val="44"/>
        </w:rPr>
        <w:t>健康</w:t>
      </w:r>
      <w:r>
        <w:rPr>
          <w:rFonts w:hint="eastAsia" w:eastAsia="方正小标宋简体"/>
          <w:sz w:val="44"/>
          <w:szCs w:val="44"/>
          <w:lang w:eastAsia="zh-CN"/>
        </w:rPr>
        <w:t>（</w:t>
      </w:r>
      <w:r>
        <w:rPr>
          <w:rFonts w:eastAsia="方正小标宋简体"/>
          <w:sz w:val="44"/>
          <w:szCs w:val="44"/>
        </w:rPr>
        <w:t>促进</w:t>
      </w:r>
      <w:r>
        <w:rPr>
          <w:rFonts w:hint="eastAsia" w:eastAsia="方正小标宋简体"/>
          <w:sz w:val="44"/>
          <w:szCs w:val="44"/>
          <w:lang w:eastAsia="zh-CN"/>
        </w:rPr>
        <w:t>）</w:t>
      </w:r>
      <w:r>
        <w:rPr>
          <w:rFonts w:eastAsia="方正小标宋简体"/>
          <w:sz w:val="44"/>
          <w:szCs w:val="44"/>
        </w:rPr>
        <w:t>医院标准</w:t>
      </w:r>
    </w:p>
    <w:p>
      <w:pPr>
        <w:pStyle w:val="2"/>
        <w:spacing w:line="200" w:lineRule="exact"/>
        <w:ind w:firstLine="392"/>
      </w:pPr>
    </w:p>
    <w:tbl>
      <w:tblPr>
        <w:tblStyle w:val="10"/>
        <w:tblW w:w="12801" w:type="dxa"/>
        <w:tblInd w:w="108" w:type="dxa"/>
        <w:tblLayout w:type="fixed"/>
        <w:tblCellMar>
          <w:top w:w="0" w:type="dxa"/>
          <w:left w:w="108" w:type="dxa"/>
          <w:bottom w:w="0" w:type="dxa"/>
          <w:right w:w="108" w:type="dxa"/>
        </w:tblCellMar>
      </w:tblPr>
      <w:tblGrid>
        <w:gridCol w:w="1171"/>
        <w:gridCol w:w="1239"/>
        <w:gridCol w:w="4937"/>
        <w:gridCol w:w="4135"/>
        <w:gridCol w:w="615"/>
        <w:gridCol w:w="704"/>
      </w:tblGrid>
      <w:tr>
        <w:tblPrEx>
          <w:tblCellMar>
            <w:top w:w="0" w:type="dxa"/>
            <w:left w:w="108" w:type="dxa"/>
            <w:bottom w:w="0" w:type="dxa"/>
            <w:right w:w="108" w:type="dxa"/>
          </w:tblCellMar>
        </w:tblPrEx>
        <w:trPr>
          <w:trHeight w:val="578" w:hRule="atLeast"/>
          <w:tblHeader/>
        </w:trPr>
        <w:tc>
          <w:tcPr>
            <w:tcW w:w="11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黑体"/>
                <w:bCs/>
                <w:szCs w:val="21"/>
              </w:rPr>
            </w:pPr>
            <w:r>
              <w:rPr>
                <w:rFonts w:eastAsia="黑体"/>
                <w:bCs/>
                <w:szCs w:val="21"/>
                <w:lang w:bidi="ar"/>
              </w:rPr>
              <w:t>一级指标</w:t>
            </w:r>
          </w:p>
        </w:tc>
        <w:tc>
          <w:tcPr>
            <w:tcW w:w="1239" w:type="dxa"/>
            <w:tcBorders>
              <w:top w:val="single" w:color="auto" w:sz="4" w:space="0"/>
              <w:left w:val="nil"/>
              <w:bottom w:val="single" w:color="auto" w:sz="4" w:space="0"/>
              <w:right w:val="single" w:color="auto" w:sz="4" w:space="0"/>
            </w:tcBorders>
            <w:noWrap/>
            <w:vAlign w:val="center"/>
          </w:tcPr>
          <w:p>
            <w:pPr>
              <w:spacing w:line="280" w:lineRule="exact"/>
              <w:jc w:val="center"/>
              <w:rPr>
                <w:rFonts w:eastAsia="黑体"/>
                <w:bCs/>
                <w:szCs w:val="21"/>
              </w:rPr>
            </w:pPr>
            <w:r>
              <w:rPr>
                <w:rFonts w:eastAsia="黑体"/>
                <w:bCs/>
                <w:szCs w:val="21"/>
                <w:lang w:bidi="ar"/>
              </w:rPr>
              <w:t>二级指标</w:t>
            </w:r>
          </w:p>
        </w:tc>
        <w:tc>
          <w:tcPr>
            <w:tcW w:w="4937" w:type="dxa"/>
            <w:tcBorders>
              <w:top w:val="single" w:color="auto" w:sz="4" w:space="0"/>
              <w:left w:val="nil"/>
              <w:bottom w:val="single" w:color="auto" w:sz="4" w:space="0"/>
              <w:right w:val="single" w:color="auto" w:sz="4" w:space="0"/>
            </w:tcBorders>
            <w:noWrap/>
            <w:vAlign w:val="center"/>
          </w:tcPr>
          <w:p>
            <w:pPr>
              <w:spacing w:line="280" w:lineRule="exact"/>
              <w:jc w:val="center"/>
              <w:rPr>
                <w:rFonts w:eastAsia="黑体"/>
                <w:bCs/>
                <w:szCs w:val="21"/>
              </w:rPr>
            </w:pPr>
            <w:r>
              <w:rPr>
                <w:rFonts w:eastAsia="黑体"/>
                <w:bCs/>
                <w:szCs w:val="21"/>
                <w:lang w:bidi="ar"/>
              </w:rPr>
              <w:t>指标解释</w:t>
            </w:r>
          </w:p>
        </w:tc>
        <w:tc>
          <w:tcPr>
            <w:tcW w:w="4135" w:type="dxa"/>
            <w:tcBorders>
              <w:top w:val="single" w:color="auto" w:sz="4" w:space="0"/>
              <w:left w:val="nil"/>
              <w:bottom w:val="single" w:color="auto" w:sz="4" w:space="0"/>
              <w:right w:val="single" w:color="auto" w:sz="4" w:space="0"/>
            </w:tcBorders>
            <w:noWrap/>
            <w:vAlign w:val="center"/>
          </w:tcPr>
          <w:p>
            <w:pPr>
              <w:spacing w:line="280" w:lineRule="exact"/>
              <w:jc w:val="center"/>
              <w:rPr>
                <w:rFonts w:eastAsia="黑体"/>
                <w:bCs/>
                <w:szCs w:val="21"/>
              </w:rPr>
            </w:pPr>
            <w:r>
              <w:rPr>
                <w:rFonts w:eastAsia="黑体"/>
                <w:bCs/>
                <w:szCs w:val="21"/>
                <w:lang w:bidi="ar"/>
              </w:rPr>
              <w:t>评分标准</w:t>
            </w:r>
          </w:p>
        </w:tc>
        <w:tc>
          <w:tcPr>
            <w:tcW w:w="615" w:type="dxa"/>
            <w:tcBorders>
              <w:top w:val="single" w:color="auto" w:sz="4" w:space="0"/>
              <w:left w:val="nil"/>
              <w:bottom w:val="single" w:color="auto" w:sz="4" w:space="0"/>
              <w:right w:val="single" w:color="auto" w:sz="4" w:space="0"/>
            </w:tcBorders>
            <w:noWrap/>
            <w:vAlign w:val="center"/>
          </w:tcPr>
          <w:p>
            <w:pPr>
              <w:spacing w:line="280" w:lineRule="exact"/>
              <w:jc w:val="center"/>
              <w:rPr>
                <w:rFonts w:eastAsia="黑体"/>
                <w:bCs/>
                <w:szCs w:val="21"/>
              </w:rPr>
            </w:pPr>
            <w:r>
              <w:rPr>
                <w:rFonts w:eastAsia="黑体"/>
                <w:bCs/>
                <w:szCs w:val="21"/>
                <w:lang w:bidi="ar"/>
              </w:rPr>
              <w:t>分值</w:t>
            </w:r>
          </w:p>
        </w:tc>
        <w:tc>
          <w:tcPr>
            <w:tcW w:w="704" w:type="dxa"/>
            <w:tcBorders>
              <w:top w:val="single" w:color="auto" w:sz="4" w:space="0"/>
              <w:left w:val="nil"/>
              <w:bottom w:val="single" w:color="auto" w:sz="4" w:space="0"/>
              <w:right w:val="single" w:color="auto" w:sz="4" w:space="0"/>
            </w:tcBorders>
            <w:noWrap/>
            <w:vAlign w:val="center"/>
          </w:tcPr>
          <w:p>
            <w:pPr>
              <w:spacing w:line="280" w:lineRule="exact"/>
              <w:jc w:val="center"/>
              <w:rPr>
                <w:rFonts w:eastAsia="黑体"/>
                <w:bCs/>
                <w:szCs w:val="21"/>
              </w:rPr>
            </w:pPr>
            <w:r>
              <w:rPr>
                <w:rFonts w:eastAsia="黑体"/>
                <w:bCs/>
                <w:szCs w:val="21"/>
                <w:lang w:bidi="ar"/>
              </w:rPr>
              <w:t>考核方法</w:t>
            </w:r>
          </w:p>
        </w:tc>
      </w:tr>
      <w:tr>
        <w:tblPrEx>
          <w:tblCellMar>
            <w:top w:w="0" w:type="dxa"/>
            <w:left w:w="108" w:type="dxa"/>
            <w:bottom w:w="0" w:type="dxa"/>
            <w:right w:w="108" w:type="dxa"/>
          </w:tblCellMar>
        </w:tblPrEx>
        <w:trPr>
          <w:trHeight w:val="695" w:hRule="atLeast"/>
        </w:trPr>
        <w:tc>
          <w:tcPr>
            <w:tcW w:w="1171" w:type="dxa"/>
            <w:vMerge w:val="restart"/>
            <w:tcBorders>
              <w:top w:val="nil"/>
              <w:left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rPr>
              <w:t>一、组织管理（20分）</w:t>
            </w:r>
          </w:p>
        </w:tc>
        <w:tc>
          <w:tcPr>
            <w:tcW w:w="1239" w:type="dxa"/>
            <w:vMerge w:val="restart"/>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rPr>
              <w:t>协调机制</w:t>
            </w: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成立医院主要负责同志牵头的健康促进医院领导小组，职责分工明确。</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成立院长或分管院长牵头的领导小组，得1分。</w:t>
            </w:r>
          </w:p>
        </w:tc>
        <w:tc>
          <w:tcPr>
            <w:tcW w:w="615" w:type="dxa"/>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rPr>
              <w:t>1</w:t>
            </w:r>
          </w:p>
        </w:tc>
        <w:tc>
          <w:tcPr>
            <w:tcW w:w="704" w:type="dxa"/>
            <w:vMerge w:val="restart"/>
            <w:tcBorders>
              <w:top w:val="single" w:color="auto" w:sz="4" w:space="0"/>
              <w:left w:val="nil"/>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tc>
      </w:tr>
      <w:tr>
        <w:tblPrEx>
          <w:tblCellMar>
            <w:top w:w="0" w:type="dxa"/>
            <w:left w:w="108" w:type="dxa"/>
            <w:bottom w:w="0" w:type="dxa"/>
            <w:right w:w="108" w:type="dxa"/>
          </w:tblCellMar>
        </w:tblPrEx>
        <w:trPr>
          <w:trHeight w:val="429"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每季度召开2次工作例会，推进健康促进医院建设。</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每召开1次工作例会得0</w:t>
            </w:r>
            <w:r>
              <w:rPr>
                <w:rFonts w:hint="eastAsia" w:eastAsia="仿宋_GB2312"/>
                <w:szCs w:val="21"/>
                <w:lang w:val="en-US" w:eastAsia="zh-CN"/>
              </w:rPr>
              <w:t>.</w:t>
            </w:r>
            <w:r>
              <w:rPr>
                <w:rFonts w:hint="eastAsia" w:eastAsia="仿宋_GB2312"/>
                <w:szCs w:val="21"/>
              </w:rPr>
              <w:t>5分，最高1分。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25"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rPr>
              <w:t>制度建设</w:t>
            </w: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将建设健康促进医院纳入医院目标责任考核、医院发展规划、服务宗旨。</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每纳入一个重点文件得0</w:t>
            </w:r>
            <w:r>
              <w:rPr>
                <w:rFonts w:hint="eastAsia" w:eastAsia="仿宋_GB2312"/>
                <w:szCs w:val="21"/>
                <w:lang w:val="en-US" w:eastAsia="zh-CN"/>
              </w:rPr>
              <w:t>.</w:t>
            </w:r>
            <w:r>
              <w:rPr>
                <w:rFonts w:hint="eastAsia" w:eastAsia="仿宋_GB2312"/>
                <w:szCs w:val="21"/>
              </w:rPr>
              <w:t>5分，最高1分。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53"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将控烟工作纳入医院目标责任考核和发展规划，有控烟巡查制度、考评奖惩制度、劝阻制度。</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每做到一项得0</w:t>
            </w:r>
            <w:r>
              <w:rPr>
                <w:rFonts w:hint="eastAsia" w:eastAsia="仿宋_GB2312"/>
                <w:szCs w:val="21"/>
                <w:lang w:val="en-US" w:eastAsia="zh-CN"/>
              </w:rPr>
              <w:t>.</w:t>
            </w:r>
            <w:r>
              <w:rPr>
                <w:rFonts w:hint="eastAsia" w:eastAsia="仿宋_GB2312"/>
                <w:szCs w:val="21"/>
              </w:rPr>
              <w:t>25分，最高1分。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429"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明确健康促进工作牵头负责部门，明确各个科室职责。</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有文件支持，得1分。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67"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将针对患者及社区居民开展健康教育工作纳入医护人员绩效考核。</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有文件支持，得1分。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60"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制定全体员工定期接受健康教育与健康促进继续教育或专题培训制度。</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有文件支持，得1分。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430"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全体员工定期体检，接受健康管理。</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有文件支持，得1分。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23"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rPr>
              <w:t>组织实施</w:t>
            </w: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有固定的科室和人员负责全院健康促进与健康教育工作的组织管理和技术指导。</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有健康促进主管科室，得1分。有健康促进专职人员，得1分。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821" w:hRule="atLeast"/>
        </w:trPr>
        <w:tc>
          <w:tcPr>
            <w:tcW w:w="1171" w:type="dxa"/>
            <w:vMerge w:val="continue"/>
            <w:tcBorders>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每个临床和医技科室有人专/兼职负责本科室的健康教育工作。设有控烟监督和巡查员。</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有各科室有健康教育人员名单，得0</w:t>
            </w:r>
            <w:r>
              <w:rPr>
                <w:rFonts w:hint="eastAsia" w:eastAsia="仿宋_GB2312"/>
                <w:szCs w:val="21"/>
                <w:lang w:val="en-US" w:eastAsia="zh-CN"/>
              </w:rPr>
              <w:t>.</w:t>
            </w:r>
            <w:r>
              <w:rPr>
                <w:rFonts w:hint="eastAsia" w:eastAsia="仿宋_GB2312"/>
                <w:szCs w:val="21"/>
              </w:rPr>
              <w:t>5分。有控烟监督和巡查员，得0</w:t>
            </w:r>
            <w:r>
              <w:rPr>
                <w:rFonts w:hint="eastAsia" w:eastAsia="仿宋_GB2312"/>
                <w:szCs w:val="21"/>
                <w:lang w:val="en-US" w:eastAsia="zh-CN"/>
              </w:rPr>
              <w:t>.</w:t>
            </w:r>
            <w:r>
              <w:rPr>
                <w:rFonts w:hint="eastAsia" w:eastAsia="仿宋_GB2312"/>
                <w:szCs w:val="21"/>
              </w:rPr>
              <w:t>5分。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1</w:t>
            </w:r>
          </w:p>
        </w:tc>
        <w:tc>
          <w:tcPr>
            <w:tcW w:w="704" w:type="dxa"/>
            <w:vMerge w:val="continue"/>
            <w:tcBorders>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822" w:hRule="atLeast"/>
        </w:trPr>
        <w:tc>
          <w:tcPr>
            <w:tcW w:w="1171" w:type="dxa"/>
            <w:vMerge w:val="restart"/>
            <w:tcBorders>
              <w:top w:val="nil"/>
              <w:left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一、组织管理（20分）</w:t>
            </w:r>
          </w:p>
        </w:tc>
        <w:tc>
          <w:tcPr>
            <w:tcW w:w="1239" w:type="dxa"/>
            <w:vMerge w:val="restart"/>
            <w:tcBorders>
              <w:top w:val="nil"/>
              <w:left w:val="nil"/>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组织实施</w:t>
            </w: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每年制定健康促进医院工作年度计划。包括医院健康促进资源和健康问题评估、工作目标、任务分工、时间进度等。</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有年度工作计划，得1分。内容明确，措施具体，责任分工合理得1分。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704" w:type="dxa"/>
            <w:vMerge w:val="restart"/>
            <w:tcBorders>
              <w:top w:val="single" w:color="auto" w:sz="4" w:space="0"/>
              <w:left w:val="nil"/>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tc>
      </w:tr>
      <w:tr>
        <w:tblPrEx>
          <w:tblCellMar>
            <w:top w:w="0" w:type="dxa"/>
            <w:left w:w="108" w:type="dxa"/>
            <w:bottom w:w="0" w:type="dxa"/>
            <w:right w:w="108" w:type="dxa"/>
          </w:tblCellMar>
        </w:tblPrEx>
        <w:trPr>
          <w:trHeight w:val="528"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定期开展员工健康促进医院建设培训，开展控烟培训。</w:t>
            </w:r>
          </w:p>
        </w:tc>
        <w:tc>
          <w:tcPr>
            <w:tcW w:w="4135" w:type="dxa"/>
            <w:tcBorders>
              <w:top w:val="nil"/>
              <w:left w:val="nil"/>
              <w:bottom w:val="single" w:color="auto" w:sz="4" w:space="0"/>
              <w:right w:val="single" w:color="auto" w:sz="4" w:space="0"/>
            </w:tcBorders>
            <w:noWrap/>
            <w:vAlign w:val="center"/>
          </w:tcPr>
          <w:p>
            <w:pPr>
              <w:topLinePunct/>
              <w:spacing w:line="280" w:lineRule="exact"/>
              <w:rPr>
                <w:rFonts w:hint="eastAsia" w:eastAsia="仿宋_GB2312"/>
                <w:szCs w:val="21"/>
              </w:rPr>
            </w:pPr>
            <w:r>
              <w:rPr>
                <w:rFonts w:hint="eastAsia" w:eastAsia="仿宋_GB2312"/>
                <w:szCs w:val="21"/>
              </w:rPr>
              <w:t>每开展一次专题培训得0</w:t>
            </w:r>
            <w:r>
              <w:rPr>
                <w:rFonts w:hint="eastAsia" w:eastAsia="仿宋_GB2312"/>
                <w:szCs w:val="21"/>
                <w:lang w:val="en-US" w:eastAsia="zh-CN"/>
              </w:rPr>
              <w:t>.</w:t>
            </w:r>
            <w:r>
              <w:rPr>
                <w:rFonts w:hint="eastAsia" w:eastAsia="仿宋_GB2312"/>
                <w:szCs w:val="21"/>
              </w:rPr>
              <w:t>5分，最高2分。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2</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51"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每年全面总结健康促进医院工作，总结经验和问题，接受上级部门的考核评估。</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有总结报告得1分。总结报告内容具体，经验亮点突出，下一步工作思路清晰，最高1分。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93"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保障措施</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有健康促进与健康教育必备的场所、宣传阵地和设备。</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有专门健康教育教室得1分。有宣传栏等健康教育阵地得0</w:t>
            </w:r>
            <w:r>
              <w:rPr>
                <w:rFonts w:hint="eastAsia" w:eastAsia="仿宋_GB2312"/>
                <w:szCs w:val="21"/>
                <w:lang w:val="en-US" w:eastAsia="zh-CN"/>
              </w:rPr>
              <w:t>.</w:t>
            </w:r>
            <w:r>
              <w:rPr>
                <w:rFonts w:hint="eastAsia" w:eastAsia="仿宋_GB2312"/>
                <w:szCs w:val="21"/>
              </w:rPr>
              <w:t>5分。有专用设备得0</w:t>
            </w:r>
            <w:r>
              <w:rPr>
                <w:rFonts w:hint="eastAsia" w:eastAsia="仿宋_GB2312"/>
                <w:szCs w:val="21"/>
                <w:lang w:val="en-US" w:eastAsia="zh-CN"/>
              </w:rPr>
              <w:t>.</w:t>
            </w:r>
            <w:r>
              <w:rPr>
                <w:rFonts w:hint="eastAsia" w:eastAsia="仿宋_GB2312"/>
                <w:szCs w:val="21"/>
              </w:rPr>
              <w:t>5分。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23" w:hRule="atLeast"/>
        </w:trPr>
        <w:tc>
          <w:tcPr>
            <w:tcW w:w="1171" w:type="dxa"/>
            <w:vMerge w:val="continue"/>
            <w:tcBorders>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保证健康促进与健康教育专项工作经费。</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医院设健康教育专项经费得0</w:t>
            </w:r>
            <w:r>
              <w:rPr>
                <w:rFonts w:hint="eastAsia" w:eastAsia="仿宋_GB2312"/>
                <w:szCs w:val="21"/>
                <w:lang w:val="en-US" w:eastAsia="zh-CN"/>
              </w:rPr>
              <w:t>.</w:t>
            </w:r>
            <w:r>
              <w:rPr>
                <w:rFonts w:hint="eastAsia" w:eastAsia="仿宋_GB2312"/>
                <w:szCs w:val="21"/>
              </w:rPr>
              <w:t>5分，如超过10万再得0</w:t>
            </w:r>
            <w:r>
              <w:rPr>
                <w:rFonts w:hint="eastAsia" w:eastAsia="仿宋_GB2312"/>
                <w:szCs w:val="21"/>
                <w:lang w:val="en-US" w:eastAsia="zh-CN"/>
              </w:rPr>
              <w:t>.</w:t>
            </w:r>
            <w:r>
              <w:rPr>
                <w:rFonts w:hint="eastAsia" w:eastAsia="仿宋_GB2312"/>
                <w:szCs w:val="21"/>
              </w:rPr>
              <w:t>5分。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1030" w:hRule="atLeast"/>
        </w:trPr>
        <w:tc>
          <w:tcPr>
            <w:tcW w:w="1171" w:type="dxa"/>
            <w:vMerge w:val="restart"/>
            <w:tcBorders>
              <w:top w:val="nil"/>
              <w:left w:val="single" w:color="auto" w:sz="4" w:space="0"/>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二</w:t>
            </w:r>
            <w:r>
              <w:rPr>
                <w:rFonts w:hint="eastAsia" w:eastAsia="仿宋_GB2312"/>
                <w:szCs w:val="21"/>
              </w:rPr>
              <w:t>、健康环境（8分）</w:t>
            </w:r>
          </w:p>
        </w:tc>
        <w:tc>
          <w:tcPr>
            <w:tcW w:w="1239" w:type="dxa"/>
            <w:vMerge w:val="restart"/>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诊疗环境</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医院设咨询台，设置导医标识，方便患者就诊。候诊区提供与就诊人数相匹配的候诊座椅，为患者提供安全、私密的就诊环境。</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有咨询台得0</w:t>
            </w:r>
            <w:r>
              <w:rPr>
                <w:rFonts w:hint="eastAsia" w:eastAsia="仿宋_GB2312"/>
                <w:szCs w:val="21"/>
                <w:lang w:val="en-US" w:eastAsia="zh-CN"/>
              </w:rPr>
              <w:t>.</w:t>
            </w:r>
            <w:r>
              <w:rPr>
                <w:rFonts w:hint="eastAsia" w:eastAsia="仿宋_GB2312"/>
                <w:szCs w:val="21"/>
              </w:rPr>
              <w:t>5分，导医标识明显清晰，得0</w:t>
            </w:r>
            <w:r>
              <w:rPr>
                <w:rFonts w:hint="eastAsia" w:eastAsia="仿宋_GB2312"/>
                <w:szCs w:val="21"/>
                <w:lang w:val="en-US" w:eastAsia="zh-CN"/>
              </w:rPr>
              <w:t>.</w:t>
            </w:r>
            <w:r>
              <w:rPr>
                <w:rFonts w:hint="eastAsia" w:eastAsia="仿宋_GB2312"/>
                <w:szCs w:val="21"/>
              </w:rPr>
              <w:t>5分，候诊区座椅够用，得0</w:t>
            </w:r>
            <w:r>
              <w:rPr>
                <w:rFonts w:hint="eastAsia" w:eastAsia="仿宋_GB2312"/>
                <w:szCs w:val="21"/>
                <w:lang w:val="en-US" w:eastAsia="zh-CN"/>
              </w:rPr>
              <w:t>.</w:t>
            </w:r>
            <w:r>
              <w:rPr>
                <w:rFonts w:hint="eastAsia" w:eastAsia="仿宋_GB2312"/>
                <w:szCs w:val="21"/>
              </w:rPr>
              <w:t>5分，健康检查时保护患者隐私，得0</w:t>
            </w:r>
            <w:r>
              <w:rPr>
                <w:rFonts w:hint="eastAsia" w:eastAsia="仿宋_GB2312"/>
                <w:szCs w:val="21"/>
                <w:lang w:val="en-US" w:eastAsia="zh-CN"/>
              </w:rPr>
              <w:t>.</w:t>
            </w:r>
            <w:r>
              <w:rPr>
                <w:rFonts w:hint="eastAsia" w:eastAsia="仿宋_GB2312"/>
                <w:szCs w:val="21"/>
              </w:rPr>
              <w:t>5分。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restart"/>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tc>
      </w:tr>
      <w:tr>
        <w:tblPrEx>
          <w:tblCellMar>
            <w:top w:w="0" w:type="dxa"/>
            <w:left w:w="108" w:type="dxa"/>
            <w:bottom w:w="0" w:type="dxa"/>
            <w:right w:w="108" w:type="dxa"/>
          </w:tblCellMar>
        </w:tblPrEx>
        <w:trPr>
          <w:trHeight w:val="751" w:hRule="atLeast"/>
        </w:trPr>
        <w:tc>
          <w:tcPr>
            <w:tcW w:w="1171" w:type="dxa"/>
            <w:vMerge w:val="continue"/>
            <w:tcBorders>
              <w:top w:val="nil"/>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医院整体环境卫生，生活垃圾和医疗废物分类收集，处置及时。厕所卫生，有洗手设施。</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医疗废物与生活垃圾分类处置得1分。随机进入一个厕所，干净有洗手设施得1分。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95" w:hRule="atLeast"/>
        </w:trPr>
        <w:tc>
          <w:tcPr>
            <w:tcW w:w="1171" w:type="dxa"/>
            <w:vMerge w:val="continue"/>
            <w:tcBorders>
              <w:top w:val="nil"/>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辐射安全、医疗废弃物等标识清晰、明显。</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有明显的辐射安全标识，得0</w:t>
            </w:r>
            <w:r>
              <w:rPr>
                <w:rFonts w:hint="eastAsia" w:eastAsia="仿宋_GB2312"/>
                <w:szCs w:val="21"/>
                <w:lang w:val="en-US" w:eastAsia="zh-CN"/>
              </w:rPr>
              <w:t>.</w:t>
            </w:r>
            <w:r>
              <w:rPr>
                <w:rFonts w:hint="eastAsia" w:eastAsia="仿宋_GB2312"/>
                <w:szCs w:val="21"/>
              </w:rPr>
              <w:t>5分。有明显的医疗废弃物标识，得0</w:t>
            </w:r>
            <w:r>
              <w:rPr>
                <w:rFonts w:hint="eastAsia" w:eastAsia="仿宋_GB2312"/>
                <w:szCs w:val="21"/>
                <w:lang w:val="en-US" w:eastAsia="zh-CN"/>
              </w:rPr>
              <w:t>.</w:t>
            </w:r>
            <w:r>
              <w:rPr>
                <w:rFonts w:hint="eastAsia" w:eastAsia="仿宋_GB2312"/>
                <w:szCs w:val="21"/>
              </w:rPr>
              <w:t>5分。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09" w:hRule="atLeast"/>
        </w:trPr>
        <w:tc>
          <w:tcPr>
            <w:tcW w:w="1171" w:type="dxa"/>
            <w:vMerge w:val="continue"/>
            <w:tcBorders>
              <w:top w:val="nil"/>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rPr>
              <w:t>人文环境</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医务人员对待患者和蔼和亲，使用文明礼貌用语。</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随机进入诊室，医务人员态度和蔼、使用文明用语，得1分。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09" w:hRule="atLeast"/>
        </w:trPr>
        <w:tc>
          <w:tcPr>
            <w:tcW w:w="1171" w:type="dxa"/>
            <w:vMerge w:val="continue"/>
            <w:tcBorders>
              <w:top w:val="nil"/>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考虑残疾人、老年人、孕产妇等特殊人群的需求，如绿色通道、优先窗口等。</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符合要求，得1分。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513" w:hRule="atLeast"/>
        </w:trPr>
        <w:tc>
          <w:tcPr>
            <w:tcW w:w="1171" w:type="dxa"/>
            <w:vMerge w:val="continue"/>
            <w:tcBorders>
              <w:top w:val="nil"/>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根据需要提供安全的食品和饮用水。</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符合要求，得1分。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72" w:hRule="atLeast"/>
        </w:trPr>
        <w:tc>
          <w:tcPr>
            <w:tcW w:w="1171" w:type="dxa"/>
            <w:vMerge w:val="restart"/>
            <w:tcBorders>
              <w:top w:val="nil"/>
              <w:left w:val="single" w:color="auto" w:sz="4" w:space="0"/>
              <w:bottom w:val="single" w:color="000000"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三、无烟医院（12分）</w:t>
            </w:r>
          </w:p>
        </w:tc>
        <w:tc>
          <w:tcPr>
            <w:tcW w:w="1239" w:type="dxa"/>
            <w:vMerge w:val="restart"/>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无烟环境</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医院室内完全禁止吸烟，所有室内场所没有烟头，没有吸烟者。</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发现烟头扣1分，发现吸烟者扣1分。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restart"/>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tc>
      </w:tr>
      <w:tr>
        <w:tblPrEx>
          <w:tblCellMar>
            <w:top w:w="0" w:type="dxa"/>
            <w:left w:w="108" w:type="dxa"/>
            <w:bottom w:w="0" w:type="dxa"/>
            <w:right w:w="108" w:type="dxa"/>
          </w:tblCellMar>
        </w:tblPrEx>
        <w:trPr>
          <w:trHeight w:val="994" w:hRule="atLeast"/>
        </w:trPr>
        <w:tc>
          <w:tcPr>
            <w:tcW w:w="1171" w:type="dxa"/>
            <w:vMerge w:val="continue"/>
            <w:tcBorders>
              <w:top w:val="nil"/>
              <w:left w:val="single" w:color="auto" w:sz="4" w:space="0"/>
              <w:bottom w:val="single" w:color="000000"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医院所属区域有明显的禁烟标识。所有建筑物入口处、候诊区、会议室、厕所、走廊、电梯、楼梯等公共区域有明显的禁烟标识。</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每个缺乏无烟标识的公共区域扣0</w:t>
            </w:r>
            <w:r>
              <w:rPr>
                <w:rFonts w:hint="eastAsia" w:eastAsia="仿宋_GB2312"/>
                <w:szCs w:val="21"/>
                <w:lang w:val="en-US" w:eastAsia="zh-CN"/>
              </w:rPr>
              <w:t>.</w:t>
            </w:r>
            <w:r>
              <w:rPr>
                <w:rFonts w:hint="eastAsia" w:eastAsia="仿宋_GB2312"/>
                <w:szCs w:val="21"/>
              </w:rPr>
              <w:t>5分，扣完为止。</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388" w:hRule="atLeast"/>
        </w:trPr>
        <w:tc>
          <w:tcPr>
            <w:tcW w:w="1171" w:type="dxa"/>
            <w:vMerge w:val="continue"/>
            <w:tcBorders>
              <w:top w:val="nil"/>
              <w:left w:val="single" w:color="auto" w:sz="4" w:space="0"/>
              <w:bottom w:val="single" w:color="000000"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院内不销售烟草制品。</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如发现，扣1分。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407" w:hRule="atLeast"/>
        </w:trPr>
        <w:tc>
          <w:tcPr>
            <w:tcW w:w="1171" w:type="dxa"/>
            <w:vMerge w:val="continue"/>
            <w:tcBorders>
              <w:top w:val="nil"/>
              <w:left w:val="single" w:color="auto" w:sz="4" w:space="0"/>
              <w:bottom w:val="single" w:color="000000"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院内无烟草广告、促销和赞助。</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如发现，扣1分。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437" w:hRule="atLeast"/>
        </w:trPr>
        <w:tc>
          <w:tcPr>
            <w:tcW w:w="1171" w:type="dxa"/>
            <w:vMerge w:val="continue"/>
            <w:tcBorders>
              <w:top w:val="nil"/>
              <w:left w:val="single" w:color="auto" w:sz="4" w:space="0"/>
              <w:bottom w:val="single" w:color="000000"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无烟宣传</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有控烟宣传材料。</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有一类控烟传播材料得0</w:t>
            </w:r>
            <w:r>
              <w:rPr>
                <w:rFonts w:hint="eastAsia" w:eastAsia="仿宋_GB2312"/>
                <w:szCs w:val="21"/>
                <w:lang w:val="en-US" w:eastAsia="zh-CN"/>
              </w:rPr>
              <w:t>.</w:t>
            </w:r>
            <w:r>
              <w:rPr>
                <w:rFonts w:hint="eastAsia" w:eastAsia="仿宋_GB2312"/>
                <w:szCs w:val="21"/>
              </w:rPr>
              <w:t>25分，最高1分。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366" w:hRule="atLeast"/>
        </w:trPr>
        <w:tc>
          <w:tcPr>
            <w:tcW w:w="1171" w:type="dxa"/>
            <w:vMerge w:val="continue"/>
            <w:tcBorders>
              <w:top w:val="nil"/>
              <w:left w:val="single" w:color="auto" w:sz="4" w:space="0"/>
              <w:bottom w:val="single" w:color="000000"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开展以控烟为主题的宣传活动，如讲座、咨询等。</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开展一次控烟主题的宣传活动得0</w:t>
            </w:r>
            <w:r>
              <w:rPr>
                <w:rFonts w:hint="eastAsia" w:eastAsia="仿宋_GB2312"/>
                <w:szCs w:val="21"/>
                <w:lang w:val="en-US" w:eastAsia="zh-CN"/>
              </w:rPr>
              <w:t>.</w:t>
            </w:r>
            <w:r>
              <w:rPr>
                <w:rFonts w:hint="eastAsia" w:eastAsia="仿宋_GB2312"/>
                <w:szCs w:val="21"/>
              </w:rPr>
              <w:t>5分，最高1分。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39" w:hRule="atLeast"/>
        </w:trPr>
        <w:tc>
          <w:tcPr>
            <w:tcW w:w="1171" w:type="dxa"/>
            <w:vMerge w:val="continue"/>
            <w:tcBorders>
              <w:top w:val="nil"/>
              <w:left w:val="single" w:color="auto" w:sz="4" w:space="0"/>
              <w:bottom w:val="single" w:color="000000"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戒烟服务</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在相应科室设戒烟服务医生和咨询电话，开展戒烟服务和咨询。</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有科室提供戒烟服务，得1分。有专人提供戒烟咨询，得1分。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59" w:hRule="atLeast"/>
        </w:trPr>
        <w:tc>
          <w:tcPr>
            <w:tcW w:w="1171" w:type="dxa"/>
            <w:vMerge w:val="continue"/>
            <w:tcBorders>
              <w:top w:val="nil"/>
              <w:left w:val="single" w:color="auto" w:sz="4" w:space="0"/>
              <w:bottom w:val="single" w:color="000000"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lang w:eastAsia="zh-CN"/>
              </w:rPr>
            </w:pPr>
            <w:r>
              <w:rPr>
                <w:rFonts w:hint="eastAsia" w:eastAsia="仿宋_GB2312"/>
                <w:szCs w:val="21"/>
              </w:rPr>
              <w:t>医生询问门诊、住院患者的吸烟史，对其中的吸烟者进行简短戒烟干预并有记录</w:t>
            </w:r>
            <w:r>
              <w:rPr>
                <w:rFonts w:hint="eastAsia" w:eastAsia="仿宋_GB2312"/>
                <w:szCs w:val="21"/>
                <w:lang w:eastAsia="zh-CN"/>
              </w:rPr>
              <w:t>。</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开展门诊患者戒烟干预，得1分。开展住院患者戒烟干预，得1分。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39" w:hRule="atLeast"/>
        </w:trPr>
        <w:tc>
          <w:tcPr>
            <w:tcW w:w="1171" w:type="dxa"/>
            <w:vMerge w:val="restart"/>
            <w:tcBorders>
              <w:top w:val="nil"/>
              <w:left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四、健康教育（50分）</w:t>
            </w:r>
          </w:p>
        </w:tc>
        <w:tc>
          <w:tcPr>
            <w:tcW w:w="1239" w:type="dxa"/>
            <w:vMerge w:val="restart"/>
            <w:tcBorders>
              <w:top w:val="nil"/>
              <w:left w:val="nil"/>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患者健康促进</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各科室制定门诊和健康教育工作流程和要点。</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内外妇儿等重点科室制定门诊健康教育流程和要点，每个科室得1分，最高4分。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4</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65"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各科室制定住院患者在住院期间和出院后的健康教育工作流程和要点。</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内外妇儿等重点科室制定住院健康教育流程和要点，每个科室得1分，最高4分。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4</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1791" w:hRule="atLeast"/>
        </w:trPr>
        <w:tc>
          <w:tcPr>
            <w:tcW w:w="1171" w:type="dxa"/>
            <w:vMerge w:val="continue"/>
            <w:tcBorders>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每个临床科室开展健康教育服务，有针对不同病种的健康教育档案记录</w:t>
            </w:r>
            <w:r>
              <w:rPr>
                <w:rFonts w:hint="eastAsia" w:eastAsia="仿宋_GB2312"/>
                <w:szCs w:val="21"/>
                <w:lang w:eastAsia="zh-CN"/>
              </w:rPr>
              <w:t>：</w:t>
            </w:r>
            <w:r>
              <w:rPr>
                <w:rFonts w:hint="eastAsia" w:eastAsia="仿宋_GB2312"/>
                <w:szCs w:val="21"/>
              </w:rPr>
              <w:t>1</w:t>
            </w:r>
            <w:r>
              <w:rPr>
                <w:rFonts w:hint="default" w:eastAsia="仿宋_GB2312"/>
                <w:szCs w:val="21"/>
                <w:lang w:val="en"/>
              </w:rPr>
              <w:t>．</w:t>
            </w:r>
            <w:r>
              <w:rPr>
                <w:rFonts w:hint="eastAsia" w:eastAsia="仿宋_GB2312"/>
                <w:szCs w:val="21"/>
              </w:rPr>
              <w:t>开展患者健康评估。2</w:t>
            </w:r>
            <w:r>
              <w:rPr>
                <w:rFonts w:hint="default" w:eastAsia="仿宋_GB2312"/>
                <w:szCs w:val="21"/>
                <w:lang w:val="en"/>
              </w:rPr>
              <w:t>．</w:t>
            </w:r>
            <w:r>
              <w:rPr>
                <w:rFonts w:hint="eastAsia" w:eastAsia="仿宋_GB2312"/>
                <w:szCs w:val="21"/>
              </w:rPr>
              <w:t>为患者提供改进健康、促进疾病康复的个性化建议。3</w:t>
            </w:r>
            <w:r>
              <w:rPr>
                <w:rFonts w:hint="default" w:eastAsia="仿宋_GB2312"/>
                <w:szCs w:val="21"/>
                <w:lang w:val="en"/>
              </w:rPr>
              <w:t>．</w:t>
            </w:r>
            <w:r>
              <w:rPr>
                <w:rFonts w:hint="eastAsia" w:eastAsia="仿宋_GB2312"/>
                <w:szCs w:val="21"/>
              </w:rPr>
              <w:t>患者出院时，给予患者或家属合理化的出院健康指导或建议。4</w:t>
            </w:r>
            <w:r>
              <w:rPr>
                <w:rFonts w:hint="default" w:eastAsia="仿宋_GB2312"/>
                <w:szCs w:val="21"/>
                <w:lang w:val="en"/>
              </w:rPr>
              <w:t>．</w:t>
            </w:r>
            <w:r>
              <w:rPr>
                <w:rFonts w:hint="eastAsia" w:eastAsia="仿宋_GB2312"/>
                <w:szCs w:val="21"/>
              </w:rPr>
              <w:t>患者出院后，通过与社区合作、随访等方式，持续提供健康建议。</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每个科室有针对某病种或健康问题的全套健康教育工作记录，得1分，每个科室最高3分。全院最高得15分，可区分门诊和住院科室。</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15</w:t>
            </w:r>
          </w:p>
        </w:tc>
        <w:tc>
          <w:tcPr>
            <w:tcW w:w="704" w:type="dxa"/>
            <w:vMerge w:val="continue"/>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988" w:hRule="atLeast"/>
        </w:trPr>
        <w:tc>
          <w:tcPr>
            <w:tcW w:w="1171" w:type="dxa"/>
            <w:vMerge w:val="restart"/>
            <w:tcBorders>
              <w:top w:val="nil"/>
              <w:left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四、健康教育（50分）</w:t>
            </w:r>
          </w:p>
        </w:tc>
        <w:tc>
          <w:tcPr>
            <w:tcW w:w="1239" w:type="dxa"/>
            <w:vMerge w:val="restart"/>
            <w:tcBorders>
              <w:top w:val="nil"/>
              <w:left w:val="nil"/>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患者健康促进</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集中候诊区、治疗区（如输液室）、门诊科室、住院科室合理使用健康传播材料（如摆放健康教育资料，张贴健康海报或健康提示，播放健康视频等）。</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每类诊疗区能合理使用健康传播材料，得1分，最高4分。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4</w:t>
            </w:r>
          </w:p>
        </w:tc>
        <w:tc>
          <w:tcPr>
            <w:tcW w:w="704" w:type="dxa"/>
            <w:vMerge w:val="restart"/>
            <w:tcBorders>
              <w:top w:val="single" w:color="auto" w:sz="4" w:space="0"/>
              <w:left w:val="nil"/>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tc>
      </w:tr>
      <w:tr>
        <w:tblPrEx>
          <w:tblCellMar>
            <w:top w:w="0" w:type="dxa"/>
            <w:left w:w="108" w:type="dxa"/>
            <w:bottom w:w="0" w:type="dxa"/>
            <w:right w:w="108" w:type="dxa"/>
          </w:tblCellMar>
        </w:tblPrEx>
        <w:trPr>
          <w:trHeight w:val="738"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设置健康教育宣传栏，县级及以上医院每月更换一次，基层医疗卫生机构两月更换一次。</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有健康教育宣传栏得1分，定期更换得2分。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24"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社区健康促进</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制定针对社区居民的健康教育工作流程和健康教育要点。</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有针对社区居民的健康教育工作流程，得1分。有一套常见疾病的健康教育工作要点，得2分。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49"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开展面向社区的健康讲座、健康咨询、义诊、健康烹调大赛、健康训练营、健康生活方式倡导等健康活动。</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每开展一次活动得0</w:t>
            </w:r>
            <w:r>
              <w:rPr>
                <w:rFonts w:hint="eastAsia" w:eastAsia="仿宋_GB2312"/>
                <w:szCs w:val="21"/>
                <w:lang w:val="en-US" w:eastAsia="zh-CN"/>
              </w:rPr>
              <w:t>.</w:t>
            </w:r>
            <w:r>
              <w:rPr>
                <w:rFonts w:hint="eastAsia" w:eastAsia="仿宋_GB2312"/>
                <w:szCs w:val="21"/>
              </w:rPr>
              <w:t>5分，最高4分。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4</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15"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lang w:val="en" w:eastAsia="zh-CN"/>
              </w:rPr>
            </w:pPr>
            <w:r>
              <w:rPr>
                <w:rFonts w:hint="eastAsia" w:eastAsia="仿宋_GB2312"/>
                <w:szCs w:val="21"/>
              </w:rPr>
              <w:t>通过广播、电视、报纸、网站和新媒体对公众开展健康教育</w:t>
            </w:r>
            <w:r>
              <w:rPr>
                <w:rFonts w:hint="eastAsia" w:eastAsia="仿宋_GB2312"/>
                <w:szCs w:val="21"/>
                <w:lang w:val="en" w:eastAsia="zh-CN"/>
              </w:rPr>
              <w:t>。</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每开展一次活动得0</w:t>
            </w:r>
            <w:r>
              <w:rPr>
                <w:rFonts w:hint="eastAsia" w:eastAsia="仿宋_GB2312"/>
                <w:szCs w:val="21"/>
                <w:lang w:val="en-US" w:eastAsia="zh-CN"/>
              </w:rPr>
              <w:t>.</w:t>
            </w:r>
            <w:r>
              <w:rPr>
                <w:rFonts w:hint="eastAsia" w:eastAsia="仿宋_GB2312"/>
                <w:szCs w:val="21"/>
              </w:rPr>
              <w:t>5分，最高3分。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81"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restart"/>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职工健康促进</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每年对全体员工进行体检，建立健康档案，开展健康评估。</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每年体检得1分。建立健康档案得1分。为每个员工开展健康评估得2分。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4</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681" w:hRule="atLeast"/>
        </w:trPr>
        <w:tc>
          <w:tcPr>
            <w:tcW w:w="1171" w:type="dxa"/>
            <w:vMerge w:val="continue"/>
            <w:tcBorders>
              <w:left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根据员工主要健康问题，开展健康管理，有具体的干预措施。</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发现员工主要健康问题，得1分。有健康管理计划，得1分。开展健康干预，得1分。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704" w:type="dxa"/>
            <w:vMerge w:val="continue"/>
            <w:tcBorders>
              <w:left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09" w:hRule="atLeast"/>
        </w:trPr>
        <w:tc>
          <w:tcPr>
            <w:tcW w:w="1171" w:type="dxa"/>
            <w:vMerge w:val="continue"/>
            <w:tcBorders>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1239" w:type="dxa"/>
            <w:vMerge w:val="continue"/>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组织促进身心健康的文体活动，丰富员工生活，提高医院凝聚力。</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每开展一次集体健康活动得0</w:t>
            </w:r>
            <w:r>
              <w:rPr>
                <w:rFonts w:hint="eastAsia" w:eastAsia="仿宋_GB2312"/>
                <w:szCs w:val="21"/>
                <w:lang w:val="en-US" w:eastAsia="zh-CN"/>
              </w:rPr>
              <w:t>.</w:t>
            </w:r>
            <w:r>
              <w:rPr>
                <w:rFonts w:hint="eastAsia" w:eastAsia="仿宋_GB2312"/>
                <w:szCs w:val="21"/>
              </w:rPr>
              <w:t>5分，最高3分。</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704" w:type="dxa"/>
            <w:vMerge w:val="continue"/>
            <w:tcBorders>
              <w:left w:val="nil"/>
              <w:bottom w:val="nil"/>
              <w:right w:val="single" w:color="auto" w:sz="4" w:space="0"/>
            </w:tcBorders>
            <w:noWrap/>
            <w:vAlign w:val="center"/>
          </w:tcPr>
          <w:p>
            <w:pPr>
              <w:spacing w:line="280" w:lineRule="exact"/>
              <w:jc w:val="center"/>
              <w:rPr>
                <w:rFonts w:hint="eastAsia" w:eastAsia="仿宋_GB2312"/>
                <w:szCs w:val="21"/>
              </w:rPr>
            </w:pPr>
          </w:p>
        </w:tc>
      </w:tr>
      <w:tr>
        <w:tblPrEx>
          <w:tblCellMar>
            <w:top w:w="0" w:type="dxa"/>
            <w:left w:w="108" w:type="dxa"/>
            <w:bottom w:w="0" w:type="dxa"/>
            <w:right w:w="108" w:type="dxa"/>
          </w:tblCellMar>
        </w:tblPrEx>
        <w:trPr>
          <w:trHeight w:val="779" w:hRule="atLeast"/>
        </w:trPr>
        <w:tc>
          <w:tcPr>
            <w:tcW w:w="1171" w:type="dxa"/>
            <w:tcBorders>
              <w:top w:val="nil"/>
              <w:left w:val="single" w:color="auto" w:sz="4" w:space="0"/>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eastAsia="zh-CN" w:bidi="ar"/>
              </w:rPr>
              <w:t>五</w:t>
            </w:r>
            <w:r>
              <w:rPr>
                <w:rFonts w:hint="eastAsia" w:eastAsia="仿宋_GB2312"/>
                <w:szCs w:val="21"/>
                <w:lang w:bidi="ar"/>
              </w:rPr>
              <w:t>、建设效果（10分）</w:t>
            </w:r>
          </w:p>
        </w:tc>
        <w:tc>
          <w:tcPr>
            <w:tcW w:w="1239" w:type="dxa"/>
            <w:tcBorders>
              <w:top w:val="nil"/>
              <w:left w:val="nil"/>
              <w:bottom w:val="single" w:color="auto" w:sz="4" w:space="0"/>
              <w:right w:val="single" w:color="auto" w:sz="4" w:space="0"/>
            </w:tcBorders>
            <w:noWrap/>
            <w:vAlign w:val="center"/>
          </w:tcPr>
          <w:p>
            <w:pPr>
              <w:topLinePunct/>
              <w:spacing w:line="280" w:lineRule="exact"/>
              <w:jc w:val="center"/>
              <w:rPr>
                <w:rFonts w:hint="eastAsia" w:eastAsia="仿宋_GB2312"/>
                <w:szCs w:val="21"/>
              </w:rPr>
            </w:pPr>
            <w:r>
              <w:rPr>
                <w:rFonts w:hint="eastAsia" w:eastAsia="仿宋_GB2312"/>
                <w:szCs w:val="21"/>
                <w:lang w:bidi="ar"/>
              </w:rPr>
              <w:t>目标人群评价</w:t>
            </w: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目标人群对健康促进工作支持、理解、满意</w:t>
            </w: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r>
              <w:rPr>
                <w:rFonts w:hint="eastAsia" w:eastAsia="仿宋_GB2312"/>
                <w:szCs w:val="21"/>
              </w:rPr>
              <w:t>随机抽取10名患者，开展满意度评价。</w:t>
            </w:r>
          </w:p>
          <w:p>
            <w:pPr>
              <w:spacing w:line="280" w:lineRule="exact"/>
              <w:rPr>
                <w:rFonts w:hint="eastAsia" w:eastAsia="仿宋_GB2312"/>
                <w:szCs w:val="21"/>
              </w:rPr>
            </w:pPr>
            <w:r>
              <w:rPr>
                <w:rFonts w:hint="eastAsia" w:eastAsia="仿宋_GB2312"/>
                <w:szCs w:val="21"/>
              </w:rPr>
              <w:t>随机抽取10名医生，开展满意度评价。</w:t>
            </w: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10</w:t>
            </w:r>
          </w:p>
        </w:tc>
        <w:tc>
          <w:tcPr>
            <w:tcW w:w="704"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快速调查</w:t>
            </w:r>
          </w:p>
        </w:tc>
      </w:tr>
      <w:tr>
        <w:tblPrEx>
          <w:tblCellMar>
            <w:top w:w="0" w:type="dxa"/>
            <w:left w:w="108" w:type="dxa"/>
            <w:bottom w:w="0" w:type="dxa"/>
            <w:right w:w="108" w:type="dxa"/>
          </w:tblCellMar>
        </w:tblPrEx>
        <w:trPr>
          <w:trHeight w:val="444" w:hRule="atLeast"/>
        </w:trPr>
        <w:tc>
          <w:tcPr>
            <w:tcW w:w="1171"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合计</w:t>
            </w:r>
          </w:p>
        </w:tc>
        <w:tc>
          <w:tcPr>
            <w:tcW w:w="1239"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c>
          <w:tcPr>
            <w:tcW w:w="4937"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p>
        </w:tc>
        <w:tc>
          <w:tcPr>
            <w:tcW w:w="4135" w:type="dxa"/>
            <w:tcBorders>
              <w:top w:val="nil"/>
              <w:left w:val="nil"/>
              <w:bottom w:val="single" w:color="auto" w:sz="4" w:space="0"/>
              <w:right w:val="single" w:color="auto" w:sz="4" w:space="0"/>
            </w:tcBorders>
            <w:noWrap/>
            <w:vAlign w:val="center"/>
          </w:tcPr>
          <w:p>
            <w:pPr>
              <w:spacing w:line="280" w:lineRule="exact"/>
              <w:rPr>
                <w:rFonts w:hint="eastAsia" w:eastAsia="仿宋_GB2312"/>
                <w:szCs w:val="21"/>
              </w:rPr>
            </w:pPr>
          </w:p>
        </w:tc>
        <w:tc>
          <w:tcPr>
            <w:tcW w:w="615"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r>
              <w:rPr>
                <w:rFonts w:hint="eastAsia" w:eastAsia="仿宋_GB2312"/>
                <w:szCs w:val="21"/>
                <w:lang w:bidi="ar"/>
              </w:rPr>
              <w:t>100</w:t>
            </w:r>
          </w:p>
        </w:tc>
        <w:tc>
          <w:tcPr>
            <w:tcW w:w="704" w:type="dxa"/>
            <w:tcBorders>
              <w:top w:val="nil"/>
              <w:left w:val="nil"/>
              <w:bottom w:val="single" w:color="auto" w:sz="4" w:space="0"/>
              <w:right w:val="single" w:color="auto" w:sz="4" w:space="0"/>
            </w:tcBorders>
            <w:noWrap/>
            <w:vAlign w:val="center"/>
          </w:tcPr>
          <w:p>
            <w:pPr>
              <w:spacing w:line="280" w:lineRule="exact"/>
              <w:jc w:val="center"/>
              <w:rPr>
                <w:rFonts w:hint="eastAsia" w:eastAsia="仿宋_GB2312"/>
                <w:szCs w:val="21"/>
              </w:rPr>
            </w:pPr>
          </w:p>
        </w:tc>
      </w:tr>
    </w:tbl>
    <w:p>
      <w:pPr>
        <w:spacing w:line="560" w:lineRule="exact"/>
        <w:rPr>
          <w:rFonts w:hint="eastAsia" w:eastAsia="黑体"/>
          <w:sz w:val="32"/>
          <w:szCs w:val="32"/>
        </w:rPr>
      </w:pPr>
      <w:r>
        <w:rPr>
          <w:rFonts w:eastAsia="黑体"/>
          <w:b/>
        </w:rPr>
        <w:br w:type="page"/>
      </w:r>
      <w:r>
        <w:rPr>
          <w:rFonts w:eastAsia="黑体"/>
          <w:sz w:val="32"/>
          <w:szCs w:val="32"/>
        </w:rPr>
        <w:t>附件7</w:t>
      </w:r>
    </w:p>
    <w:p>
      <w:pPr>
        <w:pStyle w:val="2"/>
        <w:spacing w:line="560" w:lineRule="exact"/>
        <w:ind w:firstLine="392"/>
      </w:pPr>
    </w:p>
    <w:p>
      <w:pPr>
        <w:overflowPunct w:val="0"/>
        <w:spacing w:line="560" w:lineRule="exact"/>
        <w:jc w:val="center"/>
        <w:rPr>
          <w:rFonts w:hint="eastAsia" w:eastAsia="方正小标宋简体"/>
          <w:sz w:val="44"/>
          <w:szCs w:val="44"/>
        </w:rPr>
      </w:pPr>
      <w:r>
        <w:rPr>
          <w:rFonts w:eastAsia="方正小标宋简体"/>
          <w:sz w:val="44"/>
          <w:szCs w:val="44"/>
        </w:rPr>
        <w:t>健康</w:t>
      </w:r>
      <w:r>
        <w:rPr>
          <w:rFonts w:hint="eastAsia" w:eastAsia="方正小标宋简体"/>
          <w:sz w:val="44"/>
          <w:szCs w:val="44"/>
        </w:rPr>
        <w:t>（</w:t>
      </w:r>
      <w:r>
        <w:rPr>
          <w:rFonts w:eastAsia="方正小标宋简体"/>
          <w:sz w:val="44"/>
          <w:szCs w:val="44"/>
        </w:rPr>
        <w:t>促进</w:t>
      </w:r>
      <w:r>
        <w:rPr>
          <w:rFonts w:hint="eastAsia" w:eastAsia="方正小标宋简体"/>
          <w:sz w:val="44"/>
          <w:szCs w:val="44"/>
        </w:rPr>
        <w:t>）</w:t>
      </w:r>
      <w:r>
        <w:rPr>
          <w:rFonts w:eastAsia="方正小标宋简体"/>
          <w:sz w:val="44"/>
          <w:szCs w:val="44"/>
        </w:rPr>
        <w:t>学校标准</w:t>
      </w:r>
    </w:p>
    <w:p>
      <w:pPr>
        <w:pStyle w:val="2"/>
        <w:spacing w:line="200" w:lineRule="exact"/>
        <w:ind w:firstLine="392"/>
      </w:pPr>
    </w:p>
    <w:tbl>
      <w:tblPr>
        <w:tblStyle w:val="10"/>
        <w:tblW w:w="12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097"/>
        <w:gridCol w:w="4720"/>
        <w:gridCol w:w="4536"/>
        <w:gridCol w:w="54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271" w:type="dxa"/>
            <w:noWrap/>
            <w:vAlign w:val="center"/>
          </w:tcPr>
          <w:p>
            <w:pPr>
              <w:spacing w:line="280" w:lineRule="exact"/>
              <w:jc w:val="center"/>
              <w:rPr>
                <w:rFonts w:ascii="黑体" w:hAnsi="黑体" w:eastAsia="黑体"/>
                <w:bCs/>
                <w:szCs w:val="21"/>
              </w:rPr>
            </w:pPr>
            <w:r>
              <w:rPr>
                <w:rFonts w:ascii="黑体" w:hAnsi="黑体" w:eastAsia="黑体"/>
                <w:bCs/>
                <w:szCs w:val="21"/>
                <w:lang w:bidi="ar"/>
              </w:rPr>
              <w:t>一级指标</w:t>
            </w:r>
          </w:p>
        </w:tc>
        <w:tc>
          <w:tcPr>
            <w:tcW w:w="1097" w:type="dxa"/>
            <w:noWrap/>
            <w:vAlign w:val="center"/>
          </w:tcPr>
          <w:p>
            <w:pPr>
              <w:spacing w:line="280" w:lineRule="exact"/>
              <w:jc w:val="center"/>
              <w:rPr>
                <w:rFonts w:ascii="黑体" w:hAnsi="黑体" w:eastAsia="黑体"/>
                <w:bCs/>
                <w:szCs w:val="21"/>
              </w:rPr>
            </w:pPr>
            <w:r>
              <w:rPr>
                <w:rFonts w:ascii="黑体" w:hAnsi="黑体" w:eastAsia="黑体"/>
                <w:bCs/>
                <w:szCs w:val="21"/>
                <w:lang w:bidi="ar"/>
              </w:rPr>
              <w:t>二级指标</w:t>
            </w:r>
          </w:p>
        </w:tc>
        <w:tc>
          <w:tcPr>
            <w:tcW w:w="4720" w:type="dxa"/>
            <w:noWrap/>
            <w:vAlign w:val="center"/>
          </w:tcPr>
          <w:p>
            <w:pPr>
              <w:spacing w:line="280" w:lineRule="exact"/>
              <w:jc w:val="center"/>
              <w:rPr>
                <w:rFonts w:ascii="黑体" w:hAnsi="黑体" w:eastAsia="黑体"/>
                <w:bCs/>
                <w:szCs w:val="21"/>
              </w:rPr>
            </w:pPr>
            <w:r>
              <w:rPr>
                <w:rFonts w:ascii="黑体" w:hAnsi="黑体" w:eastAsia="黑体"/>
                <w:bCs/>
                <w:szCs w:val="21"/>
                <w:lang w:bidi="ar"/>
              </w:rPr>
              <w:t>指标内容</w:t>
            </w:r>
          </w:p>
        </w:tc>
        <w:tc>
          <w:tcPr>
            <w:tcW w:w="4536" w:type="dxa"/>
            <w:noWrap/>
            <w:vAlign w:val="center"/>
          </w:tcPr>
          <w:p>
            <w:pPr>
              <w:spacing w:line="280" w:lineRule="exact"/>
              <w:jc w:val="center"/>
              <w:rPr>
                <w:rFonts w:ascii="黑体" w:hAnsi="黑体" w:eastAsia="黑体"/>
                <w:bCs/>
                <w:szCs w:val="21"/>
              </w:rPr>
            </w:pPr>
            <w:r>
              <w:rPr>
                <w:rFonts w:ascii="黑体" w:hAnsi="黑体" w:eastAsia="黑体"/>
                <w:bCs/>
                <w:szCs w:val="21"/>
                <w:lang w:bidi="ar"/>
              </w:rPr>
              <w:t>评分标准</w:t>
            </w:r>
          </w:p>
        </w:tc>
        <w:tc>
          <w:tcPr>
            <w:tcW w:w="546" w:type="dxa"/>
            <w:noWrap/>
            <w:vAlign w:val="center"/>
          </w:tcPr>
          <w:p>
            <w:pPr>
              <w:spacing w:line="280" w:lineRule="exact"/>
              <w:jc w:val="center"/>
              <w:rPr>
                <w:rFonts w:ascii="黑体" w:hAnsi="黑体" w:eastAsia="黑体"/>
                <w:bCs/>
                <w:szCs w:val="21"/>
              </w:rPr>
            </w:pPr>
            <w:r>
              <w:rPr>
                <w:rFonts w:ascii="黑体" w:hAnsi="黑体" w:eastAsia="黑体"/>
                <w:bCs/>
                <w:szCs w:val="21"/>
                <w:lang w:bidi="ar"/>
              </w:rPr>
              <w:t>分值</w:t>
            </w:r>
          </w:p>
        </w:tc>
        <w:tc>
          <w:tcPr>
            <w:tcW w:w="664" w:type="dxa"/>
            <w:noWrap/>
            <w:vAlign w:val="center"/>
          </w:tcPr>
          <w:p>
            <w:pPr>
              <w:spacing w:line="280" w:lineRule="exact"/>
              <w:jc w:val="center"/>
              <w:rPr>
                <w:rFonts w:ascii="黑体" w:hAnsi="黑体" w:eastAsia="黑体"/>
                <w:bCs/>
                <w:szCs w:val="21"/>
              </w:rPr>
            </w:pPr>
            <w:r>
              <w:rPr>
                <w:rFonts w:ascii="黑体" w:hAnsi="黑体" w:eastAsia="黑体"/>
                <w:bCs/>
                <w:szCs w:val="21"/>
                <w:lang w:bidi="ar"/>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271" w:type="dxa"/>
            <w:vMerge w:val="restart"/>
            <w:noWrap/>
            <w:vAlign w:val="center"/>
          </w:tcPr>
          <w:p>
            <w:pPr>
              <w:spacing w:line="280" w:lineRule="exact"/>
              <w:jc w:val="center"/>
              <w:rPr>
                <w:rFonts w:hint="eastAsia" w:eastAsia="仿宋_GB2312"/>
                <w:szCs w:val="21"/>
              </w:rPr>
            </w:pPr>
            <w:r>
              <w:rPr>
                <w:rFonts w:hint="eastAsia" w:eastAsia="仿宋_GB2312"/>
                <w:szCs w:val="21"/>
                <w:lang w:bidi="ar"/>
              </w:rPr>
              <w:t>一、健康政策（15分）</w:t>
            </w: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承诺动员</w:t>
            </w:r>
          </w:p>
        </w:tc>
        <w:tc>
          <w:tcPr>
            <w:tcW w:w="4720" w:type="dxa"/>
            <w:noWrap/>
            <w:vAlign w:val="center"/>
          </w:tcPr>
          <w:p>
            <w:pPr>
              <w:spacing w:line="280" w:lineRule="exact"/>
              <w:rPr>
                <w:rFonts w:hint="eastAsia" w:eastAsia="仿宋_GB2312"/>
                <w:szCs w:val="21"/>
              </w:rPr>
            </w:pPr>
            <w:r>
              <w:rPr>
                <w:rFonts w:hint="eastAsia" w:eastAsia="仿宋_GB2312"/>
                <w:szCs w:val="21"/>
                <w:lang w:bidi="ar"/>
              </w:rPr>
              <w:t>学校公开承诺开展健康（促进）学校建设，宣传健康促进理念。动员全体师生广泛参加健康（促进）学校建设，主动促进自身健康。给师生提供参与学校管理的机会，定期听取意见和建议。</w:t>
            </w:r>
          </w:p>
        </w:tc>
        <w:tc>
          <w:tcPr>
            <w:tcW w:w="4536" w:type="dxa"/>
            <w:noWrap/>
            <w:vAlign w:val="center"/>
          </w:tcPr>
          <w:p>
            <w:pPr>
              <w:spacing w:line="280" w:lineRule="exact"/>
              <w:rPr>
                <w:rFonts w:hint="eastAsia" w:eastAsia="仿宋_GB2312"/>
                <w:szCs w:val="21"/>
              </w:rPr>
            </w:pPr>
            <w:r>
              <w:rPr>
                <w:rFonts w:hint="eastAsia" w:eastAsia="仿宋_GB2312"/>
                <w:szCs w:val="21"/>
                <w:lang w:bidi="ar"/>
              </w:rPr>
              <w:t>校内明显可见健康（促进）学校承诺或有关标识，得1分；在全校开展动员，得1分。</w:t>
            </w:r>
          </w:p>
        </w:tc>
        <w:tc>
          <w:tcPr>
            <w:tcW w:w="546" w:type="dxa"/>
            <w:noWrap/>
            <w:vAlign w:val="center"/>
          </w:tcPr>
          <w:p>
            <w:pPr>
              <w:spacing w:line="280" w:lineRule="exact"/>
              <w:jc w:val="center"/>
              <w:rPr>
                <w:rFonts w:hint="eastAsia" w:eastAsia="仿宋_GB2312"/>
                <w:b w:val="0"/>
                <w:bCs w:val="0"/>
                <w:szCs w:val="21"/>
              </w:rPr>
            </w:pPr>
            <w:r>
              <w:rPr>
                <w:rFonts w:hint="eastAsia" w:eastAsia="仿宋_GB2312"/>
                <w:b w:val="0"/>
                <w:bCs w:val="0"/>
                <w:szCs w:val="21"/>
                <w:lang w:bidi="ar"/>
              </w:rPr>
              <w:t>2</w:t>
            </w:r>
          </w:p>
        </w:tc>
        <w:tc>
          <w:tcPr>
            <w:tcW w:w="664"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组织管理</w:t>
            </w:r>
          </w:p>
        </w:tc>
        <w:tc>
          <w:tcPr>
            <w:tcW w:w="4720" w:type="dxa"/>
            <w:noWrap/>
            <w:vAlign w:val="center"/>
          </w:tcPr>
          <w:p>
            <w:pPr>
              <w:spacing w:line="280" w:lineRule="exact"/>
              <w:rPr>
                <w:rFonts w:hint="eastAsia" w:eastAsia="仿宋_GB2312"/>
                <w:szCs w:val="21"/>
              </w:rPr>
            </w:pPr>
            <w:r>
              <w:rPr>
                <w:rFonts w:hint="eastAsia" w:eastAsia="仿宋_GB2312"/>
                <w:szCs w:val="21"/>
                <w:lang w:bidi="ar"/>
              </w:rPr>
              <w:t>成立校长或分管校长为组长的健康（促进）学校工作领导小组，明确相关职能部门职责，定期召开例会。</w:t>
            </w:r>
          </w:p>
        </w:tc>
        <w:tc>
          <w:tcPr>
            <w:tcW w:w="4536" w:type="dxa"/>
            <w:noWrap/>
            <w:vAlign w:val="center"/>
          </w:tcPr>
          <w:p>
            <w:pPr>
              <w:spacing w:line="280" w:lineRule="exact"/>
              <w:rPr>
                <w:rFonts w:hint="eastAsia" w:eastAsia="仿宋_GB2312"/>
                <w:szCs w:val="21"/>
              </w:rPr>
            </w:pPr>
            <w:r>
              <w:rPr>
                <w:rFonts w:hint="eastAsia" w:eastAsia="仿宋_GB2312"/>
                <w:szCs w:val="21"/>
                <w:lang w:bidi="ar"/>
              </w:rPr>
              <w:t>校长为组长的领导小组得1分、副校长为组长得0</w:t>
            </w:r>
            <w:r>
              <w:rPr>
                <w:rFonts w:hint="default" w:eastAsia="仿宋_GB2312"/>
                <w:szCs w:val="21"/>
                <w:lang w:val="en" w:bidi="ar"/>
              </w:rPr>
              <w:t>．</w:t>
            </w:r>
            <w:r>
              <w:rPr>
                <w:rFonts w:hint="eastAsia" w:eastAsia="仿宋_GB2312"/>
                <w:szCs w:val="21"/>
                <w:lang w:bidi="ar"/>
              </w:rPr>
              <w:t>5分。领导小组每年召开例会满2次得1分。</w:t>
            </w:r>
          </w:p>
        </w:tc>
        <w:tc>
          <w:tcPr>
            <w:tcW w:w="546" w:type="dxa"/>
            <w:noWrap/>
            <w:vAlign w:val="center"/>
          </w:tcPr>
          <w:p>
            <w:pPr>
              <w:spacing w:line="280" w:lineRule="exact"/>
              <w:jc w:val="center"/>
              <w:rPr>
                <w:rFonts w:hint="eastAsia" w:eastAsia="仿宋_GB2312"/>
                <w:b w:val="0"/>
                <w:bCs w:val="0"/>
                <w:szCs w:val="21"/>
              </w:rPr>
            </w:pPr>
            <w:r>
              <w:rPr>
                <w:rFonts w:hint="eastAsia" w:eastAsia="仿宋_GB2312"/>
                <w:b w:val="0"/>
                <w:bCs w:val="0"/>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将健康（促进）学校工作纳入学校重点工作，所需经费在学校公用经费中列支。</w:t>
            </w:r>
          </w:p>
        </w:tc>
        <w:tc>
          <w:tcPr>
            <w:tcW w:w="4536" w:type="dxa"/>
            <w:noWrap/>
            <w:vAlign w:val="center"/>
          </w:tcPr>
          <w:p>
            <w:pPr>
              <w:spacing w:line="280" w:lineRule="exact"/>
              <w:rPr>
                <w:rFonts w:hint="eastAsia" w:eastAsia="仿宋_GB2312"/>
                <w:szCs w:val="21"/>
              </w:rPr>
            </w:pPr>
            <w:r>
              <w:rPr>
                <w:rFonts w:hint="eastAsia" w:eastAsia="仿宋_GB2312"/>
                <w:szCs w:val="21"/>
                <w:lang w:bidi="ar"/>
              </w:rPr>
              <w:t>学校年度工作计划体现健康（促进）学校工作得1分；财务表显示有健康（促进）学校建设经费得1分。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有专人负责健康（促进）学校工作，定期邀请专业机构开展培训，提高建设健康（促进）学校建设能力。</w:t>
            </w:r>
          </w:p>
        </w:tc>
        <w:tc>
          <w:tcPr>
            <w:tcW w:w="4536" w:type="dxa"/>
            <w:noWrap/>
            <w:vAlign w:val="center"/>
          </w:tcPr>
          <w:p>
            <w:pPr>
              <w:spacing w:line="280" w:lineRule="exact"/>
              <w:rPr>
                <w:rFonts w:hint="eastAsia" w:eastAsia="仿宋_GB2312"/>
                <w:szCs w:val="21"/>
              </w:rPr>
            </w:pPr>
            <w:r>
              <w:rPr>
                <w:rFonts w:hint="eastAsia" w:eastAsia="仿宋_GB2312"/>
                <w:szCs w:val="21"/>
                <w:lang w:bidi="ar"/>
              </w:rPr>
              <w:t>有专人负责得1分。接受过健康（促进）学校培训得1分。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制定健康（促进）学校工作计划，根据学校特点和学生主要健康问题，选择合适的健康问题作为切入点。整理收集工作记录，完成年度工作总结。</w:t>
            </w:r>
          </w:p>
        </w:tc>
        <w:tc>
          <w:tcPr>
            <w:tcW w:w="4536" w:type="dxa"/>
            <w:noWrap/>
            <w:vAlign w:val="center"/>
          </w:tcPr>
          <w:p>
            <w:pPr>
              <w:spacing w:line="280" w:lineRule="exact"/>
              <w:rPr>
                <w:rFonts w:hint="eastAsia" w:eastAsia="仿宋_GB2312"/>
                <w:szCs w:val="21"/>
              </w:rPr>
            </w:pPr>
            <w:r>
              <w:rPr>
                <w:rFonts w:hint="eastAsia" w:eastAsia="仿宋_GB2312"/>
                <w:szCs w:val="21"/>
                <w:lang w:bidi="ar"/>
              </w:rPr>
              <w:t>有健康（促进）学校计划，计划合理、重点突出，得1分。有详细建设过程记录，有年度健康（促进）学校工作总结得1分。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271" w:type="dxa"/>
            <w:vMerge w:val="continue"/>
            <w:noWrap/>
            <w:vAlign w:val="center"/>
          </w:tcPr>
          <w:p>
            <w:pPr>
              <w:spacing w:line="280" w:lineRule="exact"/>
              <w:jc w:val="center"/>
              <w:rPr>
                <w:rFonts w:hint="eastAsia" w:eastAsia="仿宋_GB2312"/>
                <w:szCs w:val="21"/>
              </w:rPr>
            </w:pP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制度建设</w:t>
            </w:r>
          </w:p>
        </w:tc>
        <w:tc>
          <w:tcPr>
            <w:tcW w:w="4720" w:type="dxa"/>
            <w:noWrap/>
            <w:vAlign w:val="center"/>
          </w:tcPr>
          <w:p>
            <w:pPr>
              <w:spacing w:line="280" w:lineRule="exact"/>
              <w:rPr>
                <w:rFonts w:hint="eastAsia" w:eastAsia="仿宋_GB2312"/>
                <w:szCs w:val="21"/>
              </w:rPr>
            </w:pPr>
            <w:r>
              <w:rPr>
                <w:rFonts w:hint="eastAsia" w:eastAsia="仿宋_GB2312"/>
                <w:szCs w:val="21"/>
                <w:lang w:bidi="ar"/>
              </w:rPr>
              <w:t>学校制定系列促进师生健康的政策、规章制度和管理措施。包括校内禁烟、食品安全、饮水和环境设施、保障学生每天1小时体育活动时间、开设健康教育课和健康教育活动、提高学生健康素养、查验预防接种证、学生安全和突发事件应急预案、困难学生帮扶等。</w:t>
            </w:r>
          </w:p>
        </w:tc>
        <w:tc>
          <w:tcPr>
            <w:tcW w:w="4536" w:type="dxa"/>
            <w:noWrap/>
            <w:vAlign w:val="center"/>
          </w:tcPr>
          <w:p>
            <w:pPr>
              <w:spacing w:line="280" w:lineRule="exact"/>
              <w:rPr>
                <w:rFonts w:hint="eastAsia" w:eastAsia="仿宋_GB2312"/>
                <w:szCs w:val="21"/>
              </w:rPr>
            </w:pPr>
            <w:r>
              <w:rPr>
                <w:rFonts w:hint="eastAsia" w:eastAsia="仿宋_GB2312"/>
                <w:szCs w:val="21"/>
                <w:lang w:bidi="ar"/>
              </w:rPr>
              <w:t>学校制定促进学生健康的政策，每个政策得0</w:t>
            </w:r>
            <w:r>
              <w:rPr>
                <w:rFonts w:hint="eastAsia" w:eastAsia="仿宋_GB2312"/>
                <w:szCs w:val="21"/>
                <w:lang w:val="en-US" w:eastAsia="zh-CN" w:bidi="ar"/>
              </w:rPr>
              <w:t>.</w:t>
            </w:r>
            <w:r>
              <w:rPr>
                <w:rFonts w:hint="eastAsia" w:eastAsia="仿宋_GB2312"/>
                <w:szCs w:val="21"/>
                <w:lang w:bidi="ar"/>
              </w:rPr>
              <w:t>5分，最高5分。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5</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1" w:type="dxa"/>
            <w:vMerge w:val="restart"/>
            <w:noWrap/>
            <w:vAlign w:val="center"/>
          </w:tcPr>
          <w:p>
            <w:pPr>
              <w:spacing w:line="280" w:lineRule="exact"/>
              <w:jc w:val="center"/>
              <w:rPr>
                <w:rFonts w:hint="eastAsia" w:eastAsia="仿宋_GB2312"/>
                <w:szCs w:val="21"/>
              </w:rPr>
            </w:pPr>
            <w:r>
              <w:rPr>
                <w:rFonts w:hint="eastAsia" w:eastAsia="仿宋_GB2312"/>
                <w:szCs w:val="21"/>
                <w:lang w:bidi="ar"/>
              </w:rPr>
              <w:t>二、学习生活环境（20分）</w:t>
            </w: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环境卫生</w:t>
            </w:r>
          </w:p>
        </w:tc>
        <w:tc>
          <w:tcPr>
            <w:tcW w:w="4720" w:type="dxa"/>
            <w:noWrap/>
            <w:vAlign w:val="center"/>
          </w:tcPr>
          <w:p>
            <w:pPr>
              <w:spacing w:line="280" w:lineRule="exact"/>
              <w:rPr>
                <w:rFonts w:hint="eastAsia" w:eastAsia="仿宋_GB2312"/>
                <w:szCs w:val="21"/>
              </w:rPr>
            </w:pPr>
            <w:r>
              <w:rPr>
                <w:rFonts w:hint="eastAsia" w:eastAsia="仿宋_GB2312"/>
                <w:szCs w:val="21"/>
                <w:lang w:bidi="ar"/>
              </w:rPr>
              <w:t xml:space="preserve">学校环境整洁优美，无卫生死角，无安全隐患。 </w:t>
            </w:r>
          </w:p>
        </w:tc>
        <w:tc>
          <w:tcPr>
            <w:tcW w:w="4536" w:type="dxa"/>
            <w:noWrap/>
            <w:vAlign w:val="center"/>
          </w:tcPr>
          <w:p>
            <w:pPr>
              <w:spacing w:line="280" w:lineRule="exact"/>
              <w:rPr>
                <w:rFonts w:hint="eastAsia" w:eastAsia="仿宋_GB2312"/>
                <w:szCs w:val="21"/>
              </w:rPr>
            </w:pPr>
            <w:r>
              <w:rPr>
                <w:rFonts w:hint="eastAsia" w:eastAsia="仿宋_GB2312"/>
                <w:szCs w:val="21"/>
                <w:lang w:bidi="ar"/>
              </w:rPr>
              <w:t>校园无垃圾堆积，得1分。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664"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w:t>
            </w:r>
          </w:p>
          <w:p>
            <w:pPr>
              <w:spacing w:line="280" w:lineRule="exact"/>
              <w:jc w:val="center"/>
              <w:rPr>
                <w:rFonts w:hint="eastAsia" w:eastAsia="仿宋_GB2312"/>
                <w:szCs w:val="21"/>
              </w:rPr>
            </w:pPr>
            <w:r>
              <w:rPr>
                <w:rFonts w:hint="eastAsia" w:eastAsia="仿宋_GB2312"/>
                <w:szCs w:val="21"/>
                <w:lang w:bidi="ar"/>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使用卫生厕所并保持清洁。新建教学楼每层设厕所。女生15人一蹲位，男生30人一蹲位，有洗手设施。</w:t>
            </w:r>
          </w:p>
        </w:tc>
        <w:tc>
          <w:tcPr>
            <w:tcW w:w="4536" w:type="dxa"/>
            <w:noWrap/>
            <w:vAlign w:val="center"/>
          </w:tcPr>
          <w:p>
            <w:pPr>
              <w:spacing w:line="280" w:lineRule="exact"/>
              <w:rPr>
                <w:rFonts w:hint="eastAsia" w:eastAsia="仿宋_GB2312"/>
                <w:szCs w:val="21"/>
              </w:rPr>
            </w:pPr>
            <w:r>
              <w:rPr>
                <w:rFonts w:hint="eastAsia" w:eastAsia="仿宋_GB2312"/>
                <w:szCs w:val="21"/>
                <w:lang w:bidi="ar"/>
              </w:rPr>
              <w:t>随机进入一个厕所，数量够用得1分，清洁卫生得1分。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71" w:type="dxa"/>
            <w:vMerge w:val="continue"/>
            <w:noWrap/>
            <w:vAlign w:val="center"/>
          </w:tcPr>
          <w:p>
            <w:pPr>
              <w:spacing w:line="280" w:lineRule="exact"/>
              <w:jc w:val="center"/>
              <w:rPr>
                <w:rFonts w:hint="eastAsia" w:eastAsia="仿宋_GB2312"/>
                <w:szCs w:val="21"/>
              </w:rPr>
            </w:pP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无烟环境</w:t>
            </w:r>
          </w:p>
        </w:tc>
        <w:tc>
          <w:tcPr>
            <w:tcW w:w="4720" w:type="dxa"/>
            <w:noWrap/>
            <w:vAlign w:val="center"/>
          </w:tcPr>
          <w:p>
            <w:pPr>
              <w:spacing w:line="280" w:lineRule="exact"/>
              <w:rPr>
                <w:rFonts w:hint="eastAsia" w:eastAsia="仿宋_GB2312"/>
                <w:szCs w:val="21"/>
              </w:rPr>
            </w:pPr>
            <w:r>
              <w:rPr>
                <w:rFonts w:hint="eastAsia" w:eastAsia="仿宋_GB2312"/>
                <w:szCs w:val="21"/>
                <w:lang w:bidi="ar"/>
              </w:rPr>
              <w:t>符合无烟学校参考标准。校内无人吸烟，无烟头，无烟草销售和广告，有禁烟标识。</w:t>
            </w:r>
          </w:p>
        </w:tc>
        <w:tc>
          <w:tcPr>
            <w:tcW w:w="4536" w:type="dxa"/>
            <w:noWrap/>
            <w:vAlign w:val="center"/>
          </w:tcPr>
          <w:p>
            <w:pPr>
              <w:spacing w:line="280" w:lineRule="exact"/>
              <w:rPr>
                <w:rFonts w:hint="eastAsia" w:eastAsia="仿宋_GB2312"/>
                <w:szCs w:val="21"/>
              </w:rPr>
            </w:pPr>
            <w:r>
              <w:rPr>
                <w:rFonts w:hint="eastAsia" w:eastAsia="仿宋_GB2312"/>
                <w:szCs w:val="21"/>
                <w:lang w:bidi="ar"/>
              </w:rPr>
              <w:t>有禁止吸烟标识得1分，学校内无人吸烟得0</w:t>
            </w:r>
            <w:r>
              <w:rPr>
                <w:rFonts w:hint="eastAsia" w:eastAsia="仿宋_GB2312"/>
                <w:szCs w:val="21"/>
                <w:lang w:val="en-US" w:eastAsia="zh-CN" w:bidi="ar"/>
              </w:rPr>
              <w:t>.</w:t>
            </w:r>
            <w:r>
              <w:rPr>
                <w:rFonts w:hint="eastAsia" w:eastAsia="仿宋_GB2312"/>
                <w:szCs w:val="21"/>
                <w:lang w:bidi="ar"/>
              </w:rPr>
              <w:t>5分，无烟头得0</w:t>
            </w:r>
            <w:r>
              <w:rPr>
                <w:rFonts w:hint="eastAsia" w:eastAsia="仿宋_GB2312"/>
                <w:szCs w:val="21"/>
                <w:lang w:val="en-US" w:eastAsia="zh-CN" w:bidi="ar"/>
              </w:rPr>
              <w:t>.</w:t>
            </w:r>
            <w:r>
              <w:rPr>
                <w:rFonts w:hint="eastAsia" w:eastAsia="仿宋_GB2312"/>
                <w:szCs w:val="21"/>
                <w:lang w:bidi="ar"/>
              </w:rPr>
              <w:t>5分，无烟草销售和广告得1分。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71" w:type="dxa"/>
            <w:vMerge w:val="continue"/>
            <w:noWrap/>
            <w:vAlign w:val="center"/>
          </w:tcPr>
          <w:p>
            <w:pPr>
              <w:spacing w:line="280" w:lineRule="exact"/>
              <w:jc w:val="center"/>
              <w:rPr>
                <w:rFonts w:hint="eastAsia" w:eastAsia="仿宋_GB2312"/>
                <w:szCs w:val="21"/>
              </w:rPr>
            </w:pP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教室设施</w:t>
            </w:r>
          </w:p>
        </w:tc>
        <w:tc>
          <w:tcPr>
            <w:tcW w:w="4720" w:type="dxa"/>
            <w:noWrap/>
            <w:vAlign w:val="center"/>
          </w:tcPr>
          <w:p>
            <w:pPr>
              <w:spacing w:line="280" w:lineRule="exact"/>
              <w:rPr>
                <w:rFonts w:hint="eastAsia" w:eastAsia="仿宋_GB2312"/>
                <w:szCs w:val="21"/>
              </w:rPr>
            </w:pPr>
            <w:r>
              <w:rPr>
                <w:rFonts w:hint="eastAsia" w:eastAsia="仿宋_GB2312"/>
                <w:szCs w:val="21"/>
                <w:lang w:bidi="ar"/>
              </w:rPr>
              <w:t>教室人均使用面积小学不低于1</w:t>
            </w:r>
            <w:r>
              <w:rPr>
                <w:rFonts w:hint="eastAsia" w:eastAsia="仿宋_GB2312"/>
                <w:szCs w:val="21"/>
                <w:lang w:val="en-US" w:eastAsia="zh-CN" w:bidi="ar"/>
              </w:rPr>
              <w:t>.</w:t>
            </w:r>
            <w:r>
              <w:rPr>
                <w:rFonts w:hint="eastAsia" w:eastAsia="仿宋_GB2312"/>
                <w:szCs w:val="21"/>
                <w:lang w:bidi="ar"/>
              </w:rPr>
              <w:t>15平方米</w:t>
            </w:r>
            <w:r>
              <w:rPr>
                <w:rFonts w:hint="eastAsia" w:eastAsia="仿宋_GB2312"/>
                <w:szCs w:val="21"/>
                <w:lang w:eastAsia="zh-CN" w:bidi="ar"/>
              </w:rPr>
              <w:t>，</w:t>
            </w:r>
            <w:r>
              <w:rPr>
                <w:rFonts w:hint="eastAsia" w:eastAsia="仿宋_GB2312"/>
                <w:szCs w:val="21"/>
                <w:lang w:bidi="ar"/>
              </w:rPr>
              <w:t>中学不低于1</w:t>
            </w:r>
            <w:r>
              <w:rPr>
                <w:rFonts w:hint="eastAsia" w:eastAsia="仿宋_GB2312"/>
                <w:szCs w:val="21"/>
                <w:lang w:val="en-US" w:eastAsia="zh-CN" w:bidi="ar"/>
              </w:rPr>
              <w:t>.</w:t>
            </w:r>
            <w:r>
              <w:rPr>
                <w:rFonts w:hint="eastAsia" w:eastAsia="仿宋_GB2312"/>
                <w:szCs w:val="21"/>
                <w:lang w:bidi="ar"/>
              </w:rPr>
              <w:t>12平方米；前排课桌前缘与黑板不低于2米；桌椅每人一席；教室应配备9盏以上40瓦荧光灯。</w:t>
            </w:r>
          </w:p>
        </w:tc>
        <w:tc>
          <w:tcPr>
            <w:tcW w:w="4536" w:type="dxa"/>
            <w:noWrap/>
            <w:vAlign w:val="center"/>
          </w:tcPr>
          <w:p>
            <w:pPr>
              <w:spacing w:line="280" w:lineRule="exact"/>
              <w:rPr>
                <w:rFonts w:hint="eastAsia" w:eastAsia="仿宋_GB2312"/>
                <w:szCs w:val="21"/>
              </w:rPr>
            </w:pPr>
            <w:r>
              <w:rPr>
                <w:rFonts w:hint="eastAsia" w:eastAsia="仿宋_GB2312"/>
                <w:szCs w:val="21"/>
                <w:lang w:bidi="ar"/>
              </w:rPr>
              <w:t>前排课桌前缘与黑板距离大于2 米，得1分。学生一人一套桌椅，得1分。教室灯光明亮，得1分。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健康饮食</w:t>
            </w:r>
          </w:p>
        </w:tc>
        <w:tc>
          <w:tcPr>
            <w:tcW w:w="4720" w:type="dxa"/>
            <w:noWrap/>
            <w:vAlign w:val="center"/>
          </w:tcPr>
          <w:p>
            <w:pPr>
              <w:spacing w:line="280" w:lineRule="exact"/>
              <w:rPr>
                <w:rFonts w:hint="eastAsia" w:eastAsia="仿宋_GB2312"/>
                <w:szCs w:val="21"/>
              </w:rPr>
            </w:pPr>
            <w:r>
              <w:rPr>
                <w:rFonts w:hint="eastAsia" w:eastAsia="仿宋_GB2312"/>
                <w:szCs w:val="21"/>
                <w:lang w:bidi="ar"/>
              </w:rPr>
              <w:t>提供安全、合理的营养膳食，提供充足、安全的饮用水。</w:t>
            </w:r>
          </w:p>
        </w:tc>
        <w:tc>
          <w:tcPr>
            <w:tcW w:w="4536" w:type="dxa"/>
            <w:noWrap/>
            <w:vAlign w:val="center"/>
          </w:tcPr>
          <w:p>
            <w:pPr>
              <w:spacing w:line="280" w:lineRule="exact"/>
              <w:rPr>
                <w:rFonts w:hint="eastAsia" w:eastAsia="仿宋_GB2312"/>
                <w:szCs w:val="21"/>
              </w:rPr>
            </w:pPr>
            <w:r>
              <w:rPr>
                <w:rFonts w:hint="eastAsia" w:eastAsia="仿宋_GB2312"/>
                <w:szCs w:val="21"/>
                <w:lang w:bidi="ar"/>
              </w:rPr>
              <w:t>提供来源安全的饮食得1分，膳食结构合理得1分。提供充足、安全的饮用水得1分。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学生食堂三证齐全，有洗刷、消毒池等清洗设施，生熟分开。</w:t>
            </w:r>
          </w:p>
        </w:tc>
        <w:tc>
          <w:tcPr>
            <w:tcW w:w="4536" w:type="dxa"/>
            <w:noWrap/>
            <w:vAlign w:val="center"/>
          </w:tcPr>
          <w:p>
            <w:pPr>
              <w:spacing w:line="280" w:lineRule="exact"/>
              <w:rPr>
                <w:rFonts w:hint="eastAsia" w:eastAsia="仿宋_GB2312"/>
                <w:szCs w:val="21"/>
              </w:rPr>
            </w:pPr>
            <w:r>
              <w:rPr>
                <w:rFonts w:hint="eastAsia" w:eastAsia="仿宋_GB2312"/>
                <w:szCs w:val="21"/>
                <w:lang w:bidi="ar"/>
              </w:rPr>
              <w:t>学校食堂生熟分开得1分，厨房和就餐清洁卫生得1分。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71" w:type="dxa"/>
            <w:vMerge w:val="continue"/>
            <w:noWrap/>
            <w:vAlign w:val="center"/>
          </w:tcPr>
          <w:p>
            <w:pPr>
              <w:spacing w:line="280" w:lineRule="exact"/>
              <w:jc w:val="center"/>
              <w:rPr>
                <w:rFonts w:hint="eastAsia" w:eastAsia="仿宋_GB2312"/>
                <w:szCs w:val="21"/>
              </w:rPr>
            </w:pP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潜能发展</w:t>
            </w:r>
          </w:p>
        </w:tc>
        <w:tc>
          <w:tcPr>
            <w:tcW w:w="4720" w:type="dxa"/>
            <w:noWrap/>
            <w:vAlign w:val="center"/>
          </w:tcPr>
          <w:p>
            <w:pPr>
              <w:spacing w:line="280" w:lineRule="exact"/>
              <w:rPr>
                <w:rFonts w:hint="eastAsia" w:eastAsia="仿宋_GB2312"/>
                <w:szCs w:val="21"/>
              </w:rPr>
            </w:pPr>
            <w:r>
              <w:rPr>
                <w:rFonts w:hint="eastAsia" w:eastAsia="仿宋_GB2312"/>
                <w:szCs w:val="21"/>
                <w:lang w:bidi="ar"/>
              </w:rPr>
              <w:t>成立不同类型的兴趣小组，开设艺术课程，为学生提供发挥个人潜能的机会，促进学生良好个性的发展。</w:t>
            </w:r>
          </w:p>
        </w:tc>
        <w:tc>
          <w:tcPr>
            <w:tcW w:w="4536" w:type="dxa"/>
            <w:noWrap/>
            <w:vAlign w:val="center"/>
          </w:tcPr>
          <w:p>
            <w:pPr>
              <w:spacing w:line="280" w:lineRule="exact"/>
              <w:rPr>
                <w:rFonts w:hint="eastAsia" w:eastAsia="仿宋_GB2312"/>
                <w:szCs w:val="21"/>
              </w:rPr>
            </w:pPr>
            <w:r>
              <w:rPr>
                <w:rFonts w:hint="eastAsia" w:eastAsia="仿宋_GB2312"/>
                <w:szCs w:val="21"/>
                <w:lang w:bidi="ar"/>
              </w:rPr>
              <w:t>每成立1个体育和艺术类兴趣班并定期组织活动得1分，最高3分。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71" w:type="dxa"/>
            <w:vMerge w:val="continue"/>
            <w:noWrap/>
            <w:vAlign w:val="center"/>
          </w:tcPr>
          <w:p>
            <w:pPr>
              <w:spacing w:line="280" w:lineRule="exact"/>
              <w:jc w:val="center"/>
              <w:rPr>
                <w:rFonts w:hint="eastAsia" w:eastAsia="仿宋_GB2312"/>
                <w:szCs w:val="21"/>
              </w:rPr>
            </w:pP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师生互爱</w:t>
            </w:r>
          </w:p>
        </w:tc>
        <w:tc>
          <w:tcPr>
            <w:tcW w:w="4720" w:type="dxa"/>
            <w:noWrap/>
            <w:vAlign w:val="center"/>
          </w:tcPr>
          <w:p>
            <w:pPr>
              <w:spacing w:line="280" w:lineRule="exact"/>
              <w:rPr>
                <w:rFonts w:hint="eastAsia" w:eastAsia="仿宋_GB2312"/>
                <w:szCs w:val="21"/>
                <w:lang w:eastAsia="zh-CN"/>
              </w:rPr>
            </w:pPr>
            <w:r>
              <w:rPr>
                <w:rFonts w:hint="eastAsia" w:eastAsia="仿宋_GB2312"/>
                <w:szCs w:val="21"/>
                <w:lang w:bidi="ar"/>
              </w:rPr>
              <w:t>对困难学生提供适当的支持和帮助。如减免学费、捐款、心理支持等。不体罚辱骂学生，学生无打骂、斗殴行为，相互关心、信任和友好</w:t>
            </w:r>
            <w:r>
              <w:rPr>
                <w:rFonts w:hint="eastAsia" w:eastAsia="仿宋_GB2312"/>
                <w:szCs w:val="21"/>
                <w:lang w:eastAsia="zh-CN" w:bidi="ar"/>
              </w:rPr>
              <w:t>。</w:t>
            </w:r>
          </w:p>
        </w:tc>
        <w:tc>
          <w:tcPr>
            <w:tcW w:w="4536" w:type="dxa"/>
            <w:noWrap/>
            <w:vAlign w:val="center"/>
          </w:tcPr>
          <w:p>
            <w:pPr>
              <w:spacing w:line="280" w:lineRule="exact"/>
              <w:rPr>
                <w:rFonts w:hint="eastAsia" w:eastAsia="仿宋_GB2312"/>
                <w:szCs w:val="21"/>
              </w:rPr>
            </w:pPr>
            <w:r>
              <w:rPr>
                <w:rFonts w:hint="eastAsia" w:eastAsia="仿宋_GB2312"/>
                <w:szCs w:val="21"/>
                <w:lang w:bidi="ar"/>
              </w:rPr>
              <w:t>对困难学生有具体的帮扶措施，每项措施得1分，最高2分。没有学生反映体罚、恶性斗殴事件，得1分。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71" w:type="dxa"/>
            <w:vMerge w:val="restart"/>
            <w:noWrap/>
            <w:vAlign w:val="center"/>
          </w:tcPr>
          <w:p>
            <w:pPr>
              <w:spacing w:line="280" w:lineRule="exact"/>
              <w:jc w:val="center"/>
              <w:rPr>
                <w:rFonts w:hint="eastAsia" w:eastAsia="仿宋_GB2312"/>
                <w:szCs w:val="21"/>
              </w:rPr>
            </w:pPr>
            <w:r>
              <w:rPr>
                <w:rFonts w:hint="eastAsia" w:eastAsia="仿宋_GB2312"/>
                <w:szCs w:val="21"/>
                <w:lang w:bidi="ar"/>
              </w:rPr>
              <w:t>三、健康服务（20分）</w:t>
            </w: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卫生室/保健室和人员</w:t>
            </w:r>
          </w:p>
        </w:tc>
        <w:tc>
          <w:tcPr>
            <w:tcW w:w="4720" w:type="dxa"/>
            <w:noWrap/>
            <w:vAlign w:val="center"/>
          </w:tcPr>
          <w:p>
            <w:pPr>
              <w:spacing w:line="280" w:lineRule="exact"/>
              <w:rPr>
                <w:rFonts w:hint="eastAsia" w:eastAsia="仿宋_GB2312"/>
                <w:szCs w:val="21"/>
              </w:rPr>
            </w:pPr>
            <w:r>
              <w:rPr>
                <w:rFonts w:hint="eastAsia" w:eastAsia="仿宋_GB2312"/>
                <w:szCs w:val="21"/>
                <w:lang w:bidi="ar"/>
              </w:rPr>
              <w:t>寄宿制学校必须设立卫生室，非寄宿制学校可视学校规模设立卫生室或保健室。</w:t>
            </w:r>
          </w:p>
        </w:tc>
        <w:tc>
          <w:tcPr>
            <w:tcW w:w="4536" w:type="dxa"/>
            <w:noWrap/>
            <w:vAlign w:val="center"/>
          </w:tcPr>
          <w:p>
            <w:pPr>
              <w:spacing w:line="280" w:lineRule="exact"/>
              <w:rPr>
                <w:rFonts w:hint="eastAsia" w:eastAsia="仿宋_GB2312"/>
                <w:szCs w:val="21"/>
              </w:rPr>
            </w:pPr>
            <w:r>
              <w:rPr>
                <w:rFonts w:hint="eastAsia" w:eastAsia="仿宋_GB2312"/>
                <w:szCs w:val="21"/>
                <w:lang w:bidi="ar"/>
              </w:rPr>
              <w:t>寄宿制学校设立卫生室得3分，未设卫生室但有医院医生定点诊疗得2分。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寄宿制学校或600名学生以上的非寄宿制学校应配备卫生专业技术人员，600名学生以下的非寄宿制学校应配备保健教师。</w:t>
            </w:r>
          </w:p>
        </w:tc>
        <w:tc>
          <w:tcPr>
            <w:tcW w:w="4536" w:type="dxa"/>
            <w:noWrap/>
            <w:vAlign w:val="center"/>
          </w:tcPr>
          <w:p>
            <w:pPr>
              <w:spacing w:line="280" w:lineRule="exact"/>
              <w:rPr>
                <w:rFonts w:hint="eastAsia" w:eastAsia="仿宋_GB2312"/>
                <w:szCs w:val="21"/>
              </w:rPr>
            </w:pPr>
            <w:r>
              <w:rPr>
                <w:rFonts w:hint="eastAsia" w:eastAsia="仿宋_GB2312"/>
                <w:szCs w:val="21"/>
                <w:lang w:bidi="ar"/>
              </w:rPr>
              <w:t>寄宿制学校或600名学生以上的非寄宿制学校，有卫生专业技术人员得3分，无专门人员但有医院医生定点定期来校诊疗得2分。600名学生以下的非寄宿制学校有配备保健教师得3分。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卫生专业技术人员和保健教师应定期接受专业培训，为学生提供健康教育、医疗服务和心理辅导。</w:t>
            </w:r>
          </w:p>
        </w:tc>
        <w:tc>
          <w:tcPr>
            <w:tcW w:w="4536" w:type="dxa"/>
            <w:noWrap/>
            <w:vAlign w:val="center"/>
          </w:tcPr>
          <w:p>
            <w:pPr>
              <w:spacing w:line="280" w:lineRule="exact"/>
              <w:rPr>
                <w:rFonts w:hint="eastAsia" w:eastAsia="仿宋_GB2312"/>
                <w:szCs w:val="21"/>
              </w:rPr>
            </w:pPr>
            <w:r>
              <w:rPr>
                <w:rFonts w:hint="eastAsia" w:eastAsia="仿宋_GB2312"/>
                <w:szCs w:val="21"/>
                <w:lang w:bidi="ar"/>
              </w:rPr>
              <w:t>定期接受培训得1分。定期为学生提供健康服务得1分。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271" w:type="dxa"/>
            <w:vMerge w:val="restart"/>
            <w:noWrap/>
            <w:vAlign w:val="center"/>
          </w:tcPr>
          <w:p>
            <w:pPr>
              <w:spacing w:line="280" w:lineRule="exact"/>
              <w:jc w:val="center"/>
              <w:rPr>
                <w:rFonts w:hint="eastAsia" w:eastAsia="仿宋_GB2312"/>
                <w:szCs w:val="21"/>
              </w:rPr>
            </w:pPr>
            <w:r>
              <w:rPr>
                <w:rFonts w:hint="eastAsia" w:eastAsia="仿宋_GB2312"/>
                <w:szCs w:val="21"/>
                <w:lang w:bidi="ar"/>
              </w:rPr>
              <w:t>三、健康服务（20分）</w:t>
            </w: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健康管理和服务</w:t>
            </w:r>
          </w:p>
        </w:tc>
        <w:tc>
          <w:tcPr>
            <w:tcW w:w="4720" w:type="dxa"/>
            <w:noWrap/>
            <w:vAlign w:val="center"/>
          </w:tcPr>
          <w:p>
            <w:pPr>
              <w:spacing w:line="280" w:lineRule="exact"/>
              <w:rPr>
                <w:rFonts w:hint="eastAsia" w:eastAsia="仿宋_GB2312"/>
                <w:szCs w:val="21"/>
              </w:rPr>
            </w:pPr>
            <w:r>
              <w:rPr>
                <w:rFonts w:hint="eastAsia" w:eastAsia="仿宋_GB2312"/>
                <w:szCs w:val="21"/>
                <w:lang w:bidi="ar"/>
              </w:rPr>
              <w:t>建立学生健康管理机制。新生入学建立健康档案。每年组织师生健康体检，将健康评价结果告知学生和家长。</w:t>
            </w:r>
          </w:p>
        </w:tc>
        <w:tc>
          <w:tcPr>
            <w:tcW w:w="4536" w:type="dxa"/>
            <w:noWrap/>
            <w:vAlign w:val="center"/>
          </w:tcPr>
          <w:p>
            <w:pPr>
              <w:spacing w:line="280" w:lineRule="exact"/>
              <w:rPr>
                <w:rFonts w:hint="eastAsia" w:eastAsia="仿宋_GB2312"/>
                <w:szCs w:val="21"/>
              </w:rPr>
            </w:pPr>
            <w:r>
              <w:rPr>
                <w:rFonts w:hint="eastAsia" w:eastAsia="仿宋_GB2312"/>
                <w:szCs w:val="21"/>
                <w:lang w:bidi="ar"/>
              </w:rPr>
              <w:t>有学生健康档案得1分。</w:t>
            </w:r>
          </w:p>
          <w:p>
            <w:pPr>
              <w:spacing w:line="280" w:lineRule="exact"/>
              <w:rPr>
                <w:rFonts w:hint="eastAsia" w:eastAsia="仿宋_GB2312"/>
                <w:szCs w:val="21"/>
              </w:rPr>
            </w:pPr>
            <w:r>
              <w:rPr>
                <w:rFonts w:hint="eastAsia" w:eastAsia="仿宋_GB2312"/>
                <w:szCs w:val="21"/>
                <w:lang w:bidi="ar"/>
              </w:rPr>
              <w:t>每年组织一次健康体检得1分。体检结果告知学生和家长得1分。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建立突发公共卫生事件、传染病、学生常见病与多发病管理机制。配合有关单位，开展传染病监测和学生常见病综合防治工作。</w:t>
            </w:r>
          </w:p>
        </w:tc>
        <w:tc>
          <w:tcPr>
            <w:tcW w:w="4536" w:type="dxa"/>
            <w:noWrap/>
            <w:vAlign w:val="center"/>
          </w:tcPr>
          <w:p>
            <w:pPr>
              <w:spacing w:line="280" w:lineRule="exact"/>
              <w:rPr>
                <w:rFonts w:hint="eastAsia" w:eastAsia="仿宋_GB2312"/>
                <w:szCs w:val="21"/>
              </w:rPr>
            </w:pPr>
            <w:r>
              <w:rPr>
                <w:rFonts w:hint="eastAsia" w:eastAsia="仿宋_GB2312"/>
                <w:szCs w:val="21"/>
                <w:lang w:bidi="ar"/>
              </w:rPr>
              <w:t>有突发公共卫生事件应急处理预案得1分；学校卫生数据报送及时得1分。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提醒学生到卫生行政部门指定机构接种常规疫苗和应急疫苗，儿童入学时查验预防接种证和接种记录。</w:t>
            </w:r>
          </w:p>
        </w:tc>
        <w:tc>
          <w:tcPr>
            <w:tcW w:w="4536" w:type="dxa"/>
            <w:noWrap/>
            <w:vAlign w:val="center"/>
          </w:tcPr>
          <w:p>
            <w:pPr>
              <w:spacing w:line="280" w:lineRule="exact"/>
              <w:rPr>
                <w:rFonts w:hint="eastAsia" w:eastAsia="仿宋_GB2312"/>
                <w:szCs w:val="21"/>
              </w:rPr>
            </w:pPr>
            <w:r>
              <w:rPr>
                <w:rFonts w:hint="eastAsia" w:eastAsia="仿宋_GB2312"/>
                <w:szCs w:val="21"/>
                <w:lang w:bidi="ar"/>
              </w:rPr>
              <w:t>查验疫苗接种卡，得1分。适时提醒学生接种疫苗得1分。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无集体性食物中毒和安全事故发生，无传染病暴发流行。</w:t>
            </w:r>
          </w:p>
        </w:tc>
        <w:tc>
          <w:tcPr>
            <w:tcW w:w="4536" w:type="dxa"/>
            <w:noWrap/>
            <w:vAlign w:val="center"/>
          </w:tcPr>
          <w:p>
            <w:pPr>
              <w:spacing w:line="280" w:lineRule="exact"/>
              <w:rPr>
                <w:rFonts w:hint="eastAsia" w:eastAsia="仿宋_GB2312"/>
                <w:szCs w:val="21"/>
              </w:rPr>
            </w:pPr>
            <w:r>
              <w:rPr>
                <w:rFonts w:hint="eastAsia" w:eastAsia="仿宋_GB2312"/>
                <w:szCs w:val="21"/>
                <w:lang w:bidi="ar"/>
              </w:rPr>
              <w:t>无集体性食物中毒和安全事故发生，得1分。无传染病暴发流行</w:t>
            </w:r>
            <w:r>
              <w:rPr>
                <w:rFonts w:hint="eastAsia" w:eastAsia="仿宋_GB2312"/>
                <w:szCs w:val="21"/>
                <w:lang w:eastAsia="zh-CN" w:bidi="ar"/>
              </w:rPr>
              <w:t>，</w:t>
            </w:r>
            <w:r>
              <w:rPr>
                <w:rFonts w:hint="eastAsia" w:eastAsia="仿宋_GB2312"/>
                <w:szCs w:val="21"/>
                <w:lang w:bidi="ar"/>
              </w:rPr>
              <w:t>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积极预防控制营养不良、视力不良、肥胖、龋齿、贫血等学生常见疾病。</w:t>
            </w:r>
          </w:p>
        </w:tc>
        <w:tc>
          <w:tcPr>
            <w:tcW w:w="4536" w:type="dxa"/>
            <w:noWrap/>
            <w:vAlign w:val="center"/>
          </w:tcPr>
          <w:p>
            <w:pPr>
              <w:spacing w:line="280" w:lineRule="exact"/>
              <w:rPr>
                <w:rFonts w:hint="eastAsia" w:eastAsia="仿宋_GB2312"/>
                <w:szCs w:val="21"/>
              </w:rPr>
            </w:pPr>
            <w:r>
              <w:rPr>
                <w:rFonts w:hint="eastAsia" w:eastAsia="仿宋_GB2312"/>
                <w:szCs w:val="21"/>
                <w:lang w:bidi="ar"/>
              </w:rPr>
              <w:t>有预防控制营养不良、视力不良、肥胖、龋齿、贫血等学生常见疾病的具体措施，每项措施0</w:t>
            </w:r>
            <w:r>
              <w:rPr>
                <w:rFonts w:hint="eastAsia" w:eastAsia="仿宋_GB2312"/>
                <w:szCs w:val="21"/>
                <w:lang w:val="en-US" w:eastAsia="zh-CN" w:bidi="ar"/>
              </w:rPr>
              <w:t>.</w:t>
            </w:r>
            <w:r>
              <w:rPr>
                <w:rFonts w:hint="eastAsia" w:eastAsia="仿宋_GB2312"/>
                <w:szCs w:val="21"/>
                <w:lang w:bidi="ar"/>
              </w:rPr>
              <w:t>5分，最高2分。学生常见疾病发生率不高于当地平均水平得1分。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71"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四、健康素养（25分）</w:t>
            </w: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健康教育课</w:t>
            </w:r>
          </w:p>
        </w:tc>
        <w:tc>
          <w:tcPr>
            <w:tcW w:w="4720" w:type="dxa"/>
            <w:noWrap/>
            <w:vAlign w:val="center"/>
          </w:tcPr>
          <w:p>
            <w:pPr>
              <w:spacing w:line="280" w:lineRule="exact"/>
              <w:rPr>
                <w:rFonts w:hint="eastAsia" w:eastAsia="仿宋_GB2312"/>
                <w:szCs w:val="21"/>
              </w:rPr>
            </w:pPr>
            <w:r>
              <w:rPr>
                <w:rFonts w:hint="eastAsia" w:eastAsia="仿宋_GB2312"/>
                <w:szCs w:val="21"/>
                <w:lang w:bidi="ar"/>
              </w:rPr>
              <w:t>开设高质量的健康教育课程，每学期《体育与健康》等健康教育类课程中有6学时用于健康教育。</w:t>
            </w:r>
          </w:p>
        </w:tc>
        <w:tc>
          <w:tcPr>
            <w:tcW w:w="4536" w:type="dxa"/>
            <w:noWrap/>
            <w:vAlign w:val="center"/>
          </w:tcPr>
          <w:p>
            <w:pPr>
              <w:spacing w:line="280" w:lineRule="exact"/>
              <w:rPr>
                <w:rFonts w:hint="eastAsia" w:eastAsia="仿宋_GB2312"/>
                <w:szCs w:val="21"/>
              </w:rPr>
            </w:pPr>
            <w:r>
              <w:rPr>
                <w:rFonts w:hint="eastAsia" w:eastAsia="仿宋_GB2312"/>
                <w:szCs w:val="21"/>
                <w:lang w:bidi="ar"/>
              </w:rPr>
              <w:t>设健康教育课程得2分。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p>
            <w:pPr>
              <w:spacing w:line="280" w:lineRule="exact"/>
              <w:jc w:val="center"/>
              <w:rPr>
                <w:rFonts w:hint="eastAsia" w:eastAsia="仿宋_GB2312"/>
                <w:szCs w:val="21"/>
              </w:rPr>
            </w:pPr>
            <w:r>
              <w:rPr>
                <w:rFonts w:hint="eastAsia" w:eastAsia="仿宋_GB2312"/>
                <w:szCs w:val="21"/>
                <w:lang w:bidi="ar"/>
              </w:rPr>
              <w:t>现场访谈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采用规范的健康教育教材，教学过程中配合使用有针对性的课件和健康传播材料。</w:t>
            </w:r>
          </w:p>
        </w:tc>
        <w:tc>
          <w:tcPr>
            <w:tcW w:w="4536" w:type="dxa"/>
            <w:noWrap/>
            <w:vAlign w:val="center"/>
          </w:tcPr>
          <w:p>
            <w:pPr>
              <w:spacing w:line="280" w:lineRule="exact"/>
              <w:rPr>
                <w:rFonts w:hint="eastAsia" w:eastAsia="仿宋_GB2312"/>
                <w:szCs w:val="21"/>
              </w:rPr>
            </w:pPr>
            <w:r>
              <w:rPr>
                <w:rFonts w:hint="eastAsia" w:eastAsia="仿宋_GB2312"/>
                <w:szCs w:val="21"/>
                <w:lang w:bidi="ar"/>
              </w:rPr>
              <w:t>使用规范教材得2分。使用健康传播材料得1分。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授课教师定期接受健康教育技能培训。</w:t>
            </w:r>
          </w:p>
        </w:tc>
        <w:tc>
          <w:tcPr>
            <w:tcW w:w="4536" w:type="dxa"/>
            <w:noWrap/>
            <w:vAlign w:val="center"/>
          </w:tcPr>
          <w:p>
            <w:pPr>
              <w:spacing w:line="280" w:lineRule="exact"/>
              <w:rPr>
                <w:rFonts w:hint="eastAsia" w:eastAsia="仿宋_GB2312"/>
                <w:szCs w:val="21"/>
              </w:rPr>
            </w:pPr>
            <w:r>
              <w:rPr>
                <w:rFonts w:hint="eastAsia" w:eastAsia="仿宋_GB2312"/>
                <w:szCs w:val="21"/>
                <w:lang w:bidi="ar"/>
              </w:rPr>
              <w:t>教师定期接受培训得1分。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体育锻炼</w:t>
            </w:r>
          </w:p>
        </w:tc>
        <w:tc>
          <w:tcPr>
            <w:tcW w:w="4720" w:type="dxa"/>
            <w:noWrap/>
            <w:vAlign w:val="center"/>
          </w:tcPr>
          <w:p>
            <w:pPr>
              <w:spacing w:line="280" w:lineRule="exact"/>
              <w:rPr>
                <w:rFonts w:hint="eastAsia" w:eastAsia="仿宋_GB2312"/>
                <w:szCs w:val="21"/>
              </w:rPr>
            </w:pPr>
            <w:r>
              <w:rPr>
                <w:rFonts w:hint="eastAsia" w:eastAsia="仿宋_GB2312"/>
                <w:szCs w:val="21"/>
                <w:lang w:bidi="ar"/>
              </w:rPr>
              <w:t>体育课课时应达到小学1-2年级每周4学时</w:t>
            </w:r>
            <w:r>
              <w:rPr>
                <w:rFonts w:hint="eastAsia" w:eastAsia="仿宋_GB2312"/>
                <w:szCs w:val="21"/>
                <w:lang w:eastAsia="zh-CN" w:bidi="ar"/>
              </w:rPr>
              <w:t>，</w:t>
            </w:r>
            <w:r>
              <w:rPr>
                <w:rFonts w:hint="eastAsia" w:eastAsia="仿宋_GB2312"/>
                <w:szCs w:val="21"/>
                <w:lang w:bidi="ar"/>
              </w:rPr>
              <w:t>3-6年级和初中每周3课时，高中每周2课时。</w:t>
            </w:r>
          </w:p>
        </w:tc>
        <w:tc>
          <w:tcPr>
            <w:tcW w:w="4536" w:type="dxa"/>
            <w:noWrap/>
            <w:vAlign w:val="center"/>
          </w:tcPr>
          <w:p>
            <w:pPr>
              <w:spacing w:line="280" w:lineRule="exact"/>
              <w:rPr>
                <w:rFonts w:hint="eastAsia" w:eastAsia="仿宋_GB2312"/>
                <w:szCs w:val="21"/>
              </w:rPr>
            </w:pPr>
            <w:r>
              <w:rPr>
                <w:rFonts w:hint="eastAsia" w:eastAsia="仿宋_GB2312"/>
                <w:szCs w:val="21"/>
                <w:lang w:bidi="ar"/>
              </w:rPr>
              <w:t>课时数符合要求得2分。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体育锻炼时间和运动负荷应达到《中小学生体育锻炼运动负荷卫生标准（WS/T101-1998）》要求。</w:t>
            </w:r>
          </w:p>
        </w:tc>
        <w:tc>
          <w:tcPr>
            <w:tcW w:w="4536" w:type="dxa"/>
            <w:noWrap/>
            <w:vAlign w:val="center"/>
          </w:tcPr>
          <w:p>
            <w:pPr>
              <w:spacing w:line="280" w:lineRule="exact"/>
              <w:rPr>
                <w:rFonts w:hint="eastAsia" w:eastAsia="仿宋_GB2312"/>
                <w:szCs w:val="21"/>
              </w:rPr>
            </w:pPr>
            <w:r>
              <w:rPr>
                <w:rFonts w:hint="eastAsia" w:eastAsia="仿宋_GB2312"/>
                <w:szCs w:val="21"/>
                <w:lang w:bidi="ar"/>
              </w:rPr>
              <w:t>没有体育课当天安排1小时集体体育锻炼得1分。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40%以上学生达到《国家学生体质健康标准》良好以上等级，并逐年增长。</w:t>
            </w:r>
          </w:p>
        </w:tc>
        <w:tc>
          <w:tcPr>
            <w:tcW w:w="4536" w:type="dxa"/>
            <w:noWrap/>
            <w:vAlign w:val="center"/>
          </w:tcPr>
          <w:p>
            <w:pPr>
              <w:spacing w:line="280" w:lineRule="exact"/>
              <w:rPr>
                <w:rFonts w:hint="eastAsia" w:eastAsia="仿宋_GB2312"/>
                <w:szCs w:val="21"/>
              </w:rPr>
            </w:pPr>
            <w:r>
              <w:rPr>
                <w:rFonts w:hint="eastAsia" w:eastAsia="仿宋_GB2312"/>
                <w:szCs w:val="21"/>
                <w:lang w:bidi="ar"/>
              </w:rPr>
              <w:t>40%以上学生达到良好以上等级得2分。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271"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四、健康素养（25分）</w:t>
            </w: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心理健康教育</w:t>
            </w:r>
          </w:p>
        </w:tc>
        <w:tc>
          <w:tcPr>
            <w:tcW w:w="4720" w:type="dxa"/>
            <w:noWrap/>
            <w:vAlign w:val="center"/>
          </w:tcPr>
          <w:p>
            <w:pPr>
              <w:spacing w:line="280" w:lineRule="exact"/>
              <w:rPr>
                <w:rFonts w:hint="eastAsia" w:eastAsia="仿宋_GB2312"/>
                <w:szCs w:val="21"/>
              </w:rPr>
            </w:pPr>
            <w:r>
              <w:rPr>
                <w:rFonts w:hint="eastAsia" w:eastAsia="仿宋_GB2312"/>
                <w:szCs w:val="21"/>
                <w:lang w:bidi="ar"/>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4536" w:type="dxa"/>
            <w:noWrap/>
            <w:vAlign w:val="center"/>
          </w:tcPr>
          <w:p>
            <w:pPr>
              <w:spacing w:line="280" w:lineRule="exact"/>
              <w:rPr>
                <w:rFonts w:hint="eastAsia" w:eastAsia="仿宋_GB2312"/>
                <w:szCs w:val="21"/>
              </w:rPr>
            </w:pPr>
            <w:r>
              <w:rPr>
                <w:rFonts w:hint="eastAsia" w:eastAsia="仿宋_GB2312"/>
                <w:szCs w:val="21"/>
                <w:lang w:bidi="ar"/>
              </w:rPr>
              <w:t>每个班级都开展心理健康主题活动，得2分。开展1次全校范围的主题活动，得1分。有畅通的心理援助渠道得1分。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4</w:t>
            </w:r>
          </w:p>
        </w:tc>
        <w:tc>
          <w:tcPr>
            <w:tcW w:w="664"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听取汇报</w:t>
            </w:r>
          </w:p>
          <w:p>
            <w:pPr>
              <w:spacing w:line="280" w:lineRule="exact"/>
              <w:jc w:val="center"/>
              <w:rPr>
                <w:rFonts w:hint="eastAsia" w:eastAsia="仿宋_GB2312"/>
                <w:szCs w:val="21"/>
              </w:rPr>
            </w:pPr>
            <w:r>
              <w:rPr>
                <w:rFonts w:hint="eastAsia" w:eastAsia="仿宋_GB2312"/>
                <w:szCs w:val="21"/>
                <w:lang w:bidi="ar"/>
              </w:rPr>
              <w:t>查阅档案</w:t>
            </w:r>
          </w:p>
          <w:p>
            <w:pPr>
              <w:spacing w:line="280" w:lineRule="exact"/>
              <w:jc w:val="center"/>
              <w:rPr>
                <w:rFonts w:hint="eastAsia" w:eastAsia="仿宋_GB2312"/>
                <w:szCs w:val="21"/>
              </w:rPr>
            </w:pPr>
            <w:r>
              <w:rPr>
                <w:rFonts w:hint="eastAsia" w:eastAsia="仿宋_GB2312"/>
                <w:szCs w:val="21"/>
                <w:lang w:bidi="ar"/>
              </w:rPr>
              <w:t>现场查看</w:t>
            </w:r>
          </w:p>
          <w:p>
            <w:pPr>
              <w:spacing w:line="280" w:lineRule="exact"/>
              <w:jc w:val="center"/>
              <w:rPr>
                <w:rFonts w:hint="eastAsia" w:eastAsia="仿宋_GB2312"/>
                <w:szCs w:val="21"/>
              </w:rPr>
            </w:pPr>
            <w:r>
              <w:rPr>
                <w:rFonts w:hint="eastAsia" w:eastAsia="仿宋_GB2312"/>
                <w:szCs w:val="21"/>
                <w:lang w:bidi="ar"/>
              </w:rPr>
              <w:t>现场访谈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271" w:type="dxa"/>
            <w:vMerge w:val="continue"/>
            <w:noWrap/>
            <w:vAlign w:val="center"/>
          </w:tcPr>
          <w:p>
            <w:pPr>
              <w:spacing w:line="280" w:lineRule="exact"/>
              <w:jc w:val="center"/>
              <w:rPr>
                <w:rFonts w:hint="eastAsia" w:eastAsia="仿宋_GB2312"/>
                <w:szCs w:val="21"/>
              </w:rPr>
            </w:pP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健康主题活动</w:t>
            </w:r>
          </w:p>
        </w:tc>
        <w:tc>
          <w:tcPr>
            <w:tcW w:w="4720" w:type="dxa"/>
            <w:noWrap/>
            <w:vAlign w:val="center"/>
          </w:tcPr>
          <w:p>
            <w:pPr>
              <w:spacing w:line="280" w:lineRule="exact"/>
              <w:rPr>
                <w:rFonts w:hint="eastAsia" w:eastAsia="仿宋_GB2312"/>
                <w:szCs w:val="21"/>
              </w:rPr>
            </w:pPr>
            <w:r>
              <w:rPr>
                <w:rFonts w:hint="eastAsia" w:eastAsia="仿宋_GB2312"/>
                <w:szCs w:val="21"/>
                <w:lang w:bidi="ar"/>
              </w:rPr>
              <w:t>在《中小学健康教育指导纲要》指导下，针对不同年级学生开展特定主题的健康教育活动，提高中小学生在健康行为与生活方式、疾病预防、心理健康、生长发育与青春期保健、安全应急与避险等5方面的知识和技能，提高学生健康素养。</w:t>
            </w:r>
          </w:p>
        </w:tc>
        <w:tc>
          <w:tcPr>
            <w:tcW w:w="4536" w:type="dxa"/>
            <w:noWrap/>
            <w:vAlign w:val="center"/>
          </w:tcPr>
          <w:p>
            <w:pPr>
              <w:spacing w:line="280" w:lineRule="exact"/>
              <w:rPr>
                <w:rFonts w:hint="eastAsia" w:eastAsia="仿宋_GB2312"/>
                <w:szCs w:val="21"/>
              </w:rPr>
            </w:pPr>
            <w:r>
              <w:rPr>
                <w:rFonts w:hint="eastAsia" w:eastAsia="仿宋_GB2312"/>
                <w:szCs w:val="21"/>
                <w:lang w:bidi="ar"/>
              </w:rPr>
              <w:t>每学期每开展一次主题明确、形式新颖、学生参与度高的健康主题活动得0</w:t>
            </w:r>
            <w:r>
              <w:rPr>
                <w:rFonts w:hint="eastAsia" w:eastAsia="仿宋_GB2312"/>
                <w:szCs w:val="21"/>
                <w:lang w:val="en-US" w:eastAsia="zh-CN" w:bidi="ar"/>
              </w:rPr>
              <w:t>.</w:t>
            </w:r>
            <w:r>
              <w:rPr>
                <w:rFonts w:hint="eastAsia" w:eastAsia="仿宋_GB2312"/>
                <w:szCs w:val="21"/>
                <w:lang w:bidi="ar"/>
              </w:rPr>
              <w:t>5分，最高5分。</w:t>
            </w:r>
          </w:p>
          <w:p>
            <w:pPr>
              <w:spacing w:line="280" w:lineRule="exact"/>
              <w:rPr>
                <w:rFonts w:hint="eastAsia" w:eastAsia="仿宋_GB2312"/>
                <w:szCs w:val="21"/>
              </w:rPr>
            </w:pPr>
            <w:r>
              <w:rPr>
                <w:rFonts w:hint="eastAsia" w:eastAsia="仿宋_GB2312"/>
                <w:szCs w:val="21"/>
                <w:lang w:bidi="ar"/>
              </w:rPr>
              <w:t>主题活动可包括专题班会、主题讲座、健康咨询、健康知识竞赛、演讲比赛、健康征文、健康绘画等形式。应配合使用健康教育材料。</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5</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271" w:type="dxa"/>
            <w:vMerge w:val="continue"/>
            <w:noWrap/>
            <w:vAlign w:val="center"/>
          </w:tcPr>
          <w:p>
            <w:pPr>
              <w:spacing w:line="280" w:lineRule="exact"/>
              <w:jc w:val="center"/>
              <w:rPr>
                <w:rFonts w:hint="eastAsia" w:eastAsia="仿宋_GB2312"/>
                <w:szCs w:val="21"/>
              </w:rPr>
            </w:pP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健康素养</w:t>
            </w:r>
          </w:p>
        </w:tc>
        <w:tc>
          <w:tcPr>
            <w:tcW w:w="4720" w:type="dxa"/>
            <w:noWrap/>
            <w:vAlign w:val="center"/>
          </w:tcPr>
          <w:p>
            <w:pPr>
              <w:spacing w:line="280" w:lineRule="exact"/>
              <w:rPr>
                <w:rFonts w:hint="eastAsia" w:eastAsia="仿宋_GB2312"/>
                <w:szCs w:val="21"/>
              </w:rPr>
            </w:pPr>
            <w:r>
              <w:rPr>
                <w:rFonts w:hint="eastAsia" w:eastAsia="仿宋_GB2312"/>
                <w:szCs w:val="21"/>
                <w:lang w:bidi="ar"/>
              </w:rPr>
              <w:t>学生掌握一定的健康知识，具备基本的健康素养。学生养成良好的健康行为习惯，注意个人卫生。指甲清洁、饭前便后洗手、读写姿势正确、正确做眼保健操、早晚刷牙、睡眠充足、不吸烟、不饮酒。</w:t>
            </w:r>
          </w:p>
        </w:tc>
        <w:tc>
          <w:tcPr>
            <w:tcW w:w="4536" w:type="dxa"/>
            <w:noWrap/>
            <w:vAlign w:val="center"/>
          </w:tcPr>
          <w:p>
            <w:pPr>
              <w:spacing w:line="280" w:lineRule="exact"/>
              <w:rPr>
                <w:rFonts w:hint="eastAsia" w:eastAsia="仿宋_GB2312"/>
                <w:szCs w:val="21"/>
              </w:rPr>
            </w:pPr>
            <w:r>
              <w:rPr>
                <w:rFonts w:hint="eastAsia" w:eastAsia="仿宋_GB2312"/>
                <w:szCs w:val="21"/>
                <w:lang w:bidi="ar"/>
              </w:rPr>
              <w:t>评估时随机进入一个班级，观察学生衣服整洁、手指清洁、读写姿势规范、眼保健操动作规范等情况，酌情赋分，最低0分，最高5分。有条件的地区可开展专项健康素养测评。</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5</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271" w:type="dxa"/>
            <w:vMerge w:val="restart"/>
            <w:noWrap/>
            <w:vAlign w:val="center"/>
          </w:tcPr>
          <w:p>
            <w:pPr>
              <w:spacing w:line="280" w:lineRule="exact"/>
              <w:jc w:val="center"/>
              <w:rPr>
                <w:rFonts w:hint="eastAsia" w:eastAsia="仿宋_GB2312"/>
                <w:szCs w:val="21"/>
              </w:rPr>
            </w:pPr>
            <w:r>
              <w:rPr>
                <w:rFonts w:hint="eastAsia" w:eastAsia="仿宋_GB2312"/>
                <w:szCs w:val="21"/>
                <w:lang w:bidi="ar"/>
              </w:rPr>
              <w:t>五、社会互动（10分）</w:t>
            </w: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家校互动</w:t>
            </w:r>
          </w:p>
        </w:tc>
        <w:tc>
          <w:tcPr>
            <w:tcW w:w="4720" w:type="dxa"/>
            <w:noWrap/>
            <w:vAlign w:val="center"/>
          </w:tcPr>
          <w:p>
            <w:pPr>
              <w:spacing w:line="280" w:lineRule="exact"/>
              <w:rPr>
                <w:rFonts w:hint="eastAsia" w:eastAsia="仿宋_GB2312"/>
                <w:szCs w:val="21"/>
              </w:rPr>
            </w:pPr>
            <w:r>
              <w:rPr>
                <w:rFonts w:hint="eastAsia" w:eastAsia="仿宋_GB2312"/>
                <w:szCs w:val="21"/>
                <w:lang w:bidi="ar"/>
              </w:rPr>
              <w:t>定期召开健康教育主题家长会，为家长开设健康讲座，邀请家长参与学校健康教育活动，宣传健康促进学校理念，与家长保持良好的沟通，与家长共同促进学生健康。</w:t>
            </w:r>
          </w:p>
        </w:tc>
        <w:tc>
          <w:tcPr>
            <w:tcW w:w="4536" w:type="dxa"/>
            <w:noWrap/>
            <w:vAlign w:val="center"/>
          </w:tcPr>
          <w:p>
            <w:pPr>
              <w:spacing w:line="280" w:lineRule="exact"/>
              <w:rPr>
                <w:rFonts w:hint="eastAsia" w:eastAsia="仿宋_GB2312"/>
                <w:szCs w:val="21"/>
              </w:rPr>
            </w:pPr>
            <w:r>
              <w:rPr>
                <w:rFonts w:hint="eastAsia" w:eastAsia="仿宋_GB2312"/>
                <w:szCs w:val="21"/>
                <w:lang w:bidi="ar"/>
              </w:rPr>
              <w:t>项目期间，每召开1次至少覆盖一个年级的针对家长的健康主题家长会、家长健康讲座、亲子健康活动得0</w:t>
            </w:r>
            <w:r>
              <w:rPr>
                <w:rFonts w:hint="eastAsia" w:eastAsia="仿宋_GB2312"/>
                <w:szCs w:val="21"/>
                <w:lang w:val="en-US" w:eastAsia="zh-CN" w:bidi="ar"/>
              </w:rPr>
              <w:t>.</w:t>
            </w:r>
            <w:r>
              <w:rPr>
                <w:rFonts w:hint="eastAsia" w:eastAsia="仿宋_GB2312"/>
                <w:szCs w:val="21"/>
                <w:lang w:bidi="ar"/>
              </w:rPr>
              <w:t>5分，最高3分。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3</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家校互动，开展家庭健康支持。如家庭饮食结构改善、家庭成员行为改善、家庭健身计划等。</w:t>
            </w:r>
          </w:p>
        </w:tc>
        <w:tc>
          <w:tcPr>
            <w:tcW w:w="4536" w:type="dxa"/>
            <w:noWrap/>
            <w:vAlign w:val="center"/>
          </w:tcPr>
          <w:p>
            <w:pPr>
              <w:spacing w:line="280" w:lineRule="exact"/>
              <w:rPr>
                <w:rFonts w:hint="eastAsia" w:eastAsia="仿宋_GB2312"/>
                <w:szCs w:val="21"/>
              </w:rPr>
            </w:pPr>
            <w:r>
              <w:rPr>
                <w:rFonts w:hint="eastAsia" w:eastAsia="仿宋_GB2312"/>
                <w:szCs w:val="21"/>
                <w:lang w:bidi="ar"/>
              </w:rPr>
              <w:t>家长响应学校号召开展家庭健康支持，酌情赋分，最高2分。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restart"/>
            <w:noWrap/>
            <w:vAlign w:val="center"/>
          </w:tcPr>
          <w:p>
            <w:pPr>
              <w:spacing w:line="280" w:lineRule="exact"/>
              <w:jc w:val="center"/>
              <w:rPr>
                <w:rFonts w:hint="eastAsia" w:eastAsia="仿宋_GB2312"/>
                <w:szCs w:val="21"/>
              </w:rPr>
            </w:pPr>
            <w:r>
              <w:rPr>
                <w:rFonts w:hint="eastAsia" w:eastAsia="仿宋_GB2312"/>
                <w:szCs w:val="21"/>
                <w:lang w:bidi="ar"/>
              </w:rPr>
              <w:t>社区健康支持</w:t>
            </w:r>
          </w:p>
        </w:tc>
        <w:tc>
          <w:tcPr>
            <w:tcW w:w="4720" w:type="dxa"/>
            <w:noWrap/>
            <w:vAlign w:val="center"/>
          </w:tcPr>
          <w:p>
            <w:pPr>
              <w:spacing w:line="280" w:lineRule="exact"/>
              <w:rPr>
                <w:rFonts w:hint="eastAsia" w:eastAsia="仿宋_GB2312"/>
                <w:szCs w:val="21"/>
              </w:rPr>
            </w:pPr>
            <w:r>
              <w:rPr>
                <w:rFonts w:hint="eastAsia" w:eastAsia="仿宋_GB2312"/>
                <w:szCs w:val="21"/>
                <w:lang w:bidi="ar"/>
              </w:rPr>
              <w:t>争取政府和社区支持，共享体育文化场地、设施等资源。</w:t>
            </w:r>
          </w:p>
        </w:tc>
        <w:tc>
          <w:tcPr>
            <w:tcW w:w="4536" w:type="dxa"/>
            <w:noWrap/>
            <w:vAlign w:val="center"/>
          </w:tcPr>
          <w:p>
            <w:pPr>
              <w:spacing w:line="280" w:lineRule="exact"/>
              <w:rPr>
                <w:rFonts w:hint="eastAsia" w:eastAsia="仿宋_GB2312"/>
                <w:szCs w:val="21"/>
              </w:rPr>
            </w:pPr>
            <w:r>
              <w:rPr>
                <w:rFonts w:hint="eastAsia" w:eastAsia="仿宋_GB2312"/>
                <w:szCs w:val="21"/>
                <w:lang w:bidi="ar"/>
              </w:rPr>
              <w:t>学校与社区共享体育、文化资源，得1分。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1</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学校周围环境清洁安静，有明显的交通提示。</w:t>
            </w:r>
          </w:p>
        </w:tc>
        <w:tc>
          <w:tcPr>
            <w:tcW w:w="4536" w:type="dxa"/>
            <w:noWrap/>
            <w:vAlign w:val="center"/>
          </w:tcPr>
          <w:p>
            <w:pPr>
              <w:spacing w:line="280" w:lineRule="exact"/>
              <w:rPr>
                <w:rFonts w:hint="eastAsia" w:eastAsia="仿宋_GB2312"/>
                <w:szCs w:val="21"/>
              </w:rPr>
            </w:pPr>
            <w:r>
              <w:rPr>
                <w:rFonts w:hint="eastAsia" w:eastAsia="仿宋_GB2312"/>
                <w:szCs w:val="21"/>
                <w:lang w:bidi="ar"/>
              </w:rPr>
              <w:t>学校周边环境整洁得1分，有交通提示得1分。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71" w:type="dxa"/>
            <w:vMerge w:val="continue"/>
            <w:noWrap/>
            <w:vAlign w:val="center"/>
          </w:tcPr>
          <w:p>
            <w:pPr>
              <w:spacing w:line="280" w:lineRule="exact"/>
              <w:jc w:val="center"/>
              <w:rPr>
                <w:rFonts w:hint="eastAsia" w:eastAsia="仿宋_GB2312"/>
                <w:szCs w:val="21"/>
              </w:rPr>
            </w:pPr>
          </w:p>
        </w:tc>
        <w:tc>
          <w:tcPr>
            <w:tcW w:w="1097" w:type="dxa"/>
            <w:vMerge w:val="continue"/>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与社区联合开展健康相关活动，每年至少组织学生参加两次社区健康实践。</w:t>
            </w:r>
          </w:p>
        </w:tc>
        <w:tc>
          <w:tcPr>
            <w:tcW w:w="4536" w:type="dxa"/>
            <w:noWrap/>
            <w:vAlign w:val="center"/>
          </w:tcPr>
          <w:p>
            <w:pPr>
              <w:spacing w:line="280" w:lineRule="exact"/>
              <w:rPr>
                <w:rFonts w:hint="eastAsia" w:eastAsia="仿宋_GB2312"/>
                <w:szCs w:val="21"/>
              </w:rPr>
            </w:pPr>
            <w:r>
              <w:rPr>
                <w:rFonts w:hint="eastAsia" w:eastAsia="仿宋_GB2312"/>
                <w:szCs w:val="21"/>
                <w:lang w:bidi="ar"/>
              </w:rPr>
              <w:t>每学期与社区联合开展有学生参加实践的健康主题活动，1次0</w:t>
            </w:r>
            <w:r>
              <w:rPr>
                <w:rFonts w:hint="eastAsia" w:eastAsia="仿宋_GB2312"/>
                <w:szCs w:val="21"/>
                <w:lang w:val="en-US" w:eastAsia="zh-CN" w:bidi="ar"/>
              </w:rPr>
              <w:t>.</w:t>
            </w:r>
            <w:r>
              <w:rPr>
                <w:rFonts w:hint="eastAsia" w:eastAsia="仿宋_GB2312"/>
                <w:szCs w:val="21"/>
                <w:lang w:bidi="ar"/>
              </w:rPr>
              <w:t>5分，最高2分。</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2</w:t>
            </w:r>
          </w:p>
        </w:tc>
        <w:tc>
          <w:tcPr>
            <w:tcW w:w="664" w:type="dxa"/>
            <w:vMerge w:val="continue"/>
            <w:noWrap/>
            <w:vAlign w:val="center"/>
          </w:tcPr>
          <w:p>
            <w:pPr>
              <w:spacing w:line="28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71" w:type="dxa"/>
            <w:noWrap/>
            <w:vAlign w:val="center"/>
          </w:tcPr>
          <w:p>
            <w:pPr>
              <w:spacing w:line="280" w:lineRule="exact"/>
              <w:jc w:val="center"/>
              <w:rPr>
                <w:rFonts w:hint="eastAsia" w:eastAsia="仿宋_GB2312"/>
                <w:szCs w:val="21"/>
              </w:rPr>
            </w:pPr>
            <w:r>
              <w:rPr>
                <w:rFonts w:hint="eastAsia" w:eastAsia="仿宋_GB2312"/>
                <w:szCs w:val="21"/>
                <w:lang w:eastAsia="zh-CN" w:bidi="ar"/>
              </w:rPr>
              <w:t>六</w:t>
            </w:r>
            <w:r>
              <w:rPr>
                <w:rFonts w:hint="eastAsia" w:eastAsia="仿宋_GB2312"/>
                <w:szCs w:val="21"/>
                <w:lang w:bidi="ar"/>
              </w:rPr>
              <w:t>、建设效果（10分）</w:t>
            </w:r>
          </w:p>
        </w:tc>
        <w:tc>
          <w:tcPr>
            <w:tcW w:w="1097" w:type="dxa"/>
            <w:noWrap/>
            <w:vAlign w:val="center"/>
          </w:tcPr>
          <w:p>
            <w:pPr>
              <w:spacing w:line="280" w:lineRule="exact"/>
              <w:jc w:val="center"/>
              <w:rPr>
                <w:rFonts w:hint="eastAsia" w:eastAsia="仿宋_GB2312"/>
                <w:szCs w:val="21"/>
              </w:rPr>
            </w:pPr>
            <w:r>
              <w:rPr>
                <w:rFonts w:hint="eastAsia" w:eastAsia="仿宋_GB2312"/>
                <w:szCs w:val="21"/>
                <w:lang w:bidi="ar"/>
              </w:rPr>
              <w:t>目标人群评价</w:t>
            </w:r>
          </w:p>
        </w:tc>
        <w:tc>
          <w:tcPr>
            <w:tcW w:w="4720" w:type="dxa"/>
            <w:noWrap/>
            <w:vAlign w:val="center"/>
          </w:tcPr>
          <w:p>
            <w:pPr>
              <w:spacing w:line="280" w:lineRule="exact"/>
              <w:rPr>
                <w:rFonts w:hint="eastAsia" w:eastAsia="仿宋_GB2312"/>
                <w:szCs w:val="21"/>
              </w:rPr>
            </w:pPr>
            <w:r>
              <w:rPr>
                <w:rFonts w:hint="eastAsia" w:eastAsia="仿宋_GB2312"/>
                <w:szCs w:val="21"/>
                <w:lang w:bidi="ar"/>
              </w:rPr>
              <w:t>目标人群对健康促进工作支持、理解、满意；</w:t>
            </w:r>
          </w:p>
          <w:p>
            <w:pPr>
              <w:spacing w:line="280" w:lineRule="exact"/>
              <w:rPr>
                <w:rFonts w:hint="eastAsia" w:eastAsia="仿宋_GB2312"/>
                <w:szCs w:val="21"/>
              </w:rPr>
            </w:pPr>
            <w:r>
              <w:rPr>
                <w:rFonts w:hint="eastAsia" w:eastAsia="仿宋_GB2312"/>
                <w:szCs w:val="21"/>
                <w:lang w:bidi="ar"/>
              </w:rPr>
              <w:t>目标人群的健康素养水平。</w:t>
            </w:r>
          </w:p>
        </w:tc>
        <w:tc>
          <w:tcPr>
            <w:tcW w:w="4536" w:type="dxa"/>
            <w:noWrap/>
            <w:vAlign w:val="center"/>
          </w:tcPr>
          <w:p>
            <w:pPr>
              <w:spacing w:line="280" w:lineRule="exact"/>
              <w:rPr>
                <w:rFonts w:hint="eastAsia" w:eastAsia="仿宋_GB2312"/>
                <w:szCs w:val="21"/>
              </w:rPr>
            </w:pPr>
            <w:r>
              <w:rPr>
                <w:rFonts w:hint="eastAsia" w:eastAsia="仿宋_GB2312"/>
                <w:szCs w:val="21"/>
                <w:lang w:bidi="ar"/>
              </w:rPr>
              <w:t>随机抽取10名学生和10名教师，开展满意度评价。</w:t>
            </w:r>
          </w:p>
          <w:p>
            <w:pPr>
              <w:spacing w:line="280" w:lineRule="exact"/>
              <w:rPr>
                <w:rFonts w:hint="eastAsia" w:eastAsia="仿宋_GB2312"/>
                <w:szCs w:val="21"/>
              </w:rPr>
            </w:pPr>
            <w:r>
              <w:rPr>
                <w:rFonts w:hint="eastAsia" w:eastAsia="仿宋_GB2312"/>
                <w:szCs w:val="21"/>
                <w:lang w:bidi="ar"/>
              </w:rPr>
              <w:t>随机抽取20名学生和20名教师，开展健康素养调查。</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10</w:t>
            </w:r>
          </w:p>
        </w:tc>
        <w:tc>
          <w:tcPr>
            <w:tcW w:w="664" w:type="dxa"/>
            <w:noWrap/>
            <w:vAlign w:val="center"/>
          </w:tcPr>
          <w:p>
            <w:pPr>
              <w:spacing w:line="280" w:lineRule="exact"/>
              <w:jc w:val="center"/>
              <w:rPr>
                <w:rFonts w:hint="eastAsia" w:eastAsia="仿宋_GB2312"/>
                <w:szCs w:val="21"/>
              </w:rPr>
            </w:pPr>
            <w:r>
              <w:rPr>
                <w:rFonts w:hint="eastAsia" w:eastAsia="仿宋_GB2312"/>
                <w:szCs w:val="21"/>
                <w:lang w:bidi="ar"/>
              </w:rPr>
              <w:t>快速调查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71" w:type="dxa"/>
            <w:noWrap/>
            <w:vAlign w:val="center"/>
          </w:tcPr>
          <w:p>
            <w:pPr>
              <w:spacing w:line="280" w:lineRule="exact"/>
              <w:jc w:val="center"/>
              <w:rPr>
                <w:rFonts w:hint="eastAsia" w:eastAsia="仿宋_GB2312"/>
                <w:szCs w:val="21"/>
              </w:rPr>
            </w:pPr>
            <w:r>
              <w:rPr>
                <w:rFonts w:hint="eastAsia" w:eastAsia="仿宋_GB2312"/>
                <w:szCs w:val="21"/>
                <w:lang w:bidi="ar"/>
              </w:rPr>
              <w:t>合计</w:t>
            </w:r>
          </w:p>
        </w:tc>
        <w:tc>
          <w:tcPr>
            <w:tcW w:w="1097" w:type="dxa"/>
            <w:noWrap/>
            <w:vAlign w:val="center"/>
          </w:tcPr>
          <w:p>
            <w:pPr>
              <w:spacing w:line="280" w:lineRule="exact"/>
              <w:jc w:val="center"/>
              <w:rPr>
                <w:rFonts w:hint="eastAsia" w:eastAsia="仿宋_GB2312"/>
                <w:szCs w:val="21"/>
              </w:rPr>
            </w:pPr>
          </w:p>
        </w:tc>
        <w:tc>
          <w:tcPr>
            <w:tcW w:w="4720" w:type="dxa"/>
            <w:noWrap/>
            <w:vAlign w:val="center"/>
          </w:tcPr>
          <w:p>
            <w:pPr>
              <w:spacing w:line="280" w:lineRule="exact"/>
              <w:rPr>
                <w:rFonts w:hint="eastAsia" w:eastAsia="仿宋_GB2312"/>
                <w:szCs w:val="21"/>
              </w:rPr>
            </w:pPr>
            <w:r>
              <w:rPr>
                <w:rFonts w:hint="eastAsia" w:eastAsia="仿宋_GB2312"/>
                <w:szCs w:val="21"/>
                <w:lang w:bidi="ar"/>
              </w:rPr>
              <w:t>　</w:t>
            </w:r>
          </w:p>
        </w:tc>
        <w:tc>
          <w:tcPr>
            <w:tcW w:w="4536" w:type="dxa"/>
            <w:noWrap/>
            <w:vAlign w:val="center"/>
          </w:tcPr>
          <w:p>
            <w:pPr>
              <w:spacing w:line="280" w:lineRule="exact"/>
              <w:rPr>
                <w:rFonts w:hint="eastAsia" w:eastAsia="仿宋_GB2312"/>
                <w:szCs w:val="21"/>
              </w:rPr>
            </w:pPr>
            <w:r>
              <w:rPr>
                <w:rFonts w:hint="eastAsia" w:eastAsia="仿宋_GB2312"/>
                <w:szCs w:val="21"/>
                <w:lang w:bidi="ar"/>
              </w:rPr>
              <w:t>　</w:t>
            </w:r>
          </w:p>
        </w:tc>
        <w:tc>
          <w:tcPr>
            <w:tcW w:w="546" w:type="dxa"/>
            <w:noWrap/>
            <w:vAlign w:val="center"/>
          </w:tcPr>
          <w:p>
            <w:pPr>
              <w:spacing w:line="280" w:lineRule="exact"/>
              <w:jc w:val="center"/>
              <w:rPr>
                <w:rFonts w:hint="eastAsia" w:eastAsia="仿宋_GB2312"/>
                <w:szCs w:val="21"/>
              </w:rPr>
            </w:pPr>
            <w:r>
              <w:rPr>
                <w:rFonts w:hint="eastAsia" w:eastAsia="仿宋_GB2312"/>
                <w:szCs w:val="21"/>
                <w:lang w:bidi="ar"/>
              </w:rPr>
              <w:t>100</w:t>
            </w:r>
          </w:p>
        </w:tc>
        <w:tc>
          <w:tcPr>
            <w:tcW w:w="664" w:type="dxa"/>
            <w:noWrap/>
            <w:vAlign w:val="center"/>
          </w:tcPr>
          <w:p>
            <w:pPr>
              <w:spacing w:line="280" w:lineRule="exact"/>
              <w:jc w:val="center"/>
              <w:rPr>
                <w:rFonts w:hint="eastAsia" w:eastAsia="仿宋_GB2312"/>
                <w:szCs w:val="21"/>
              </w:rPr>
            </w:pPr>
          </w:p>
        </w:tc>
      </w:tr>
    </w:tbl>
    <w:p>
      <w:pPr>
        <w:pStyle w:val="2"/>
        <w:spacing w:line="560" w:lineRule="exact"/>
        <w:ind w:firstLine="0" w:firstLineChars="0"/>
        <w:rPr>
          <w:rFonts w:eastAsia="黑体"/>
          <w:sz w:val="32"/>
          <w:szCs w:val="32"/>
        </w:rPr>
      </w:pPr>
      <w:r>
        <w:br w:type="page"/>
      </w:r>
      <w:r>
        <w:rPr>
          <w:rFonts w:eastAsia="黑体"/>
          <w:sz w:val="32"/>
          <w:szCs w:val="32"/>
        </w:rPr>
        <w:t>附件8</w:t>
      </w:r>
    </w:p>
    <w:p>
      <w:pPr>
        <w:overflowPunct w:val="0"/>
        <w:spacing w:line="560" w:lineRule="exact"/>
        <w:jc w:val="center"/>
        <w:rPr>
          <w:rFonts w:hint="eastAsia" w:eastAsia="方正小标宋简体"/>
          <w:sz w:val="44"/>
          <w:szCs w:val="44"/>
        </w:rPr>
      </w:pPr>
    </w:p>
    <w:p>
      <w:pPr>
        <w:overflowPunct w:val="0"/>
        <w:spacing w:line="560" w:lineRule="exact"/>
        <w:jc w:val="center"/>
        <w:rPr>
          <w:rFonts w:hint="eastAsia" w:eastAsia="方正小标宋简体"/>
          <w:sz w:val="44"/>
          <w:szCs w:val="44"/>
        </w:rPr>
      </w:pPr>
      <w:r>
        <w:rPr>
          <w:rFonts w:eastAsia="方正小标宋简体"/>
          <w:sz w:val="44"/>
          <w:szCs w:val="44"/>
        </w:rPr>
        <w:t>健康</w:t>
      </w:r>
      <w:r>
        <w:rPr>
          <w:rFonts w:hint="eastAsia" w:eastAsia="方正小标宋简体"/>
          <w:sz w:val="44"/>
          <w:szCs w:val="44"/>
        </w:rPr>
        <w:t>（</w:t>
      </w:r>
      <w:r>
        <w:rPr>
          <w:rFonts w:eastAsia="方正小标宋简体"/>
          <w:sz w:val="44"/>
          <w:szCs w:val="44"/>
        </w:rPr>
        <w:t>促进</w:t>
      </w:r>
      <w:r>
        <w:rPr>
          <w:rFonts w:hint="eastAsia" w:eastAsia="方正小标宋简体"/>
          <w:sz w:val="44"/>
          <w:szCs w:val="44"/>
        </w:rPr>
        <w:t>）</w:t>
      </w:r>
      <w:r>
        <w:rPr>
          <w:rFonts w:eastAsia="方正小标宋简体"/>
          <w:sz w:val="44"/>
          <w:szCs w:val="44"/>
        </w:rPr>
        <w:t>单位标准</w:t>
      </w:r>
    </w:p>
    <w:p>
      <w:pPr>
        <w:pStyle w:val="2"/>
        <w:spacing w:line="200" w:lineRule="exact"/>
        <w:ind w:firstLine="392"/>
      </w:pPr>
    </w:p>
    <w:tbl>
      <w:tblPr>
        <w:tblStyle w:val="10"/>
        <w:tblW w:w="12738" w:type="dxa"/>
        <w:tblInd w:w="108" w:type="dxa"/>
        <w:tblLayout w:type="fixed"/>
        <w:tblCellMar>
          <w:top w:w="0" w:type="dxa"/>
          <w:left w:w="108" w:type="dxa"/>
          <w:bottom w:w="0" w:type="dxa"/>
          <w:right w:w="108" w:type="dxa"/>
        </w:tblCellMar>
      </w:tblPr>
      <w:tblGrid>
        <w:gridCol w:w="1182"/>
        <w:gridCol w:w="1124"/>
        <w:gridCol w:w="4640"/>
        <w:gridCol w:w="4394"/>
        <w:gridCol w:w="675"/>
        <w:gridCol w:w="723"/>
      </w:tblGrid>
      <w:tr>
        <w:tblPrEx>
          <w:tblCellMar>
            <w:top w:w="0" w:type="dxa"/>
            <w:left w:w="108" w:type="dxa"/>
            <w:bottom w:w="0" w:type="dxa"/>
            <w:right w:w="108" w:type="dxa"/>
          </w:tblCellMar>
        </w:tblPrEx>
        <w:trPr>
          <w:trHeight w:val="448" w:hRule="atLeast"/>
          <w:tblHeader/>
        </w:trPr>
        <w:tc>
          <w:tcPr>
            <w:tcW w:w="1182"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黑体" w:hAnsi="黑体" w:eastAsia="黑体"/>
                <w:bCs/>
                <w:szCs w:val="21"/>
              </w:rPr>
            </w:pPr>
            <w:r>
              <w:rPr>
                <w:rFonts w:ascii="黑体" w:hAnsi="黑体" w:eastAsia="黑体"/>
                <w:bCs/>
                <w:szCs w:val="21"/>
                <w:lang w:bidi="ar"/>
              </w:rPr>
              <w:t>一级指标</w:t>
            </w:r>
          </w:p>
        </w:tc>
        <w:tc>
          <w:tcPr>
            <w:tcW w:w="1124" w:type="dxa"/>
            <w:tcBorders>
              <w:top w:val="single" w:color="auto" w:sz="4" w:space="0"/>
              <w:left w:val="nil"/>
              <w:bottom w:val="single" w:color="auto" w:sz="4" w:space="0"/>
              <w:right w:val="single" w:color="auto" w:sz="4" w:space="0"/>
            </w:tcBorders>
            <w:noWrap/>
            <w:vAlign w:val="center"/>
          </w:tcPr>
          <w:p>
            <w:pPr>
              <w:spacing w:line="260" w:lineRule="exact"/>
              <w:jc w:val="center"/>
              <w:rPr>
                <w:rFonts w:ascii="黑体" w:hAnsi="黑体" w:eastAsia="黑体"/>
                <w:bCs/>
                <w:szCs w:val="21"/>
              </w:rPr>
            </w:pPr>
            <w:r>
              <w:rPr>
                <w:rFonts w:ascii="黑体" w:hAnsi="黑体" w:eastAsia="黑体"/>
                <w:bCs/>
                <w:szCs w:val="21"/>
                <w:lang w:bidi="ar"/>
              </w:rPr>
              <w:t>二级指标</w:t>
            </w:r>
          </w:p>
        </w:tc>
        <w:tc>
          <w:tcPr>
            <w:tcW w:w="4640" w:type="dxa"/>
            <w:tcBorders>
              <w:top w:val="single" w:color="auto" w:sz="4" w:space="0"/>
              <w:left w:val="nil"/>
              <w:bottom w:val="single" w:color="auto" w:sz="4" w:space="0"/>
              <w:right w:val="single" w:color="auto" w:sz="4" w:space="0"/>
            </w:tcBorders>
            <w:noWrap/>
            <w:vAlign w:val="center"/>
          </w:tcPr>
          <w:p>
            <w:pPr>
              <w:spacing w:line="260" w:lineRule="exact"/>
              <w:jc w:val="center"/>
              <w:rPr>
                <w:rFonts w:ascii="黑体" w:hAnsi="黑体" w:eastAsia="黑体"/>
                <w:bCs/>
                <w:szCs w:val="21"/>
              </w:rPr>
            </w:pPr>
            <w:r>
              <w:rPr>
                <w:rFonts w:ascii="黑体" w:hAnsi="黑体" w:eastAsia="黑体"/>
                <w:bCs/>
                <w:szCs w:val="21"/>
                <w:lang w:bidi="ar"/>
              </w:rPr>
              <w:t>指标解释</w:t>
            </w:r>
          </w:p>
        </w:tc>
        <w:tc>
          <w:tcPr>
            <w:tcW w:w="4394" w:type="dxa"/>
            <w:tcBorders>
              <w:top w:val="single" w:color="auto" w:sz="4" w:space="0"/>
              <w:left w:val="nil"/>
              <w:bottom w:val="single" w:color="auto" w:sz="4" w:space="0"/>
              <w:right w:val="single" w:color="auto" w:sz="4" w:space="0"/>
            </w:tcBorders>
            <w:noWrap/>
            <w:vAlign w:val="center"/>
          </w:tcPr>
          <w:p>
            <w:pPr>
              <w:spacing w:line="260" w:lineRule="exact"/>
              <w:jc w:val="center"/>
              <w:rPr>
                <w:rFonts w:ascii="黑体" w:hAnsi="黑体" w:eastAsia="黑体"/>
                <w:bCs/>
                <w:szCs w:val="21"/>
              </w:rPr>
            </w:pPr>
            <w:r>
              <w:rPr>
                <w:rFonts w:ascii="黑体" w:hAnsi="黑体" w:eastAsia="黑体"/>
                <w:bCs/>
                <w:szCs w:val="21"/>
                <w:lang w:bidi="ar"/>
              </w:rPr>
              <w:t>评分标准</w:t>
            </w:r>
          </w:p>
        </w:tc>
        <w:tc>
          <w:tcPr>
            <w:tcW w:w="67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黑体" w:hAnsi="黑体" w:eastAsia="黑体"/>
                <w:bCs/>
                <w:szCs w:val="21"/>
              </w:rPr>
            </w:pPr>
            <w:r>
              <w:rPr>
                <w:rFonts w:ascii="黑体" w:hAnsi="黑体" w:eastAsia="黑体"/>
                <w:bCs/>
                <w:szCs w:val="21"/>
                <w:lang w:bidi="ar"/>
              </w:rPr>
              <w:t>分值</w:t>
            </w:r>
          </w:p>
        </w:tc>
        <w:tc>
          <w:tcPr>
            <w:tcW w:w="723" w:type="dxa"/>
            <w:tcBorders>
              <w:top w:val="single" w:color="auto" w:sz="4" w:space="0"/>
              <w:left w:val="nil"/>
              <w:bottom w:val="single" w:color="auto" w:sz="4" w:space="0"/>
              <w:right w:val="single" w:color="auto" w:sz="4" w:space="0"/>
            </w:tcBorders>
            <w:noWrap/>
            <w:vAlign w:val="center"/>
          </w:tcPr>
          <w:p>
            <w:pPr>
              <w:spacing w:line="260" w:lineRule="exact"/>
              <w:jc w:val="center"/>
              <w:rPr>
                <w:rFonts w:ascii="黑体" w:hAnsi="黑体" w:eastAsia="黑体"/>
                <w:bCs/>
                <w:szCs w:val="21"/>
              </w:rPr>
            </w:pPr>
            <w:r>
              <w:rPr>
                <w:rFonts w:ascii="黑体" w:hAnsi="黑体" w:eastAsia="黑体"/>
                <w:bCs/>
                <w:szCs w:val="21"/>
                <w:lang w:bidi="ar"/>
              </w:rPr>
              <w:t>考核方法</w:t>
            </w:r>
          </w:p>
        </w:tc>
      </w:tr>
      <w:tr>
        <w:tblPrEx>
          <w:tblCellMar>
            <w:top w:w="0" w:type="dxa"/>
            <w:left w:w="108" w:type="dxa"/>
            <w:bottom w:w="0" w:type="dxa"/>
            <w:right w:w="108" w:type="dxa"/>
          </w:tblCellMar>
        </w:tblPrEx>
        <w:trPr>
          <w:trHeight w:val="711" w:hRule="atLeast"/>
        </w:trPr>
        <w:tc>
          <w:tcPr>
            <w:tcW w:w="1182" w:type="dxa"/>
            <w:vMerge w:val="restart"/>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一、组织管理</w:t>
            </w:r>
            <w:r>
              <w:rPr>
                <w:rFonts w:hint="eastAsia" w:eastAsia="仿宋_GB2312"/>
                <w:sz w:val="20"/>
                <w:szCs w:val="20"/>
                <w:lang w:bidi="ar"/>
              </w:rPr>
              <w:t>（20分）</w:t>
            </w: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承诺倡导</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机关/事业单位书面承诺建设健康（促进）单位。</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采取签署承诺书或印发文件等形式，承诺建设健康（促进）单位，得3分。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3</w:t>
            </w:r>
          </w:p>
        </w:tc>
        <w:tc>
          <w:tcPr>
            <w:tcW w:w="723"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听取汇报</w:t>
            </w:r>
          </w:p>
          <w:p>
            <w:pPr>
              <w:spacing w:line="260" w:lineRule="exact"/>
              <w:jc w:val="center"/>
              <w:rPr>
                <w:rFonts w:hint="eastAsia" w:eastAsia="仿宋_GB2312"/>
                <w:szCs w:val="21"/>
              </w:rPr>
            </w:pPr>
            <w:r>
              <w:rPr>
                <w:rFonts w:hint="eastAsia" w:eastAsia="仿宋_GB2312"/>
                <w:szCs w:val="21"/>
                <w:lang w:bidi="ar"/>
              </w:rPr>
              <w:t>查阅档案</w:t>
            </w:r>
          </w:p>
        </w:tc>
      </w:tr>
      <w:tr>
        <w:tblPrEx>
          <w:tblCellMar>
            <w:top w:w="0" w:type="dxa"/>
            <w:left w:w="108" w:type="dxa"/>
            <w:bottom w:w="0" w:type="dxa"/>
            <w:right w:w="108" w:type="dxa"/>
          </w:tblCellMar>
        </w:tblPrEx>
        <w:trPr>
          <w:trHeight w:val="679"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召开全体职工大会，公开倡议全体职工积极参与健康（促进）单位建设。</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召开全体职工大会，对全体职工发出倡议，得2分。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716"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协调机制</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成立单位主要负责同志牵头的健康（促进）单位领导小组，明确职责分工。</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成立单位主要负责同志牵头的健康（促进）单位领导小组，明确职责分工，得3分。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3</w:t>
            </w:r>
          </w:p>
        </w:tc>
        <w:tc>
          <w:tcPr>
            <w:tcW w:w="723"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685"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每季度召开工作例会，讨论单位主要健康问题并提出具体应对措施。</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每季度召开工作例会，讨论单位主要健康问题并提出具体应对措施，得2分。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639"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规章制度</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将健康（促进）单位建设纳入机构年度工作计划。</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将健康（促进）单位建设纳入机构年度工作计划，得2分。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1114"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制定促进职工健康的规章制度和相关措施。如改善单位环境卫生、落实公共场所无烟、促进职工采取健康生活方式、预防控制重大疾病和突发公共卫生事件等。</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制定促进职工健康的规章制度和相关措施。每制定一条得1分，累计不超过3分。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3</w:t>
            </w:r>
          </w:p>
        </w:tc>
        <w:tc>
          <w:tcPr>
            <w:tcW w:w="723"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76"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组织实施</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专人负责健康（促进）单位工作，每年接受一次专业培训。</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有专人负责健康（促进）单位工作，得1分。每年接受1次健康促进培训，得1分。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1152"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制定健康（促进）单位工作计划，定期总结，健康相关档案资料齐全。</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有健康（促进）单位工作方案或计划，内容明确、措施具体、责任分工合理得1分。文字、图片、实物等过程资料齐全、整理规范得1分。工作总结结构合理、内容详实，得1分。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3</w:t>
            </w:r>
          </w:p>
        </w:tc>
        <w:tc>
          <w:tcPr>
            <w:tcW w:w="723"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76" w:hRule="atLeast"/>
        </w:trPr>
        <w:tc>
          <w:tcPr>
            <w:tcW w:w="1182" w:type="dxa"/>
            <w:vMerge w:val="restart"/>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二、健康环境</w:t>
            </w:r>
            <w:r>
              <w:rPr>
                <w:rFonts w:hint="eastAsia" w:eastAsia="仿宋_GB2312"/>
                <w:sz w:val="20"/>
                <w:szCs w:val="20"/>
                <w:lang w:bidi="ar"/>
              </w:rPr>
              <w:t>（20分）</w:t>
            </w: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无烟环境</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机构所有室内公共场所、工作场所禁止吸烟。</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机构的办公室、卫生室、所属室外环境没有发现烟头或者吸烟现象，得3分。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3</w:t>
            </w:r>
          </w:p>
        </w:tc>
        <w:tc>
          <w:tcPr>
            <w:tcW w:w="723" w:type="dxa"/>
            <w:vMerge w:val="restart"/>
            <w:tcBorders>
              <w:top w:val="nil"/>
              <w:left w:val="nil"/>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听取汇报</w:t>
            </w:r>
          </w:p>
          <w:p>
            <w:pPr>
              <w:spacing w:line="260" w:lineRule="exact"/>
              <w:jc w:val="center"/>
              <w:rPr>
                <w:rFonts w:hint="eastAsia" w:eastAsia="仿宋_GB2312"/>
                <w:szCs w:val="21"/>
              </w:rPr>
            </w:pPr>
            <w:r>
              <w:rPr>
                <w:rFonts w:hint="eastAsia" w:eastAsia="仿宋_GB2312"/>
                <w:szCs w:val="21"/>
                <w:lang w:bidi="ar"/>
              </w:rPr>
              <w:t>查阅档案</w:t>
            </w:r>
          </w:p>
          <w:p>
            <w:pPr>
              <w:spacing w:line="260" w:lineRule="exact"/>
              <w:jc w:val="center"/>
              <w:rPr>
                <w:rFonts w:hint="eastAsia" w:eastAsia="仿宋_GB2312"/>
                <w:szCs w:val="21"/>
              </w:rPr>
            </w:pPr>
            <w:r>
              <w:rPr>
                <w:rFonts w:hint="eastAsia" w:eastAsia="仿宋_GB2312"/>
                <w:szCs w:val="21"/>
                <w:lang w:bidi="ar"/>
              </w:rPr>
              <w:t>现场查看</w:t>
            </w:r>
          </w:p>
        </w:tc>
      </w:tr>
      <w:tr>
        <w:tblPrEx>
          <w:tblCellMar>
            <w:top w:w="0" w:type="dxa"/>
            <w:left w:w="108" w:type="dxa"/>
            <w:bottom w:w="0" w:type="dxa"/>
            <w:right w:w="108" w:type="dxa"/>
          </w:tblCellMar>
        </w:tblPrEx>
        <w:trPr>
          <w:trHeight w:val="576"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机构主要建筑物入口处、电梯、公共厕所、会议室等区域有明显的无烟标识。</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机构主要建筑物入口处、电梯、公共厕所、会议室有禁烟标识和健康提示，得3分。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3</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288"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3</w:t>
            </w:r>
            <w:r>
              <w:rPr>
                <w:rFonts w:hint="default" w:eastAsia="仿宋_GB2312"/>
                <w:szCs w:val="21"/>
                <w:lang w:val="en" w:bidi="ar"/>
              </w:rPr>
              <w:t>．</w:t>
            </w:r>
            <w:r>
              <w:rPr>
                <w:rFonts w:hint="eastAsia" w:eastAsia="仿宋_GB2312"/>
                <w:szCs w:val="21"/>
                <w:lang w:bidi="ar"/>
              </w:rPr>
              <w:t>机构内无烟草广告和促销。</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机构内无烟草广告和促销，得2分。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288"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自然环境</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环境整洁舒适，垃圾日产日清。</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符合要求得2分。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332"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厕所清洁卫生，数量满足需要，有洗手设施。</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符合要求得2分。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359"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3</w:t>
            </w:r>
            <w:r>
              <w:rPr>
                <w:rFonts w:hint="default" w:eastAsia="仿宋_GB2312"/>
                <w:szCs w:val="21"/>
                <w:lang w:val="en" w:bidi="ar"/>
              </w:rPr>
              <w:t>．</w:t>
            </w:r>
            <w:r>
              <w:rPr>
                <w:rFonts w:hint="eastAsia" w:eastAsia="仿宋_GB2312"/>
                <w:szCs w:val="21"/>
                <w:lang w:bidi="ar"/>
              </w:rPr>
              <w:t>职工食堂应符合卫生要求，膳食结构合理。</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符合要求得2分。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2</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76"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人文环境</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给职工提供锻炼和阅读环境，对弱势群体有健康帮扶措施。</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给职工提供锻炼环境，得2分。提供阅读环境，得2分。对弱势群体有健康帮扶措施</w:t>
            </w:r>
            <w:r>
              <w:rPr>
                <w:rFonts w:hint="default" w:eastAsia="仿宋_GB2312"/>
                <w:szCs w:val="21"/>
                <w:lang w:val="en" w:bidi="ar"/>
              </w:rPr>
              <w:t>．</w:t>
            </w:r>
            <w:r>
              <w:rPr>
                <w:rFonts w:hint="eastAsia" w:eastAsia="仿宋_GB2312"/>
                <w:szCs w:val="21"/>
                <w:lang w:bidi="ar"/>
              </w:rPr>
              <w:t>得2分。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6</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970" w:hRule="atLeast"/>
        </w:trPr>
        <w:tc>
          <w:tcPr>
            <w:tcW w:w="1182" w:type="dxa"/>
            <w:vMerge w:val="restart"/>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三、健康活动</w:t>
            </w:r>
            <w:r>
              <w:rPr>
                <w:rFonts w:hint="eastAsia" w:eastAsia="仿宋_GB2312"/>
                <w:sz w:val="20"/>
                <w:szCs w:val="20"/>
                <w:lang w:bidi="ar"/>
              </w:rPr>
              <w:t>（50分）</w:t>
            </w: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健康服务</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有条件的机构设置卫生室或医务室，配备专/兼职的卫生技术人员，配置必需的医疗用品和急救药物。不具备医务室条件的机构，安排专人接受急救和疾病预防知识培训。</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设置卫生室或医务室，有专/兼职的卫生技术人员，有必需的医疗用品和急救药物，得10分。没有卫生室或医务室的机构，有专人接受急救和疾病预防知识培训，得10分。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10</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Cs w:val="21"/>
              </w:rPr>
            </w:pPr>
          </w:p>
        </w:tc>
      </w:tr>
      <w:tr>
        <w:tblPrEx>
          <w:tblCellMar>
            <w:top w:w="0" w:type="dxa"/>
            <w:left w:w="108" w:type="dxa"/>
            <w:bottom w:w="0" w:type="dxa"/>
            <w:right w:w="108" w:type="dxa"/>
          </w:tblCellMar>
        </w:tblPrEx>
        <w:trPr>
          <w:trHeight w:val="864"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定期组织职工体检，根据体检结果制定健康管理计划。</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每年组织一次健康体检，得5分，每两年组织一次健康体检，得3分。根据体检结果，制定有针对性的健康管理计划或措施，得5分。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10</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76"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restart"/>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主题活动</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1</w:t>
            </w:r>
            <w:r>
              <w:rPr>
                <w:rFonts w:hint="default" w:eastAsia="仿宋_GB2312"/>
                <w:szCs w:val="21"/>
                <w:lang w:val="en" w:bidi="ar"/>
              </w:rPr>
              <w:t>．</w:t>
            </w:r>
            <w:r>
              <w:rPr>
                <w:rFonts w:hint="eastAsia" w:eastAsia="仿宋_GB2312"/>
                <w:szCs w:val="21"/>
                <w:lang w:bidi="ar"/>
              </w:rPr>
              <w:t>开展工间操，定期组织职工开展跑步、爬山、球类、游泳等活动，提高职工身体素质。</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每开展一项集体文体活动，得3分，最高10分。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10</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1152"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2</w:t>
            </w:r>
            <w:r>
              <w:rPr>
                <w:rFonts w:hint="default" w:eastAsia="仿宋_GB2312"/>
                <w:szCs w:val="21"/>
                <w:lang w:val="en" w:bidi="ar"/>
              </w:rPr>
              <w:t>．</w:t>
            </w:r>
            <w:r>
              <w:rPr>
                <w:rFonts w:hint="eastAsia" w:eastAsia="仿宋_GB2312"/>
                <w:szCs w:val="21"/>
                <w:lang w:bidi="ar"/>
              </w:rPr>
              <w:t>每年开展4次以上健康讲座，讲座主题包括：科学就医、合理用药、传染病预防、安全急救；合理膳食、适量运动、戒烟限酒、心理平衡；母婴保健、科学育儿、健康老龄等。</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每开展一次健康讲座，得2</w:t>
            </w:r>
            <w:r>
              <w:rPr>
                <w:rFonts w:hint="eastAsia" w:eastAsia="仿宋_GB2312"/>
                <w:szCs w:val="21"/>
                <w:lang w:val="en-US" w:eastAsia="zh-CN" w:bidi="ar"/>
              </w:rPr>
              <w:t>.</w:t>
            </w:r>
            <w:r>
              <w:rPr>
                <w:rFonts w:hint="eastAsia" w:eastAsia="仿宋_GB2312"/>
                <w:szCs w:val="21"/>
                <w:lang w:bidi="ar"/>
              </w:rPr>
              <w:t>5分，最高10分。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10</w:t>
            </w:r>
          </w:p>
        </w:tc>
        <w:tc>
          <w:tcPr>
            <w:tcW w:w="723" w:type="dxa"/>
            <w:vMerge w:val="continue"/>
            <w:tcBorders>
              <w:left w:val="nil"/>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76" w:hRule="atLeast"/>
        </w:trPr>
        <w:tc>
          <w:tcPr>
            <w:tcW w:w="1182"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124" w:type="dxa"/>
            <w:vMerge w:val="continue"/>
            <w:tcBorders>
              <w:top w:val="nil"/>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3</w:t>
            </w:r>
            <w:r>
              <w:rPr>
                <w:rFonts w:hint="default" w:eastAsia="仿宋_GB2312"/>
                <w:szCs w:val="21"/>
                <w:lang w:val="en" w:bidi="ar"/>
              </w:rPr>
              <w:t>．</w:t>
            </w:r>
            <w:r>
              <w:rPr>
                <w:rFonts w:hint="eastAsia" w:eastAsia="仿宋_GB2312"/>
                <w:szCs w:val="21"/>
                <w:lang w:bidi="ar"/>
              </w:rPr>
              <w:t>每年举办2次以健康为主题的集体活动，如健康知识竞赛、健康演讲比赛、戒烟竞赛等。</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每开展一次以健康为主题的集体活动得5分，最高10分。</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10</w:t>
            </w:r>
          </w:p>
        </w:tc>
        <w:tc>
          <w:tcPr>
            <w:tcW w:w="723" w:type="dxa"/>
            <w:vMerge w:val="continue"/>
            <w:tcBorders>
              <w:left w:val="nil"/>
              <w:bottom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76" w:hRule="atLeast"/>
        </w:trPr>
        <w:tc>
          <w:tcPr>
            <w:tcW w:w="1182" w:type="dxa"/>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四、建设效果</w:t>
            </w:r>
            <w:r>
              <w:rPr>
                <w:rFonts w:hint="eastAsia" w:eastAsia="仿宋_GB2312"/>
                <w:sz w:val="20"/>
                <w:szCs w:val="20"/>
                <w:lang w:bidi="ar"/>
              </w:rPr>
              <w:t>（10分）</w:t>
            </w:r>
          </w:p>
        </w:tc>
        <w:tc>
          <w:tcPr>
            <w:tcW w:w="1124"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目标人群评价</w:t>
            </w: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目标人群对健康促进工作支持、理解、满意</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采用目标人群测评方法。</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10</w:t>
            </w:r>
          </w:p>
        </w:tc>
        <w:tc>
          <w:tcPr>
            <w:tcW w:w="723"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快速调查</w:t>
            </w:r>
          </w:p>
        </w:tc>
      </w:tr>
      <w:tr>
        <w:tblPrEx>
          <w:tblCellMar>
            <w:top w:w="0" w:type="dxa"/>
            <w:left w:w="108" w:type="dxa"/>
            <w:bottom w:w="0" w:type="dxa"/>
            <w:right w:w="108" w:type="dxa"/>
          </w:tblCellMar>
        </w:tblPrEx>
        <w:trPr>
          <w:trHeight w:val="288" w:hRule="atLeast"/>
        </w:trPr>
        <w:tc>
          <w:tcPr>
            <w:tcW w:w="1182" w:type="dxa"/>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合计</w:t>
            </w:r>
          </w:p>
        </w:tc>
        <w:tc>
          <w:tcPr>
            <w:tcW w:w="1124"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p>
        </w:tc>
        <w:tc>
          <w:tcPr>
            <w:tcW w:w="4640"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　</w:t>
            </w:r>
          </w:p>
        </w:tc>
        <w:tc>
          <w:tcPr>
            <w:tcW w:w="4394" w:type="dxa"/>
            <w:tcBorders>
              <w:top w:val="nil"/>
              <w:left w:val="nil"/>
              <w:bottom w:val="single" w:color="auto" w:sz="4" w:space="0"/>
              <w:right w:val="single" w:color="auto" w:sz="4" w:space="0"/>
            </w:tcBorders>
            <w:noWrap/>
            <w:vAlign w:val="center"/>
          </w:tcPr>
          <w:p>
            <w:pPr>
              <w:spacing w:line="260" w:lineRule="exact"/>
              <w:rPr>
                <w:rFonts w:hint="eastAsia" w:eastAsia="仿宋_GB2312"/>
                <w:szCs w:val="21"/>
              </w:rPr>
            </w:pPr>
            <w:r>
              <w:rPr>
                <w:rFonts w:hint="eastAsia" w:eastAsia="仿宋_GB2312"/>
                <w:szCs w:val="21"/>
                <w:lang w:bidi="ar"/>
              </w:rPr>
              <w:t>　</w:t>
            </w:r>
          </w:p>
        </w:tc>
        <w:tc>
          <w:tcPr>
            <w:tcW w:w="675"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r>
              <w:rPr>
                <w:rFonts w:hint="eastAsia" w:eastAsia="仿宋_GB2312"/>
                <w:szCs w:val="21"/>
                <w:lang w:bidi="ar"/>
              </w:rPr>
              <w:t>100</w:t>
            </w:r>
          </w:p>
        </w:tc>
        <w:tc>
          <w:tcPr>
            <w:tcW w:w="723" w:type="dxa"/>
            <w:tcBorders>
              <w:top w:val="nil"/>
              <w:left w:val="nil"/>
              <w:bottom w:val="single" w:color="auto" w:sz="4" w:space="0"/>
              <w:right w:val="single" w:color="auto" w:sz="4" w:space="0"/>
            </w:tcBorders>
            <w:noWrap/>
            <w:vAlign w:val="center"/>
          </w:tcPr>
          <w:p>
            <w:pPr>
              <w:spacing w:line="260" w:lineRule="exact"/>
              <w:jc w:val="center"/>
              <w:rPr>
                <w:rFonts w:hint="eastAsia" w:eastAsia="仿宋_GB2312"/>
                <w:szCs w:val="21"/>
              </w:rPr>
            </w:pPr>
          </w:p>
        </w:tc>
      </w:tr>
    </w:tbl>
    <w:p>
      <w:pPr>
        <w:pStyle w:val="2"/>
        <w:spacing w:line="560" w:lineRule="exact"/>
        <w:ind w:firstLine="0" w:firstLineChars="0"/>
        <w:rPr>
          <w:rFonts w:hint="eastAsia" w:eastAsia="黑体"/>
          <w:sz w:val="32"/>
          <w:szCs w:val="32"/>
        </w:rPr>
      </w:pPr>
      <w:r>
        <w:br w:type="page"/>
      </w:r>
      <w:r>
        <w:rPr>
          <w:rFonts w:eastAsia="黑体"/>
          <w:sz w:val="32"/>
          <w:szCs w:val="32"/>
        </w:rPr>
        <w:t>附件9</w:t>
      </w:r>
    </w:p>
    <w:p>
      <w:pPr>
        <w:pStyle w:val="2"/>
        <w:spacing w:line="560" w:lineRule="exact"/>
        <w:ind w:firstLine="0" w:firstLineChars="0"/>
        <w:rPr>
          <w:rFonts w:eastAsia="黑体"/>
          <w:sz w:val="32"/>
          <w:szCs w:val="32"/>
        </w:rPr>
      </w:pPr>
    </w:p>
    <w:p>
      <w:pPr>
        <w:overflowPunct w:val="0"/>
        <w:spacing w:line="560" w:lineRule="exact"/>
        <w:jc w:val="center"/>
        <w:rPr>
          <w:rFonts w:hint="eastAsia" w:eastAsia="方正小标宋简体"/>
          <w:sz w:val="44"/>
          <w:szCs w:val="44"/>
        </w:rPr>
      </w:pPr>
      <w:r>
        <w:rPr>
          <w:rFonts w:eastAsia="方正小标宋简体"/>
          <w:sz w:val="44"/>
          <w:szCs w:val="44"/>
        </w:rPr>
        <w:t>健康</w:t>
      </w:r>
      <w:r>
        <w:rPr>
          <w:rFonts w:hint="eastAsia" w:eastAsia="方正小标宋简体"/>
          <w:sz w:val="44"/>
          <w:szCs w:val="44"/>
        </w:rPr>
        <w:t>（</w:t>
      </w:r>
      <w:r>
        <w:rPr>
          <w:rFonts w:eastAsia="方正小标宋简体"/>
          <w:sz w:val="44"/>
          <w:szCs w:val="44"/>
        </w:rPr>
        <w:t>促进</w:t>
      </w:r>
      <w:r>
        <w:rPr>
          <w:rFonts w:hint="eastAsia" w:eastAsia="方正小标宋简体"/>
          <w:sz w:val="44"/>
          <w:szCs w:val="44"/>
        </w:rPr>
        <w:t>）</w:t>
      </w:r>
      <w:r>
        <w:rPr>
          <w:rFonts w:eastAsia="方正小标宋简体"/>
          <w:sz w:val="44"/>
          <w:szCs w:val="44"/>
        </w:rPr>
        <w:t>企业标准</w:t>
      </w:r>
    </w:p>
    <w:p>
      <w:pPr>
        <w:pStyle w:val="2"/>
        <w:spacing w:line="200" w:lineRule="exact"/>
        <w:ind w:firstLine="392"/>
      </w:pPr>
    </w:p>
    <w:tbl>
      <w:tblPr>
        <w:tblStyle w:val="10"/>
        <w:tblW w:w="12774" w:type="dxa"/>
        <w:tblInd w:w="108" w:type="dxa"/>
        <w:tblLayout w:type="fixed"/>
        <w:tblCellMar>
          <w:top w:w="0" w:type="dxa"/>
          <w:left w:w="108" w:type="dxa"/>
          <w:bottom w:w="0" w:type="dxa"/>
          <w:right w:w="108" w:type="dxa"/>
        </w:tblCellMar>
      </w:tblPr>
      <w:tblGrid>
        <w:gridCol w:w="1501"/>
        <w:gridCol w:w="1080"/>
        <w:gridCol w:w="4507"/>
        <w:gridCol w:w="3827"/>
        <w:gridCol w:w="735"/>
        <w:gridCol w:w="1124"/>
      </w:tblGrid>
      <w:tr>
        <w:tblPrEx>
          <w:tblCellMar>
            <w:top w:w="0" w:type="dxa"/>
            <w:left w:w="108" w:type="dxa"/>
            <w:bottom w:w="0" w:type="dxa"/>
            <w:right w:w="108" w:type="dxa"/>
          </w:tblCellMar>
        </w:tblPrEx>
        <w:trPr>
          <w:trHeight w:val="576" w:hRule="atLeast"/>
          <w:tblHeader/>
        </w:trPr>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黑体"/>
                <w:bCs/>
                <w:color w:val="000000"/>
                <w:kern w:val="0"/>
                <w:szCs w:val="21"/>
              </w:rPr>
            </w:pPr>
            <w:r>
              <w:rPr>
                <w:rFonts w:eastAsia="黑体"/>
                <w:bCs/>
                <w:color w:val="000000"/>
                <w:kern w:val="0"/>
                <w:szCs w:val="21"/>
                <w:lang w:bidi="ar"/>
              </w:rPr>
              <w:t>一级指标</w:t>
            </w:r>
          </w:p>
        </w:tc>
        <w:tc>
          <w:tcPr>
            <w:tcW w:w="108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eastAsia="黑体"/>
                <w:bCs/>
                <w:color w:val="000000"/>
                <w:kern w:val="0"/>
                <w:szCs w:val="21"/>
              </w:rPr>
            </w:pPr>
            <w:r>
              <w:rPr>
                <w:rFonts w:eastAsia="黑体"/>
                <w:bCs/>
                <w:color w:val="000000"/>
                <w:kern w:val="0"/>
                <w:szCs w:val="21"/>
                <w:lang w:bidi="ar"/>
              </w:rPr>
              <w:t>二级指标</w:t>
            </w:r>
          </w:p>
        </w:tc>
        <w:tc>
          <w:tcPr>
            <w:tcW w:w="4507"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eastAsia="黑体"/>
                <w:bCs/>
                <w:color w:val="000000"/>
                <w:kern w:val="0"/>
                <w:szCs w:val="21"/>
              </w:rPr>
            </w:pPr>
            <w:r>
              <w:rPr>
                <w:rFonts w:eastAsia="黑体"/>
                <w:bCs/>
                <w:color w:val="000000"/>
                <w:kern w:val="0"/>
                <w:szCs w:val="21"/>
                <w:lang w:bidi="ar"/>
              </w:rPr>
              <w:t>指标内容</w:t>
            </w:r>
          </w:p>
        </w:tc>
        <w:tc>
          <w:tcPr>
            <w:tcW w:w="3827"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eastAsia="黑体"/>
                <w:bCs/>
                <w:color w:val="000000"/>
                <w:kern w:val="0"/>
                <w:szCs w:val="21"/>
              </w:rPr>
            </w:pPr>
            <w:r>
              <w:rPr>
                <w:rFonts w:eastAsia="黑体"/>
                <w:bCs/>
                <w:color w:val="000000"/>
                <w:kern w:val="0"/>
                <w:szCs w:val="21"/>
                <w:lang w:bidi="ar"/>
              </w:rPr>
              <w:t>指标内容</w:t>
            </w:r>
          </w:p>
        </w:tc>
        <w:tc>
          <w:tcPr>
            <w:tcW w:w="735"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eastAsia="黑体"/>
                <w:bCs/>
                <w:color w:val="000000"/>
                <w:kern w:val="0"/>
                <w:szCs w:val="21"/>
              </w:rPr>
            </w:pPr>
            <w:r>
              <w:rPr>
                <w:rFonts w:eastAsia="黑体"/>
                <w:bCs/>
                <w:color w:val="000000"/>
                <w:kern w:val="0"/>
                <w:szCs w:val="21"/>
                <w:lang w:bidi="ar"/>
              </w:rPr>
              <w:t>分值</w:t>
            </w:r>
          </w:p>
        </w:tc>
        <w:tc>
          <w:tcPr>
            <w:tcW w:w="1124"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eastAsia="黑体"/>
                <w:bCs/>
                <w:color w:val="000000"/>
                <w:kern w:val="0"/>
                <w:szCs w:val="21"/>
              </w:rPr>
            </w:pPr>
            <w:r>
              <w:rPr>
                <w:rFonts w:eastAsia="黑体"/>
                <w:bCs/>
                <w:color w:val="000000"/>
                <w:kern w:val="0"/>
                <w:szCs w:val="21"/>
                <w:lang w:bidi="ar"/>
              </w:rPr>
              <w:t>考核方法</w:t>
            </w:r>
          </w:p>
        </w:tc>
      </w:tr>
      <w:tr>
        <w:tblPrEx>
          <w:tblCellMar>
            <w:top w:w="0" w:type="dxa"/>
            <w:left w:w="108" w:type="dxa"/>
            <w:bottom w:w="0" w:type="dxa"/>
            <w:right w:w="108" w:type="dxa"/>
          </w:tblCellMar>
        </w:tblPrEx>
        <w:trPr>
          <w:trHeight w:val="499" w:hRule="atLeast"/>
        </w:trPr>
        <w:tc>
          <w:tcPr>
            <w:tcW w:w="1501"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一、组织管理（20分）</w:t>
            </w: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承诺倡导</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企业书面承诺建设健康企业。</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企业书面承诺建设健康企业，得3分。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3</w:t>
            </w:r>
          </w:p>
        </w:tc>
        <w:tc>
          <w:tcPr>
            <w:tcW w:w="112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rFonts w:hint="eastAsia" w:eastAsia="仿宋_GB2312"/>
                <w:color w:val="000000"/>
                <w:kern w:val="0"/>
                <w:sz w:val="22"/>
              </w:rPr>
            </w:pPr>
            <w:r>
              <w:rPr>
                <w:rFonts w:hint="eastAsia" w:eastAsia="仿宋_GB2312"/>
                <w:color w:val="000000"/>
                <w:kern w:val="0"/>
                <w:sz w:val="22"/>
                <w:lang w:bidi="ar"/>
              </w:rPr>
              <w:t xml:space="preserve">听取汇报查阅档案 </w:t>
            </w:r>
          </w:p>
        </w:tc>
      </w:tr>
      <w:tr>
        <w:tblPrEx>
          <w:tblCellMar>
            <w:top w:w="0" w:type="dxa"/>
            <w:left w:w="108" w:type="dxa"/>
            <w:bottom w:w="0" w:type="dxa"/>
            <w:right w:w="108" w:type="dxa"/>
          </w:tblCellMar>
        </w:tblPrEx>
        <w:trPr>
          <w:trHeight w:val="689"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召开全体职工大会，公开倡议全体职工积极参与健康企业建设。</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召开全体职工大会，公开倡议全体职工积极参与健康企业建设，得2分。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eastAsia="仿宋_GB2312"/>
                <w:sz w:val="20"/>
                <w:szCs w:val="20"/>
              </w:rPr>
            </w:pPr>
          </w:p>
        </w:tc>
      </w:tr>
      <w:tr>
        <w:tblPrEx>
          <w:tblCellMar>
            <w:top w:w="0" w:type="dxa"/>
            <w:left w:w="108" w:type="dxa"/>
            <w:bottom w:w="0" w:type="dxa"/>
            <w:right w:w="108" w:type="dxa"/>
          </w:tblCellMar>
        </w:tblPrEx>
        <w:trPr>
          <w:trHeight w:val="653"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协调机制</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成立企业主要负责同志参加的健康企业领导小组，明确职责分工。</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成立企业主要负责同志参加的健康企业领导小组，明确职责分工，得3分。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3</w:t>
            </w:r>
          </w:p>
        </w:tc>
        <w:tc>
          <w:tcPr>
            <w:tcW w:w="1124"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eastAsia="仿宋_GB2312"/>
                <w:sz w:val="20"/>
                <w:szCs w:val="20"/>
              </w:rPr>
            </w:pPr>
          </w:p>
        </w:tc>
      </w:tr>
      <w:tr>
        <w:tblPrEx>
          <w:tblCellMar>
            <w:top w:w="0" w:type="dxa"/>
            <w:left w:w="108" w:type="dxa"/>
            <w:bottom w:w="0" w:type="dxa"/>
            <w:right w:w="108" w:type="dxa"/>
          </w:tblCellMar>
        </w:tblPrEx>
        <w:trPr>
          <w:trHeight w:val="639"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 xml:space="preserve">每季度召开工作例会，讨论企业主要健康问题并提出具体应对措施。 </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每季度召开工作例会，讨论企业主要健康问题并提出具体应对措施，得2分。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eastAsia="仿宋_GB2312"/>
                <w:sz w:val="20"/>
                <w:szCs w:val="20"/>
              </w:rPr>
            </w:pPr>
          </w:p>
        </w:tc>
      </w:tr>
      <w:tr>
        <w:tblPrEx>
          <w:tblCellMar>
            <w:top w:w="0" w:type="dxa"/>
            <w:left w:w="108" w:type="dxa"/>
            <w:bottom w:w="0" w:type="dxa"/>
            <w:right w:w="108" w:type="dxa"/>
          </w:tblCellMar>
        </w:tblPrEx>
        <w:trPr>
          <w:trHeight w:val="625"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规章制度</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将健康企业建设纳入企业年度工作计划。</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将健康企业建设纳入企业年度工作计划，得2分。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eastAsia="仿宋_GB2312"/>
                <w:sz w:val="20"/>
                <w:szCs w:val="20"/>
              </w:rPr>
            </w:pPr>
          </w:p>
        </w:tc>
      </w:tr>
      <w:tr>
        <w:tblPrEx>
          <w:tblCellMar>
            <w:top w:w="0" w:type="dxa"/>
            <w:left w:w="108" w:type="dxa"/>
            <w:bottom w:w="0" w:type="dxa"/>
            <w:right w:w="108" w:type="dxa"/>
          </w:tblCellMar>
        </w:tblPrEx>
        <w:trPr>
          <w:trHeight w:val="1152"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制定促进职工健康的规章制度和相关措施。如职业防护、职业病防治、改善环境卫生、落实公共场所无烟、促进职工采取健康生活方式、预防控制重大疾病和突发公共卫生事件等。</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制定促进职工健康的规章制度和相关措施。每制定一条得1分，累计不超过3分。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3</w:t>
            </w:r>
          </w:p>
        </w:tc>
        <w:tc>
          <w:tcPr>
            <w:tcW w:w="1124"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eastAsia="仿宋_GB2312"/>
                <w:sz w:val="20"/>
                <w:szCs w:val="20"/>
              </w:rPr>
            </w:pPr>
          </w:p>
        </w:tc>
      </w:tr>
      <w:tr>
        <w:tblPrEx>
          <w:tblCellMar>
            <w:top w:w="0" w:type="dxa"/>
            <w:left w:w="108" w:type="dxa"/>
            <w:bottom w:w="0" w:type="dxa"/>
            <w:right w:w="108" w:type="dxa"/>
          </w:tblCellMar>
        </w:tblPrEx>
        <w:trPr>
          <w:trHeight w:val="639"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组织实施</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专人负责机构内健康相关工作，每年接受一次专业培训。</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专人负责健康企业工作，得1分。每年接受1次健康促进培训，得1分。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eastAsia="仿宋_GB2312"/>
                <w:sz w:val="20"/>
                <w:szCs w:val="20"/>
              </w:rPr>
            </w:pPr>
          </w:p>
        </w:tc>
      </w:tr>
      <w:tr>
        <w:tblPrEx>
          <w:tblCellMar>
            <w:top w:w="0" w:type="dxa"/>
            <w:left w:w="108" w:type="dxa"/>
            <w:bottom w:w="0" w:type="dxa"/>
            <w:right w:w="108" w:type="dxa"/>
          </w:tblCellMar>
        </w:tblPrEx>
        <w:trPr>
          <w:trHeight w:val="1380"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制定健康企业工作计划，定期总结，健康相关档案资料齐全。</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有健康企业工作方案或计划，内容明确、措施具体、责任分工合理得1分。文字、图片、实物等过程资料齐全、整理规范得1分。工作总结结构合理、内容详实，得1分。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3</w:t>
            </w:r>
          </w:p>
        </w:tc>
        <w:tc>
          <w:tcPr>
            <w:tcW w:w="1124"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eastAsia="仿宋_GB2312"/>
                <w:sz w:val="20"/>
                <w:szCs w:val="20"/>
              </w:rPr>
            </w:pPr>
          </w:p>
        </w:tc>
      </w:tr>
      <w:tr>
        <w:tblPrEx>
          <w:tblCellMar>
            <w:top w:w="0" w:type="dxa"/>
            <w:left w:w="108" w:type="dxa"/>
            <w:bottom w:w="0" w:type="dxa"/>
            <w:right w:w="108" w:type="dxa"/>
          </w:tblCellMar>
        </w:tblPrEx>
        <w:trPr>
          <w:trHeight w:val="814" w:hRule="atLeast"/>
        </w:trPr>
        <w:tc>
          <w:tcPr>
            <w:tcW w:w="1501"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二、健康环境（20分）</w:t>
            </w: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无烟环境</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企业所有室内公共场所、工作场所禁止吸烟。</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企业的办公室、卫生室、所属室外环境没有发现烟头或者吸烟现象，得3分。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3</w:t>
            </w:r>
          </w:p>
        </w:tc>
        <w:tc>
          <w:tcPr>
            <w:tcW w:w="1124" w:type="dxa"/>
            <w:vMerge w:val="restart"/>
            <w:tcBorders>
              <w:top w:val="single" w:color="auto" w:sz="4" w:space="0"/>
              <w:left w:val="single" w:color="auto" w:sz="4" w:space="0"/>
              <w:right w:val="single" w:color="auto" w:sz="4" w:space="0"/>
            </w:tcBorders>
            <w:noWrap/>
            <w:vAlign w:val="center"/>
          </w:tcPr>
          <w:p>
            <w:pPr>
              <w:widowControl/>
              <w:spacing w:line="260" w:lineRule="exact"/>
              <w:jc w:val="center"/>
              <w:rPr>
                <w:rFonts w:hint="eastAsia" w:eastAsia="仿宋_GB2312"/>
                <w:color w:val="000000"/>
                <w:kern w:val="0"/>
                <w:sz w:val="22"/>
                <w:lang w:bidi="ar"/>
              </w:rPr>
            </w:pPr>
            <w:r>
              <w:rPr>
                <w:rFonts w:hint="eastAsia" w:eastAsia="仿宋_GB2312"/>
                <w:color w:val="000000"/>
                <w:kern w:val="0"/>
                <w:sz w:val="22"/>
                <w:lang w:bidi="ar"/>
              </w:rPr>
              <w:t>听取汇报</w:t>
            </w:r>
          </w:p>
          <w:p>
            <w:pPr>
              <w:widowControl/>
              <w:spacing w:line="260" w:lineRule="exact"/>
              <w:jc w:val="center"/>
              <w:rPr>
                <w:rFonts w:hint="eastAsia" w:eastAsia="仿宋_GB2312"/>
                <w:color w:val="000000"/>
                <w:kern w:val="0"/>
                <w:sz w:val="22"/>
                <w:lang w:bidi="ar"/>
              </w:rPr>
            </w:pPr>
            <w:r>
              <w:rPr>
                <w:rFonts w:hint="eastAsia" w:eastAsia="仿宋_GB2312"/>
                <w:color w:val="000000"/>
                <w:kern w:val="0"/>
                <w:sz w:val="22"/>
                <w:lang w:bidi="ar"/>
              </w:rPr>
              <w:t>查阅档案</w:t>
            </w:r>
          </w:p>
          <w:p>
            <w:pPr>
              <w:widowControl/>
              <w:spacing w:line="260" w:lineRule="exact"/>
              <w:jc w:val="center"/>
              <w:rPr>
                <w:rFonts w:hint="eastAsia" w:eastAsia="仿宋_GB2312"/>
                <w:color w:val="000000"/>
                <w:kern w:val="0"/>
                <w:sz w:val="22"/>
              </w:rPr>
            </w:pPr>
            <w:r>
              <w:rPr>
                <w:rFonts w:hint="eastAsia" w:eastAsia="仿宋_GB2312"/>
                <w:color w:val="000000"/>
                <w:kern w:val="0"/>
                <w:sz w:val="22"/>
                <w:lang w:bidi="ar"/>
              </w:rPr>
              <w:t>现场查看</w:t>
            </w:r>
          </w:p>
        </w:tc>
      </w:tr>
      <w:tr>
        <w:tblPrEx>
          <w:tblCellMar>
            <w:top w:w="0" w:type="dxa"/>
            <w:left w:w="108" w:type="dxa"/>
            <w:bottom w:w="0" w:type="dxa"/>
            <w:right w:w="108" w:type="dxa"/>
          </w:tblCellMar>
        </w:tblPrEx>
        <w:trPr>
          <w:trHeight w:val="840"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企业主要建筑物入口处、电梯、公共厕所、会议室等区域有明显的无烟标识。</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企业主要建筑物入口处、电梯、公共厕所、会议室有禁烟标识和健康提示，得3分。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3</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68"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企业内无烟草广告和促销。</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企业内无烟草广告和促销，得2分。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548"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自然环境</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 w:val="14"/>
                <w:szCs w:val="14"/>
              </w:rPr>
            </w:pPr>
            <w:r>
              <w:rPr>
                <w:rFonts w:hint="eastAsia" w:eastAsia="仿宋_GB2312"/>
                <w:color w:val="000000"/>
                <w:kern w:val="0"/>
                <w:szCs w:val="21"/>
                <w:lang w:bidi="ar"/>
              </w:rPr>
              <w:t>环境整洁舒适，垃圾日产日清。</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环境整洁舒适，垃圾日产日清，得2分。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853"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 w:val="14"/>
                <w:szCs w:val="14"/>
              </w:rPr>
            </w:pPr>
            <w:r>
              <w:rPr>
                <w:rFonts w:hint="eastAsia" w:eastAsia="仿宋_GB2312"/>
                <w:color w:val="000000"/>
                <w:kern w:val="0"/>
                <w:szCs w:val="21"/>
                <w:lang w:bidi="ar"/>
              </w:rPr>
              <w:t>厕所清洁卫生，数量满足需要，有洗手设施。</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厕所清洁卫生，数量满足需要，有洗手设施，得2分</w:t>
            </w:r>
            <w:r>
              <w:rPr>
                <w:rFonts w:hint="eastAsia" w:eastAsia="仿宋_GB2312"/>
                <w:color w:val="000000"/>
                <w:kern w:val="0"/>
                <w:sz w:val="20"/>
                <w:szCs w:val="20"/>
                <w:lang w:bidi="ar"/>
              </w:rPr>
              <w:t>。</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699"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职工食堂应符合卫生要求，膳食结构合理。</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职工食堂符合卫生要求，膳食结构合理，得2分。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2</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992" w:hRule="atLeast"/>
        </w:trPr>
        <w:tc>
          <w:tcPr>
            <w:tcW w:w="1501"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人文环境</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给职工提供锻炼和阅读环境，对弱势群体有健康帮扶措施。</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给职工提供锻炼环境，得2分。提供阅读环境，得2分。对弱势群体有健康帮扶措施</w:t>
            </w:r>
            <w:r>
              <w:rPr>
                <w:rFonts w:hint="default" w:eastAsia="仿宋_GB2312"/>
                <w:color w:val="000000"/>
                <w:kern w:val="0"/>
                <w:szCs w:val="21"/>
                <w:lang w:val="en" w:bidi="ar"/>
              </w:rPr>
              <w:t>．</w:t>
            </w:r>
            <w:r>
              <w:rPr>
                <w:rFonts w:hint="eastAsia" w:eastAsia="仿宋_GB2312"/>
                <w:color w:val="000000"/>
                <w:kern w:val="0"/>
                <w:szCs w:val="21"/>
                <w:lang w:bidi="ar"/>
              </w:rPr>
              <w:t>得2分。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6</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1546" w:hRule="atLeast"/>
        </w:trPr>
        <w:tc>
          <w:tcPr>
            <w:tcW w:w="1501" w:type="dxa"/>
            <w:vMerge w:val="restart"/>
            <w:tcBorders>
              <w:top w:val="nil"/>
              <w:left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三、健康活动（50分）</w:t>
            </w: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健康服务</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结合单位特点设置卫生室，配备专/兼职的卫生技术人员及必需的医疗用品和急救药物。</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设置卫生室或医务室，有专/兼职的卫生技术人员，有必需的医疗用品和急救药物，得8分。没有卫生室或医务室的机构，有专人接受急救和疾病预防知识培训，得8分。</w:t>
            </w:r>
          </w:p>
        </w:tc>
        <w:tc>
          <w:tcPr>
            <w:tcW w:w="735" w:type="dxa"/>
            <w:tcBorders>
              <w:top w:val="nil"/>
              <w:left w:val="nil"/>
              <w:bottom w:val="nil"/>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8</w:t>
            </w:r>
          </w:p>
        </w:tc>
        <w:tc>
          <w:tcPr>
            <w:tcW w:w="1124" w:type="dxa"/>
            <w:vMerge w:val="continue"/>
            <w:tcBorders>
              <w:left w:val="single" w:color="auto" w:sz="4" w:space="0"/>
              <w:right w:val="single" w:color="auto" w:sz="4" w:space="0"/>
            </w:tcBorders>
            <w:noWrap/>
            <w:vAlign w:val="center"/>
          </w:tcPr>
          <w:p>
            <w:pPr>
              <w:widowControl/>
              <w:spacing w:line="260" w:lineRule="exact"/>
              <w:jc w:val="center"/>
              <w:rPr>
                <w:rFonts w:hint="eastAsia" w:eastAsia="仿宋_GB2312"/>
                <w:color w:val="000000"/>
                <w:kern w:val="0"/>
                <w:sz w:val="22"/>
              </w:rPr>
            </w:pPr>
          </w:p>
        </w:tc>
      </w:tr>
      <w:tr>
        <w:tblPrEx>
          <w:tblCellMar>
            <w:top w:w="0" w:type="dxa"/>
            <w:left w:w="108" w:type="dxa"/>
            <w:bottom w:w="0" w:type="dxa"/>
            <w:right w:w="108" w:type="dxa"/>
          </w:tblCellMar>
        </w:tblPrEx>
        <w:trPr>
          <w:trHeight w:val="1267" w:hRule="atLeast"/>
        </w:trPr>
        <w:tc>
          <w:tcPr>
            <w:tcW w:w="1501" w:type="dxa"/>
            <w:vMerge w:val="continue"/>
            <w:tcBorders>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定期组织职工体检。</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每年组织一次健康体检，得4分，每两年组织一次健康体检，得3分。根据体检结果，制定有针对性的健康管理计划或措施，得4分。</w:t>
            </w:r>
          </w:p>
        </w:tc>
        <w:tc>
          <w:tcPr>
            <w:tcW w:w="735"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8</w:t>
            </w:r>
          </w:p>
        </w:tc>
        <w:tc>
          <w:tcPr>
            <w:tcW w:w="1124" w:type="dxa"/>
            <w:vMerge w:val="continue"/>
            <w:tcBorders>
              <w:left w:val="single" w:color="auto" w:sz="4" w:space="0"/>
              <w:bottom w:val="single" w:color="000000"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814" w:hRule="atLeast"/>
        </w:trPr>
        <w:tc>
          <w:tcPr>
            <w:tcW w:w="1501" w:type="dxa"/>
            <w:vMerge w:val="restart"/>
            <w:tcBorders>
              <w:top w:val="nil"/>
              <w:left w:val="single" w:color="auto" w:sz="4" w:space="0"/>
              <w:right w:val="single" w:color="auto" w:sz="4" w:space="0"/>
            </w:tcBorders>
            <w:noWrap/>
            <w:vAlign w:val="center"/>
          </w:tcPr>
          <w:p>
            <w:pPr>
              <w:spacing w:line="260" w:lineRule="exact"/>
              <w:jc w:val="center"/>
              <w:rPr>
                <w:rFonts w:hint="eastAsia" w:eastAsia="仿宋_GB2312"/>
                <w:sz w:val="20"/>
                <w:szCs w:val="20"/>
              </w:rPr>
            </w:pPr>
            <w:r>
              <w:rPr>
                <w:rFonts w:hint="eastAsia" w:eastAsia="仿宋_GB2312"/>
                <w:color w:val="000000"/>
                <w:kern w:val="0"/>
                <w:szCs w:val="21"/>
                <w:lang w:bidi="ar"/>
              </w:rPr>
              <w:t>三、健康活动（50分）</w:t>
            </w: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职业安全</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每年开展4次以上以职业安全和职业防护为主题的专题讲座。</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每开展1次得2</w:t>
            </w:r>
            <w:r>
              <w:rPr>
                <w:rFonts w:hint="eastAsia" w:eastAsia="仿宋_GB2312"/>
                <w:color w:val="000000"/>
                <w:kern w:val="0"/>
                <w:szCs w:val="21"/>
                <w:lang w:val="en-US" w:eastAsia="zh-CN" w:bidi="ar"/>
              </w:rPr>
              <w:t>.</w:t>
            </w:r>
            <w:r>
              <w:rPr>
                <w:rFonts w:hint="eastAsia" w:eastAsia="仿宋_GB2312"/>
                <w:color w:val="000000"/>
                <w:kern w:val="0"/>
                <w:szCs w:val="21"/>
                <w:lang w:bidi="ar"/>
              </w:rPr>
              <w:t>5分，最高10分。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10</w:t>
            </w:r>
          </w:p>
        </w:tc>
        <w:tc>
          <w:tcPr>
            <w:tcW w:w="1124" w:type="dxa"/>
            <w:vMerge w:val="restart"/>
            <w:tcBorders>
              <w:top w:val="single" w:color="auto" w:sz="4" w:space="0"/>
              <w:left w:val="single" w:color="auto" w:sz="4" w:space="0"/>
              <w:right w:val="single" w:color="auto" w:sz="4" w:space="0"/>
            </w:tcBorders>
            <w:noWrap/>
            <w:vAlign w:val="center"/>
          </w:tcPr>
          <w:p>
            <w:pPr>
              <w:spacing w:line="260" w:lineRule="exact"/>
              <w:jc w:val="center"/>
              <w:rPr>
                <w:rFonts w:hint="eastAsia" w:eastAsia="仿宋_GB2312"/>
                <w:sz w:val="20"/>
                <w:szCs w:val="20"/>
              </w:rPr>
            </w:pPr>
            <w:r>
              <w:rPr>
                <w:rFonts w:hint="eastAsia" w:eastAsia="仿宋_GB2312"/>
                <w:color w:val="000000"/>
                <w:kern w:val="0"/>
                <w:sz w:val="22"/>
                <w:lang w:bidi="ar"/>
              </w:rPr>
              <w:t>听取汇报查阅档案现场查看</w:t>
            </w:r>
          </w:p>
        </w:tc>
      </w:tr>
      <w:tr>
        <w:tblPrEx>
          <w:tblCellMar>
            <w:top w:w="0" w:type="dxa"/>
            <w:left w:w="108" w:type="dxa"/>
            <w:bottom w:w="0" w:type="dxa"/>
            <w:right w:w="108" w:type="dxa"/>
          </w:tblCellMar>
        </w:tblPrEx>
        <w:trPr>
          <w:trHeight w:val="698" w:hRule="atLeast"/>
        </w:trPr>
        <w:tc>
          <w:tcPr>
            <w:tcW w:w="1501"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每年举办2次以职业防护为主题的集体活动，如职业防护技能比赛、急救自救演示等。</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每举办一次以职业防护为主题的集体活动，得4分，最高8分。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8</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990" w:hRule="atLeast"/>
        </w:trPr>
        <w:tc>
          <w:tcPr>
            <w:tcW w:w="1501"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主题活动</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每年开展4次以上健康讲座，可包括：科学就医、合理用药、传染病预防，合理膳食、戒烟限酒、心理平衡、母婴保健等。</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每开展一次职业安全以外的健康讲座得2</w:t>
            </w:r>
            <w:r>
              <w:rPr>
                <w:rFonts w:hint="eastAsia" w:eastAsia="仿宋_GB2312"/>
                <w:color w:val="000000"/>
                <w:kern w:val="0"/>
                <w:szCs w:val="21"/>
                <w:lang w:val="en-US" w:eastAsia="zh-CN" w:bidi="ar"/>
              </w:rPr>
              <w:t>.</w:t>
            </w:r>
            <w:r>
              <w:rPr>
                <w:rFonts w:hint="eastAsia" w:eastAsia="仿宋_GB2312"/>
                <w:color w:val="000000"/>
                <w:kern w:val="0"/>
                <w:szCs w:val="21"/>
                <w:lang w:bidi="ar"/>
              </w:rPr>
              <w:t>5分，最高8分。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8</w:t>
            </w:r>
          </w:p>
        </w:tc>
        <w:tc>
          <w:tcPr>
            <w:tcW w:w="1124" w:type="dxa"/>
            <w:vMerge w:val="continue"/>
            <w:tcBorders>
              <w:left w:val="single" w:color="auto"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693" w:hRule="atLeast"/>
        </w:trPr>
        <w:tc>
          <w:tcPr>
            <w:tcW w:w="1501" w:type="dxa"/>
            <w:vMerge w:val="continue"/>
            <w:tcBorders>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1080" w:type="dxa"/>
            <w:vMerge w:val="continue"/>
            <w:tcBorders>
              <w:top w:val="nil"/>
              <w:left w:val="single" w:color="auto" w:sz="4" w:space="0"/>
              <w:bottom w:val="single" w:color="auto" w:sz="4" w:space="0"/>
              <w:right w:val="single" w:color="auto" w:sz="4" w:space="0"/>
            </w:tcBorders>
            <w:noWrap/>
            <w:vAlign w:val="center"/>
          </w:tcPr>
          <w:p>
            <w:pPr>
              <w:spacing w:line="260" w:lineRule="exact"/>
              <w:jc w:val="center"/>
              <w:rPr>
                <w:rFonts w:hint="eastAsia" w:eastAsia="仿宋_GB2312"/>
                <w:sz w:val="20"/>
                <w:szCs w:val="20"/>
              </w:rPr>
            </w:pP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定期组织职工开展球类、游泳、棋类等文体活动，促进职工身心愉悦。</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每开展一项集体文体活动，得4分，最高8分。</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8</w:t>
            </w:r>
          </w:p>
        </w:tc>
        <w:tc>
          <w:tcPr>
            <w:tcW w:w="1124" w:type="dxa"/>
            <w:vMerge w:val="continue"/>
            <w:tcBorders>
              <w:left w:val="single" w:color="auto" w:sz="4" w:space="0"/>
              <w:bottom w:val="single" w:color="000000" w:sz="4" w:space="0"/>
              <w:right w:val="single" w:color="auto" w:sz="4" w:space="0"/>
            </w:tcBorders>
            <w:noWrap/>
            <w:vAlign w:val="center"/>
          </w:tcPr>
          <w:p>
            <w:pPr>
              <w:spacing w:line="260" w:lineRule="exact"/>
              <w:jc w:val="center"/>
              <w:rPr>
                <w:rFonts w:hint="eastAsia" w:eastAsia="仿宋_GB2312"/>
                <w:sz w:val="20"/>
                <w:szCs w:val="20"/>
              </w:rPr>
            </w:pPr>
          </w:p>
        </w:tc>
      </w:tr>
      <w:tr>
        <w:tblPrEx>
          <w:tblCellMar>
            <w:top w:w="0" w:type="dxa"/>
            <w:left w:w="108" w:type="dxa"/>
            <w:bottom w:w="0" w:type="dxa"/>
            <w:right w:w="108" w:type="dxa"/>
          </w:tblCellMar>
        </w:tblPrEx>
        <w:trPr>
          <w:trHeight w:val="844" w:hRule="atLeast"/>
        </w:trPr>
        <w:tc>
          <w:tcPr>
            <w:tcW w:w="1501"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四、建设效果（10分）</w:t>
            </w:r>
          </w:p>
        </w:tc>
        <w:tc>
          <w:tcPr>
            <w:tcW w:w="1080"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目标人群评价</w:t>
            </w:r>
          </w:p>
        </w:tc>
        <w:tc>
          <w:tcPr>
            <w:tcW w:w="450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目标人群对健康促进工作支持、理解、满意；</w:t>
            </w:r>
          </w:p>
          <w:p>
            <w:pPr>
              <w:widowControl/>
              <w:spacing w:line="260" w:lineRule="exact"/>
              <w:rPr>
                <w:rFonts w:hint="eastAsia" w:eastAsia="仿宋_GB2312"/>
                <w:color w:val="000000"/>
                <w:kern w:val="0"/>
                <w:szCs w:val="21"/>
              </w:rPr>
            </w:pPr>
            <w:r>
              <w:rPr>
                <w:rFonts w:hint="eastAsia" w:eastAsia="仿宋_GB2312"/>
                <w:color w:val="000000"/>
                <w:kern w:val="0"/>
                <w:szCs w:val="21"/>
                <w:lang w:bidi="ar"/>
              </w:rPr>
              <w:t>目标人群的健康素养水平。</w:t>
            </w:r>
          </w:p>
        </w:tc>
        <w:tc>
          <w:tcPr>
            <w:tcW w:w="3827" w:type="dxa"/>
            <w:tcBorders>
              <w:top w:val="nil"/>
              <w:left w:val="nil"/>
              <w:bottom w:val="single" w:color="auto" w:sz="4" w:space="0"/>
              <w:right w:val="single" w:color="auto" w:sz="4" w:space="0"/>
            </w:tcBorders>
            <w:noWrap/>
            <w:vAlign w:val="center"/>
          </w:tcPr>
          <w:p>
            <w:pPr>
              <w:widowControl/>
              <w:spacing w:line="260" w:lineRule="exact"/>
              <w:rPr>
                <w:rFonts w:hint="eastAsia" w:eastAsia="仿宋_GB2312"/>
                <w:color w:val="000000"/>
                <w:kern w:val="0"/>
                <w:szCs w:val="21"/>
              </w:rPr>
            </w:pPr>
            <w:r>
              <w:rPr>
                <w:rFonts w:hint="eastAsia" w:eastAsia="仿宋_GB2312"/>
                <w:color w:val="000000"/>
                <w:kern w:val="0"/>
                <w:szCs w:val="21"/>
                <w:lang w:bidi="ar"/>
              </w:rPr>
              <w:t>随机抽取10名员工，开展满意度调查</w:t>
            </w:r>
          </w:p>
          <w:p>
            <w:pPr>
              <w:widowControl/>
              <w:spacing w:line="260" w:lineRule="exact"/>
              <w:rPr>
                <w:rFonts w:hint="eastAsia" w:eastAsia="仿宋_GB2312"/>
                <w:color w:val="000000"/>
                <w:kern w:val="0"/>
                <w:szCs w:val="21"/>
              </w:rPr>
            </w:pPr>
            <w:r>
              <w:rPr>
                <w:rFonts w:hint="eastAsia" w:eastAsia="仿宋_GB2312"/>
                <w:color w:val="000000"/>
                <w:kern w:val="0"/>
                <w:szCs w:val="21"/>
                <w:lang w:bidi="ar"/>
              </w:rPr>
              <w:t>随机抽取20名员工，开展健康素养调查。</w:t>
            </w:r>
          </w:p>
        </w:tc>
        <w:tc>
          <w:tcPr>
            <w:tcW w:w="735"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10</w:t>
            </w:r>
          </w:p>
        </w:tc>
        <w:tc>
          <w:tcPr>
            <w:tcW w:w="1124" w:type="dxa"/>
            <w:tcBorders>
              <w:top w:val="nil"/>
              <w:left w:val="nil"/>
              <w:bottom w:val="single" w:color="auto" w:sz="4" w:space="0"/>
              <w:right w:val="single" w:color="auto" w:sz="4" w:space="0"/>
            </w:tcBorders>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lang w:bidi="ar"/>
              </w:rPr>
              <w:t>快速调查</w:t>
            </w:r>
          </w:p>
        </w:tc>
      </w:tr>
      <w:tr>
        <w:tblPrEx>
          <w:tblCellMar>
            <w:top w:w="0" w:type="dxa"/>
            <w:left w:w="108" w:type="dxa"/>
            <w:bottom w:w="0" w:type="dxa"/>
            <w:right w:w="108" w:type="dxa"/>
          </w:tblCellMar>
        </w:tblPrEx>
        <w:trPr>
          <w:trHeight w:val="573" w:hRule="atLeast"/>
        </w:trPr>
        <w:tc>
          <w:tcPr>
            <w:tcW w:w="1501"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eastAsia="仿宋_GB2312"/>
                <w:color w:val="000000"/>
                <w:kern w:val="0"/>
                <w:sz w:val="22"/>
              </w:rPr>
            </w:pPr>
            <w:r>
              <w:rPr>
                <w:rFonts w:hint="eastAsia" w:eastAsia="仿宋_GB2312"/>
                <w:color w:val="000000"/>
                <w:kern w:val="0"/>
                <w:sz w:val="22"/>
                <w:lang w:bidi="ar"/>
              </w:rPr>
              <w:t>合计</w:t>
            </w:r>
          </w:p>
        </w:tc>
        <w:tc>
          <w:tcPr>
            <w:tcW w:w="1080" w:type="dxa"/>
            <w:tcBorders>
              <w:top w:val="nil"/>
              <w:left w:val="nil"/>
              <w:bottom w:val="single" w:color="auto" w:sz="4" w:space="0"/>
              <w:right w:val="single" w:color="auto" w:sz="4" w:space="0"/>
            </w:tcBorders>
            <w:noWrap/>
            <w:vAlign w:val="center"/>
          </w:tcPr>
          <w:p>
            <w:pPr>
              <w:widowControl/>
              <w:spacing w:line="280" w:lineRule="exact"/>
              <w:jc w:val="center"/>
              <w:rPr>
                <w:rFonts w:hint="eastAsia" w:eastAsia="仿宋_GB2312"/>
                <w:color w:val="000000"/>
                <w:kern w:val="0"/>
                <w:sz w:val="22"/>
              </w:rPr>
            </w:pPr>
          </w:p>
        </w:tc>
        <w:tc>
          <w:tcPr>
            <w:tcW w:w="4507" w:type="dxa"/>
            <w:tcBorders>
              <w:top w:val="nil"/>
              <w:left w:val="nil"/>
              <w:bottom w:val="single" w:color="auto" w:sz="4" w:space="0"/>
              <w:right w:val="single" w:color="auto" w:sz="4" w:space="0"/>
            </w:tcBorders>
            <w:noWrap/>
            <w:vAlign w:val="center"/>
          </w:tcPr>
          <w:p>
            <w:pPr>
              <w:widowControl/>
              <w:spacing w:line="280" w:lineRule="exact"/>
              <w:rPr>
                <w:rFonts w:hint="eastAsia" w:eastAsia="仿宋_GB2312"/>
                <w:color w:val="000000"/>
                <w:kern w:val="0"/>
                <w:sz w:val="22"/>
              </w:rPr>
            </w:pPr>
          </w:p>
        </w:tc>
        <w:tc>
          <w:tcPr>
            <w:tcW w:w="3827" w:type="dxa"/>
            <w:tcBorders>
              <w:top w:val="nil"/>
              <w:left w:val="nil"/>
              <w:bottom w:val="single" w:color="auto" w:sz="4" w:space="0"/>
              <w:right w:val="single" w:color="auto" w:sz="4" w:space="0"/>
            </w:tcBorders>
            <w:noWrap/>
            <w:vAlign w:val="center"/>
          </w:tcPr>
          <w:p>
            <w:pPr>
              <w:widowControl/>
              <w:spacing w:line="280" w:lineRule="exact"/>
              <w:rPr>
                <w:rFonts w:hint="eastAsia" w:eastAsia="仿宋_GB2312"/>
                <w:color w:val="000000"/>
                <w:kern w:val="0"/>
                <w:sz w:val="22"/>
              </w:rPr>
            </w:pPr>
          </w:p>
        </w:tc>
        <w:tc>
          <w:tcPr>
            <w:tcW w:w="735" w:type="dxa"/>
            <w:tcBorders>
              <w:top w:val="nil"/>
              <w:left w:val="nil"/>
              <w:bottom w:val="single" w:color="auto" w:sz="4" w:space="0"/>
              <w:right w:val="single" w:color="auto" w:sz="4" w:space="0"/>
            </w:tcBorders>
            <w:noWrap/>
            <w:vAlign w:val="center"/>
          </w:tcPr>
          <w:p>
            <w:pPr>
              <w:widowControl/>
              <w:spacing w:line="280" w:lineRule="exact"/>
              <w:jc w:val="center"/>
              <w:rPr>
                <w:rFonts w:hint="eastAsia" w:eastAsia="仿宋_GB2312"/>
                <w:color w:val="000000"/>
                <w:kern w:val="0"/>
                <w:sz w:val="22"/>
              </w:rPr>
            </w:pPr>
            <w:r>
              <w:rPr>
                <w:rFonts w:hint="eastAsia" w:eastAsia="仿宋_GB2312"/>
                <w:color w:val="000000"/>
                <w:kern w:val="0"/>
                <w:sz w:val="22"/>
                <w:lang w:bidi="ar"/>
              </w:rPr>
              <w:t>100</w:t>
            </w:r>
          </w:p>
        </w:tc>
        <w:tc>
          <w:tcPr>
            <w:tcW w:w="1124" w:type="dxa"/>
            <w:tcBorders>
              <w:top w:val="nil"/>
              <w:left w:val="nil"/>
              <w:bottom w:val="single" w:color="auto" w:sz="4" w:space="0"/>
              <w:right w:val="single" w:color="auto" w:sz="4" w:space="0"/>
            </w:tcBorders>
            <w:noWrap/>
            <w:vAlign w:val="center"/>
          </w:tcPr>
          <w:p>
            <w:pPr>
              <w:widowControl/>
              <w:spacing w:line="280" w:lineRule="exact"/>
              <w:jc w:val="center"/>
              <w:rPr>
                <w:rFonts w:hint="eastAsia" w:eastAsia="仿宋_GB2312"/>
                <w:color w:val="000000"/>
                <w:kern w:val="0"/>
                <w:sz w:val="22"/>
              </w:rPr>
            </w:pPr>
          </w:p>
        </w:tc>
      </w:tr>
    </w:tbl>
    <w:p>
      <w:pPr>
        <w:pStyle w:val="3"/>
        <w:sectPr>
          <w:headerReference r:id="rId15" w:type="default"/>
          <w:footerReference r:id="rId17" w:type="default"/>
          <w:headerReference r:id="rId16" w:type="even"/>
          <w:footerReference r:id="rId18" w:type="even"/>
          <w:pgSz w:w="16838" w:h="11906" w:orient="landscape"/>
          <w:pgMar w:top="1587" w:right="2098" w:bottom="1474" w:left="1984" w:header="851" w:footer="1077" w:gutter="0"/>
          <w:pgNumType w:fmt="numberInDash"/>
          <w:cols w:space="720" w:num="1"/>
          <w:docGrid w:type="linesAndChars" w:linePitch="632" w:charSpace="-2867"/>
        </w:sectPr>
      </w:pPr>
    </w:p>
    <w:p>
      <w:pPr>
        <w:pStyle w:val="9"/>
        <w:keepNext w:val="0"/>
        <w:keepLines w:val="0"/>
        <w:pageBreakBefore w:val="0"/>
        <w:widowControl w:val="0"/>
        <w:tabs>
          <w:tab w:val="left" w:pos="5075"/>
        </w:tabs>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ab/>
      </w: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00" w:lineRule="exact"/>
        <w:ind w:firstLine="640" w:firstLineChars="200"/>
        <w:rPr>
          <w:rFonts w:hint="eastAsia" w:ascii="仿宋_GB2312" w:eastAsia="仿宋_GB2312"/>
          <w:sz w:val="32"/>
          <w:szCs w:val="32"/>
        </w:rPr>
      </w:pPr>
    </w:p>
    <w:p>
      <w:pPr>
        <w:pStyle w:val="2"/>
        <w:rPr>
          <w:rFonts w:hint="eastAsia"/>
        </w:rPr>
      </w:pPr>
    </w:p>
    <w:p>
      <w:pPr>
        <w:pStyle w:val="9"/>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9"/>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4"/>
        <w:snapToGrid w:val="0"/>
        <w:spacing w:before="0" w:beforeAutospacing="0" w:after="0" w:afterAutospacing="0" w:line="20" w:lineRule="exact"/>
        <w:jc w:val="both"/>
        <w:rPr>
          <w:rFonts w:hint="eastAsia"/>
        </w:rPr>
      </w:pPr>
    </w:p>
    <w:sectPr>
      <w:headerReference r:id="rId19" w:type="default"/>
      <w:footerReference r:id="rId21" w:type="default"/>
      <w:headerReference r:id="rId20" w:type="even"/>
      <w:footerReference r:id="rId22" w:type="even"/>
      <w:pgSz w:w="11906" w:h="16838"/>
      <w:pgMar w:top="2041" w:right="1531" w:bottom="2041" w:left="1531" w:header="851"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- 1 -</w:t>
    </w:r>
    <w:r>
      <w:rPr>
        <w:rStyle w:val="13"/>
        <w:rFonts w:ascii="宋体" w:hAnsi="宋体"/>
        <w:sz w:val="28"/>
        <w:szCs w:val="28"/>
      </w:rPr>
      <w:fldChar w:fldCharType="end"/>
    </w:r>
  </w:p>
  <w:p>
    <w:pPr>
      <w:snapToGrid w:val="0"/>
      <w:ind w:right="360" w:firstLine="360"/>
      <w:jc w:val="left"/>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420" w:leftChars="200" w:right="420" w:rightChars="200"/>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UhMV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LSWGaVT89OP76efD6dc3gjMI1LgwQ9y9Q2Rs39kWbTOcBxwm3m3ldfqCEYEf&#10;8h4v8oo2Ep4uTSfTaQ4Xh2/YAD97vO58iO+F1SQZBfWoXycrO2xC7EOHkJTN2LVUqquhMqQBid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RUhMV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6"/>
                      <w:ind w:left="420" w:leftChars="200" w:right="420" w:rightChars="200"/>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FsBz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JDFMo+KnH99PPx9Ov74RnEGgxoUZ4u4dImP7zrZom+E84DDxbiuv0xeMCPzA&#10;Ol7kFW0kPF2aTqbTHC4O37ABfvZ43fkQ3wurSTIK6lG/TlZ22ITYhw4hKZuxa6lUV0NlSFPQq9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TFsBz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ind w:left="420" w:leftChars="200" w:right="420" w:rightChars="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6"/>
      <w:ind w:left="420" w:leftChars="200" w:right="420" w:rightChars="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column">
                <wp:posOffset>-493395</wp:posOffset>
              </wp:positionH>
              <wp:positionV relativeFrom="paragraph">
                <wp:posOffset>-1039495</wp:posOffset>
              </wp:positionV>
              <wp:extent cx="418465" cy="7340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8465" cy="734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- 1 -</w:t>
                          </w:r>
                          <w:r>
                            <w:rPr>
                              <w:rStyle w:val="13"/>
                              <w:rFonts w:ascii="宋体" w:hAnsi="宋体"/>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5pt;margin-top:-81.85pt;height:57.8pt;width:32.95pt;z-index:251666432;mso-width-relative:page;mso-height-relative:page;" filled="f" stroked="f" coordsize="21600,21600" o:gfxdata="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">
              <v:fill on="f" focussize="0,0"/>
              <v:stroke on="f" weight="0.5pt"/>
              <v:imagedata o:title=""/>
              <o:lock v:ext="edit" aspectratio="f"/>
              <v:textbox style="layout-flow:vertical-ideographic;">
                <w:txbxContent>
                  <w:p>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- 1 -</w:t>
                    </w:r>
                    <w:r>
                      <w:rPr>
                        <w:rStyle w:val="13"/>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438150" cy="771525"/>
              <wp:effectExtent l="0" t="0" r="0" b="9525"/>
              <wp:wrapNone/>
              <wp:docPr id="33" name="文本框 33"/>
              <wp:cNvGraphicFramePr/>
              <a:graphic xmlns:a="http://schemas.openxmlformats.org/drawingml/2006/main">
                <a:graphicData uri="http://schemas.microsoft.com/office/word/2010/wordprocessingShape">
                  <wps:wsp>
                    <wps:cNvSpPr txBox="1"/>
                    <wps:spPr>
                      <a:xfrm>
                        <a:off x="683895" y="5707380"/>
                        <a:ext cx="438150" cy="771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xml:space="preserve">- </w:t>
                          </w:r>
                          <w:r>
                            <w:rPr>
                              <w:rStyle w:val="13"/>
                              <w:rFonts w:hint="default" w:ascii="宋体" w:hAnsi="宋体"/>
                              <w:sz w:val="28"/>
                              <w:szCs w:val="28"/>
                              <w:lang w:val="en"/>
                            </w:rPr>
                            <w:t>29</w:t>
                          </w:r>
                          <w:r>
                            <w:rPr>
                              <w:rStyle w:val="13"/>
                              <w:rFonts w:ascii="宋体" w:hAnsi="宋体"/>
                              <w:sz w:val="28"/>
                              <w:szCs w:val="28"/>
                            </w:rPr>
                            <w:t xml:space="preserve"> -</w:t>
                          </w:r>
                          <w:r>
                            <w:rPr>
                              <w:rStyle w:val="13"/>
                              <w:rFonts w:ascii="宋体" w:hAnsi="宋体"/>
                              <w:sz w:val="28"/>
                              <w:szCs w:val="28"/>
                            </w:rPr>
                            <w:fldChar w:fldCharType="end"/>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60.75pt;width:34.5pt;mso-position-horizontal:inside;mso-position-horizontal-relative:margin;z-index:251659264;mso-width-relative:page;mso-height-relative:page;" fillcolor="#FFFFFF [3201]" filled="t" stroked="f" coordsize="21600,21600" o:gfxdata="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">
              <v:fill on="t" focussize="0,0"/>
              <v:stroke on="f" weight="0.5pt"/>
              <v:imagedata o:title=""/>
              <o:lock v:ext="edit" aspectratio="f"/>
              <v:textbox inset="0mm,0mm,0mm,0mm">
                <w:txbxContent>
                  <w:p>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xml:space="preserve">- </w:t>
                    </w:r>
                    <w:r>
                      <w:rPr>
                        <w:rStyle w:val="13"/>
                        <w:rFonts w:hint="default" w:ascii="宋体" w:hAnsi="宋体"/>
                        <w:sz w:val="28"/>
                        <w:szCs w:val="28"/>
                        <w:lang w:val="en"/>
                      </w:rPr>
                      <w:t>29</w:t>
                    </w:r>
                    <w:r>
                      <w:rPr>
                        <w:rStyle w:val="13"/>
                        <w:rFonts w:ascii="宋体" w:hAnsi="宋体"/>
                        <w:sz w:val="28"/>
                        <w:szCs w:val="28"/>
                      </w:rPr>
                      <w:t xml:space="preserve"> -</w:t>
                    </w:r>
                    <w:r>
                      <w:rPr>
                        <w:rStyle w:val="13"/>
                        <w:rFonts w:ascii="宋体" w:hAnsi="宋体"/>
                        <w:sz w:val="28"/>
                        <w:szCs w:val="28"/>
                      </w:rPr>
                      <w:fldChar w:fldCharType="end"/>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bRl2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N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KbRl2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6"/>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-1002030</wp:posOffset>
              </wp:positionV>
              <wp:extent cx="408940" cy="638175"/>
              <wp:effectExtent l="0" t="0" r="10160" b="9525"/>
              <wp:wrapNone/>
              <wp:docPr id="35" name="文本框 35"/>
              <wp:cNvGraphicFramePr/>
              <a:graphic xmlns:a="http://schemas.openxmlformats.org/drawingml/2006/main">
                <a:graphicData uri="http://schemas.microsoft.com/office/word/2010/wordprocessingShape">
                  <wps:wsp>
                    <wps:cNvSpPr txBox="1"/>
                    <wps:spPr>
                      <a:xfrm>
                        <a:off x="664845" y="5885815"/>
                        <a:ext cx="408940"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05pt;margin-top:-78.9pt;height:50.25pt;width:32.2pt;z-index:251661312;mso-width-relative:page;mso-height-relative:page;" fillcolor="#FFFFFF [3201]" filled="t" stroked="f" coordsize="21600,21600" o:gfxdata="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">
              <v:fill on="t" focussize="0,0"/>
              <v:stroke on="f" weight="0.5pt"/>
              <v:imagedata o:title=""/>
              <o:lock v:ext="edit" aspectratio="f"/>
              <v:textbox style="layout-flow:vertical-ideographic;">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65408" behindDoc="0" locked="0" layoutInCell="1" allowOverlap="1">
              <wp:simplePos x="0" y="0"/>
              <wp:positionH relativeFrom="column">
                <wp:posOffset>-493395</wp:posOffset>
              </wp:positionH>
              <wp:positionV relativeFrom="paragraph">
                <wp:posOffset>694055</wp:posOffset>
              </wp:positionV>
              <wp:extent cx="447675" cy="733425"/>
              <wp:effectExtent l="0" t="0" r="9525" b="9525"/>
              <wp:wrapNone/>
              <wp:docPr id="5" name="文本框 5"/>
              <wp:cNvGraphicFramePr/>
              <a:graphic xmlns:a="http://schemas.openxmlformats.org/drawingml/2006/main">
                <a:graphicData uri="http://schemas.microsoft.com/office/word/2010/wordprocessingShape">
                  <wps:wsp>
                    <wps:cNvSpPr txBox="1"/>
                    <wps:spPr>
                      <a:xfrm>
                        <a:off x="640715" y="1282065"/>
                        <a:ext cx="447675" cy="733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Style w:val="13"/>
                              <w:rFonts w:ascii="宋体" w:hAnsi="宋体"/>
                              <w:color w:val="000000" w:themeColor="text1"/>
                              <w:sz w:val="28"/>
                              <w:szCs w:val="28"/>
                              <w14:textFill>
                                <w14:solidFill>
                                  <w14:schemeClr w14:val="tx1"/>
                                </w14:solidFill>
                              </w14:textFill>
                            </w:rPr>
                            <w:fldChar w:fldCharType="begin"/>
                          </w:r>
                          <w:r>
                            <w:rPr>
                              <w:rStyle w:val="13"/>
                              <w:rFonts w:ascii="宋体" w:hAnsi="宋体"/>
                              <w:color w:val="000000" w:themeColor="text1"/>
                              <w:sz w:val="28"/>
                              <w:szCs w:val="28"/>
                              <w14:textFill>
                                <w14:solidFill>
                                  <w14:schemeClr w14:val="tx1"/>
                                </w14:solidFill>
                              </w14:textFill>
                            </w:rPr>
                            <w:instrText xml:space="preserve">PAGE  </w:instrText>
                          </w:r>
                          <w:r>
                            <w:rPr>
                              <w:rStyle w:val="13"/>
                              <w:rFonts w:ascii="宋体" w:hAnsi="宋体"/>
                              <w:color w:val="000000" w:themeColor="text1"/>
                              <w:sz w:val="28"/>
                              <w:szCs w:val="28"/>
                              <w14:textFill>
                                <w14:solidFill>
                                  <w14:schemeClr w14:val="tx1"/>
                                </w14:solidFill>
                              </w14:textFill>
                            </w:rPr>
                            <w:fldChar w:fldCharType="separate"/>
                          </w:r>
                          <w:r>
                            <w:rPr>
                              <w:rStyle w:val="13"/>
                              <w:rFonts w:ascii="宋体" w:hAnsi="宋体"/>
                              <w:color w:val="000000" w:themeColor="text1"/>
                              <w:sz w:val="28"/>
                              <w:szCs w:val="28"/>
                              <w14:textFill>
                                <w14:solidFill>
                                  <w14:schemeClr w14:val="tx1"/>
                                </w14:solidFill>
                              </w14:textFill>
                            </w:rPr>
                            <w:t>- 1 -</w:t>
                          </w:r>
                          <w:r>
                            <w:rPr>
                              <w:rStyle w:val="13"/>
                              <w:rFonts w:ascii="宋体" w:hAnsi="宋体"/>
                              <w:color w:val="000000" w:themeColor="text1"/>
                              <w:sz w:val="28"/>
                              <w:szCs w:val="28"/>
                              <w14:textFill>
                                <w14:solidFill>
                                  <w14:schemeClr w14:val="tx1"/>
                                </w14:solidFill>
                              </w14:textFill>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5pt;margin-top:54.65pt;height:57.75pt;width:35.25pt;z-index:251665408;mso-width-relative:page;mso-height-relative:page;" filled="f" stroked="f" coordsize="21600,21600" o:gfxdata="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">
              <v:fill on="f" focussize="0,0"/>
              <v:stroke on="f" weight="0.5pt"/>
              <v:imagedata o:title=""/>
              <o:lock v:ext="edit" aspectratio="f"/>
              <v:textbox style="layout-flow:vertical-ideographic;">
                <w:txbxContent>
                  <w:p>
                    <w:pPr>
                      <w:rPr>
                        <w:color w:val="000000" w:themeColor="text1"/>
                        <w14:textFill>
                          <w14:solidFill>
                            <w14:schemeClr w14:val="tx1"/>
                          </w14:solidFill>
                        </w14:textFill>
                      </w:rPr>
                    </w:pPr>
                    <w:r>
                      <w:rPr>
                        <w:rStyle w:val="13"/>
                        <w:rFonts w:ascii="宋体" w:hAnsi="宋体"/>
                        <w:color w:val="000000" w:themeColor="text1"/>
                        <w:sz w:val="28"/>
                        <w:szCs w:val="28"/>
                        <w14:textFill>
                          <w14:solidFill>
                            <w14:schemeClr w14:val="tx1"/>
                          </w14:solidFill>
                        </w14:textFill>
                      </w:rPr>
                      <w:fldChar w:fldCharType="begin"/>
                    </w:r>
                    <w:r>
                      <w:rPr>
                        <w:rStyle w:val="13"/>
                        <w:rFonts w:ascii="宋体" w:hAnsi="宋体"/>
                        <w:color w:val="000000" w:themeColor="text1"/>
                        <w:sz w:val="28"/>
                        <w:szCs w:val="28"/>
                        <w14:textFill>
                          <w14:solidFill>
                            <w14:schemeClr w14:val="tx1"/>
                          </w14:solidFill>
                        </w14:textFill>
                      </w:rPr>
                      <w:instrText xml:space="preserve">PAGE  </w:instrText>
                    </w:r>
                    <w:r>
                      <w:rPr>
                        <w:rStyle w:val="13"/>
                        <w:rFonts w:ascii="宋体" w:hAnsi="宋体"/>
                        <w:color w:val="000000" w:themeColor="text1"/>
                        <w:sz w:val="28"/>
                        <w:szCs w:val="28"/>
                        <w14:textFill>
                          <w14:solidFill>
                            <w14:schemeClr w14:val="tx1"/>
                          </w14:solidFill>
                        </w14:textFill>
                      </w:rPr>
                      <w:fldChar w:fldCharType="separate"/>
                    </w:r>
                    <w:r>
                      <w:rPr>
                        <w:rStyle w:val="13"/>
                        <w:rFonts w:ascii="宋体" w:hAnsi="宋体"/>
                        <w:color w:val="000000" w:themeColor="text1"/>
                        <w:sz w:val="28"/>
                        <w:szCs w:val="28"/>
                        <w14:textFill>
                          <w14:solidFill>
                            <w14:schemeClr w14:val="tx1"/>
                          </w14:solidFill>
                        </w14:textFill>
                      </w:rPr>
                      <w:t>- 1 -</w:t>
                    </w:r>
                    <w:r>
                      <w:rPr>
                        <w:rStyle w:val="13"/>
                        <w:rFonts w:ascii="宋体" w:hAnsi="宋体"/>
                        <w:color w:val="000000" w:themeColor="text1"/>
                        <w:sz w:val="28"/>
                        <w:szCs w:val="28"/>
                        <w14:textFill>
                          <w14:solidFill>
                            <w14:schemeClr w14:val="tx1"/>
                          </w14:solidFill>
                        </w14:textFill>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62336" behindDoc="0" locked="0" layoutInCell="1" allowOverlap="1">
              <wp:simplePos x="0" y="0"/>
              <wp:positionH relativeFrom="column">
                <wp:posOffset>-575945</wp:posOffset>
              </wp:positionH>
              <wp:positionV relativeFrom="paragraph">
                <wp:posOffset>627380</wp:posOffset>
              </wp:positionV>
              <wp:extent cx="438150" cy="895350"/>
              <wp:effectExtent l="0" t="0" r="0" b="0"/>
              <wp:wrapNone/>
              <wp:docPr id="36" name="文本框 36"/>
              <wp:cNvGraphicFramePr/>
              <a:graphic xmlns:a="http://schemas.openxmlformats.org/drawingml/2006/main">
                <a:graphicData uri="http://schemas.microsoft.com/office/word/2010/wordprocessingShape">
                  <wps:wsp>
                    <wps:cNvSpPr txBox="1"/>
                    <wps:spPr>
                      <a:xfrm>
                        <a:off x="655320" y="1234440"/>
                        <a:ext cx="438150" cy="895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5pt;margin-top:49.4pt;height:70.5pt;width:34.5pt;z-index:251662336;mso-width-relative:page;mso-height-relative:page;" fillcolor="#FFFFFF [3201]" filled="t" stroked="f" coordsize="21600,21600" o:gfxdata="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">
              <v:fill on="t" focussize="0,0"/>
              <v:stroke on="f" weight="0.5pt"/>
              <v:imagedata o:title=""/>
              <o:lock v:ext="edit" aspectratio="f"/>
              <v:textbox style="layout-flow:vertical-ideographic;">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E4D2F"/>
    <w:multiLevelType w:val="singleLevel"/>
    <w:tmpl w:val="FCFE4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8"/>
  <w:drawingGridVerticalSpacing w:val="304"/>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1FEF8856"/>
    <w:rsid w:val="2BA02F26"/>
    <w:rsid w:val="37EEB6CE"/>
    <w:rsid w:val="3BBB9669"/>
    <w:rsid w:val="3C8DABFE"/>
    <w:rsid w:val="4ABD0F56"/>
    <w:rsid w:val="4F667698"/>
    <w:rsid w:val="52FF646E"/>
    <w:rsid w:val="5DDFF065"/>
    <w:rsid w:val="5DF22EBA"/>
    <w:rsid w:val="5FAD6621"/>
    <w:rsid w:val="5FBB0A51"/>
    <w:rsid w:val="63B70639"/>
    <w:rsid w:val="63CDB48F"/>
    <w:rsid w:val="6A291723"/>
    <w:rsid w:val="6AFB06A6"/>
    <w:rsid w:val="6DDBF0B3"/>
    <w:rsid w:val="6FFF1BE1"/>
    <w:rsid w:val="74FD1F4A"/>
    <w:rsid w:val="77DFDA2E"/>
    <w:rsid w:val="79BE0B42"/>
    <w:rsid w:val="7B2D948F"/>
    <w:rsid w:val="7B678BE7"/>
    <w:rsid w:val="7DF3DE13"/>
    <w:rsid w:val="7E7B8171"/>
    <w:rsid w:val="7EE71195"/>
    <w:rsid w:val="7FAF1A02"/>
    <w:rsid w:val="7FFE0EFB"/>
    <w:rsid w:val="7FFE2237"/>
    <w:rsid w:val="8DFA1B62"/>
    <w:rsid w:val="949DB4D6"/>
    <w:rsid w:val="9FEA576C"/>
    <w:rsid w:val="9FF32DA3"/>
    <w:rsid w:val="B2B9487F"/>
    <w:rsid w:val="B5BFFE85"/>
    <w:rsid w:val="BCDF06EB"/>
    <w:rsid w:val="C9FB792C"/>
    <w:rsid w:val="CDFA203F"/>
    <w:rsid w:val="CFFF78B2"/>
    <w:rsid w:val="DDB7B443"/>
    <w:rsid w:val="DE1A8BA9"/>
    <w:rsid w:val="DFF95138"/>
    <w:rsid w:val="E7FE57E6"/>
    <w:rsid w:val="EEC0E70D"/>
    <w:rsid w:val="F2EE1C8B"/>
    <w:rsid w:val="F76E6E47"/>
    <w:rsid w:val="F77F7797"/>
    <w:rsid w:val="F97E0112"/>
    <w:rsid w:val="FB9E8C18"/>
    <w:rsid w:val="FEBFC438"/>
    <w:rsid w:val="FEBFE592"/>
    <w:rsid w:val="FF32D9EE"/>
    <w:rsid w:val="FF77DDE4"/>
    <w:rsid w:val="FF9F3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spacing w:before="240" w:after="60"/>
      <w:outlineLvl w:val="3"/>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 w:type="paragraph" w:customStyle="1" w:styleId="16">
    <w:name w:val="黑体"/>
    <w:basedOn w:val="1"/>
    <w:next w:val="1"/>
    <w:link w:val="19"/>
    <w:qFormat/>
    <w:uiPriority w:val="0"/>
    <w:pPr>
      <w:kinsoku w:val="0"/>
      <w:spacing w:line="560" w:lineRule="exact"/>
      <w:ind w:firstLine="200" w:firstLineChars="200"/>
    </w:pPr>
    <w:rPr>
      <w:rFonts w:eastAsia="黑体"/>
      <w:kern w:val="0"/>
      <w:sz w:val="32"/>
      <w:szCs w:val="20"/>
    </w:rPr>
  </w:style>
  <w:style w:type="paragraph" w:customStyle="1" w:styleId="17">
    <w:name w:val="楷体"/>
    <w:basedOn w:val="1"/>
    <w:next w:val="1"/>
    <w:link w:val="21"/>
    <w:qFormat/>
    <w:uiPriority w:val="0"/>
    <w:pPr>
      <w:kinsoku w:val="0"/>
      <w:spacing w:line="560" w:lineRule="exact"/>
      <w:ind w:firstLine="200" w:firstLineChars="200"/>
    </w:pPr>
    <w:rPr>
      <w:rFonts w:eastAsia="楷体"/>
      <w:kern w:val="0"/>
      <w:sz w:val="32"/>
      <w:szCs w:val="20"/>
    </w:rPr>
  </w:style>
  <w:style w:type="paragraph" w:customStyle="1" w:styleId="18">
    <w:name w:val="小标宋"/>
    <w:basedOn w:val="1"/>
    <w:next w:val="1"/>
    <w:link w:val="20"/>
    <w:qFormat/>
    <w:uiPriority w:val="0"/>
    <w:pPr>
      <w:kinsoku w:val="0"/>
      <w:spacing w:line="640" w:lineRule="exact"/>
      <w:jc w:val="center"/>
    </w:pPr>
    <w:rPr>
      <w:rFonts w:eastAsia="方正小标宋简体"/>
      <w:kern w:val="0"/>
      <w:sz w:val="44"/>
      <w:szCs w:val="20"/>
    </w:rPr>
  </w:style>
  <w:style w:type="character" w:customStyle="1" w:styleId="19">
    <w:name w:val="黑体 Char"/>
    <w:link w:val="16"/>
    <w:qFormat/>
    <w:uiPriority w:val="0"/>
    <w:rPr>
      <w:rFonts w:eastAsia="黑体"/>
      <w:sz w:val="32"/>
      <w:lang w:bidi="ar-SA"/>
    </w:rPr>
  </w:style>
  <w:style w:type="character" w:customStyle="1" w:styleId="20">
    <w:name w:val="小标宋 Char"/>
    <w:link w:val="18"/>
    <w:qFormat/>
    <w:uiPriority w:val="0"/>
    <w:rPr>
      <w:rFonts w:eastAsia="方正小标宋简体"/>
      <w:sz w:val="44"/>
      <w:lang w:bidi="ar-SA"/>
    </w:rPr>
  </w:style>
  <w:style w:type="character" w:customStyle="1" w:styleId="21">
    <w:name w:val="楷体 Char"/>
    <w:link w:val="17"/>
    <w:qFormat/>
    <w:uiPriority w:val="0"/>
    <w:rPr>
      <w:rFonts w:eastAsia="楷体"/>
      <w:sz w:val="32"/>
      <w:lang w:bidi="ar-SA"/>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10</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2021-06-18T00:18:00Z</dcterms:created>
  <dc:creator>微软用户</dc:creator>
  <cp:lastModifiedBy>user</cp:lastModifiedBy>
  <cp:lastPrinted>2017-11-23T16:49:00Z</cp:lastPrinted>
  <dcterms:modified xsi:type="dcterms:W3CDTF">2023-06-13T09:46:12Z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42B05AC3E2F78CE964CA87640522794E</vt:lpwstr>
  </property>
</Properties>
</file>