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津南区人民政府办公室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关于调整《津南区人民政府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重大行政决策事项目录》的通知</w:t>
      </w:r>
    </w:p>
    <w:p>
      <w:pPr>
        <w:adjustRightInd w:val="0"/>
        <w:snapToGrid w:val="0"/>
        <w:spacing w:line="54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eastAsia="仿宋_GB2312"/>
          <w:sz w:val="32"/>
          <w:szCs w:val="32"/>
        </w:rPr>
      </w:pPr>
      <w:bookmarkStart w:id="0" w:name="Zhusong"/>
      <w:r>
        <w:rPr>
          <w:rFonts w:hint="eastAsia" w:eastAsia="仿宋_GB2312"/>
          <w:sz w:val="32"/>
          <w:szCs w:val="32"/>
          <w:lang w:val="en-US" w:eastAsia="zh-CN"/>
        </w:rPr>
        <w:t>各街镇，各委、办、局，各直属单位</w:t>
      </w:r>
      <w:bookmarkEnd w:id="0"/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根据津南区202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年法治政府建设重点工作安排，结合我区实际，现对《津南区人民政府202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年度重大行政决策事项目录》进行调整，具体如下：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区科技局</w:t>
      </w:r>
      <w:r>
        <w:rPr>
          <w:rFonts w:hint="eastAsia" w:eastAsia="仿宋_GB2312"/>
          <w:color w:val="000000"/>
          <w:sz w:val="32"/>
          <w:szCs w:val="32"/>
        </w:rPr>
        <w:t>承办的《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推动天开高教科创园津南园高质量发展若干措施</w:t>
      </w:r>
      <w:r>
        <w:rPr>
          <w:rFonts w:hint="eastAsia" w:eastAsia="仿宋_GB2312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调出我区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重大行政决策事项目录。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eastAsia="仿宋_GB2312"/>
          <w:sz w:val="32"/>
          <w:szCs w:val="32"/>
          <w:lang w:val="en-US" w:eastAsia="zh-CN"/>
        </w:rPr>
        <w:t>区发展改革委承办的</w:t>
      </w:r>
      <w:r>
        <w:rPr>
          <w:rFonts w:hint="default" w:eastAsia="仿宋_GB2312" w:cs="Times New Roman"/>
          <w:color w:val="000000"/>
          <w:sz w:val="32"/>
          <w:szCs w:val="32"/>
          <w:u w:val="none" w:color="auto"/>
          <w:lang w:val="en-US" w:eastAsia="zh-CN"/>
        </w:rPr>
        <w:t>《天津市津南区可再生能源专项规划（2024-2030年）》</w:t>
      </w:r>
      <w:r>
        <w:rPr>
          <w:rFonts w:hint="eastAsia" w:eastAsia="仿宋_GB2312" w:cs="Times New Roman"/>
          <w:color w:val="000000"/>
          <w:sz w:val="32"/>
          <w:szCs w:val="32"/>
          <w:u w:val="none" w:color="auto"/>
          <w:lang w:val="en-US" w:eastAsia="zh-CN"/>
        </w:rPr>
        <w:t>、区民政局承办的</w:t>
      </w:r>
      <w:r>
        <w:rPr>
          <w:rFonts w:hint="default" w:eastAsia="仿宋_GB2312" w:cs="Times New Roman"/>
          <w:color w:val="000000"/>
          <w:sz w:val="32"/>
          <w:szCs w:val="32"/>
          <w:u w:val="none" w:color="auto"/>
          <w:lang w:val="en-US" w:eastAsia="zh-CN"/>
        </w:rPr>
        <w:t>《津南区民政服务设施布局规划（2022-2035年）》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调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重大行政决策事项目录。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津南区人民政府202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39" w:firstLineChars="606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（调整后）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2．津南区人民政府2024年度重大行政决策事项目录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39" w:firstLineChars="606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（调整前）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3" w:rightChars="611"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津南区人民政府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重大行政决策事项目录（调整后）</w:t>
      </w:r>
    </w:p>
    <w:tbl>
      <w:tblPr>
        <w:tblStyle w:val="9"/>
        <w:tblpPr w:leftFromText="180" w:rightFromText="180" w:vertAnchor="text" w:horzAnchor="page" w:tblpX="1622" w:tblpY="538"/>
        <w:tblOverlap w:val="never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739"/>
        <w:gridCol w:w="193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津南区民政服务设施布局规划（2022-2035年）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民政局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天津市津南区城市更新专项规划（2021-2035年）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区住房建设委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2024.09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57" w:rightChars="-27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天津市津南区可再生能源专项规划（2024-2030年）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发展改革委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57" w:rightChars="-27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天津市津南区再生水利用规划（2023-2035年）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区水务局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天津市津南区水网建设规划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区水务局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5" w:leftChars="-31" w:right="-57" w:rightChars="-27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2024.12</w:t>
            </w: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p>
      <w:pPr>
        <w:adjustRightInd w:val="0"/>
        <w:snapToGrid w:val="0"/>
        <w:spacing w:line="540" w:lineRule="exact"/>
        <w:ind w:right="1283" w:rightChars="611" w:firstLine="640" w:firstLineChars="20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津南区人民政府202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重大行政决策事项目录</w:t>
      </w:r>
      <w:r>
        <w:rPr>
          <w:rFonts w:hint="eastAsia" w:eastAsia="方正小标宋简体" w:cs="Times New Roman"/>
          <w:sz w:val="44"/>
          <w:szCs w:val="44"/>
          <w:lang w:eastAsia="zh-CN"/>
        </w:rPr>
        <w:t>（调整前）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9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420"/>
        <w:gridCol w:w="2355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推动天开高教科创园津南园高质量发展若干措施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区科技局、海河教育园区管委会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2024年第二季度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津南区城市更新专项规划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住房建设委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2024年第二季度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天津市津南区再生水利用规划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2024年第四季度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津南区水网建设规划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区水务局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2024年第四季度</w:t>
            </w:r>
          </w:p>
        </w:tc>
      </w:tr>
    </w:tbl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14" w:lineRule="exact"/>
      </w:pPr>
    </w:p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20" w:lineRule="exact"/>
        <w:jc w:val="center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DAC1307"/>
    <w:rsid w:val="15F51FEE"/>
    <w:rsid w:val="2BA02F26"/>
    <w:rsid w:val="4ABD0F56"/>
    <w:rsid w:val="4F667698"/>
    <w:rsid w:val="63B70639"/>
    <w:rsid w:val="6A291723"/>
    <w:rsid w:val="6BDE2561"/>
    <w:rsid w:val="6D6F6A38"/>
    <w:rsid w:val="BFFF1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toc 2"/>
    <w:basedOn w:val="1"/>
    <w:next w:val="1"/>
    <w:semiHidden/>
    <w:qFormat/>
    <w:uiPriority w:val="99"/>
    <w:pPr>
      <w:ind w:left="210"/>
      <w:jc w:val="left"/>
    </w:pPr>
    <w:rPr>
      <w:smallCaps/>
      <w:sz w:val="20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5">
    <w:name w:val="黑体"/>
    <w:basedOn w:val="1"/>
    <w:next w:val="1"/>
    <w:link w:val="18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6">
    <w:name w:val="楷体"/>
    <w:basedOn w:val="1"/>
    <w:next w:val="1"/>
    <w:link w:val="20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7">
    <w:name w:val="小标宋"/>
    <w:basedOn w:val="1"/>
    <w:next w:val="1"/>
    <w:link w:val="19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8">
    <w:name w:val="黑体 Char"/>
    <w:link w:val="15"/>
    <w:qFormat/>
    <w:uiPriority w:val="0"/>
    <w:rPr>
      <w:rFonts w:eastAsia="黑体"/>
      <w:sz w:val="32"/>
      <w:lang w:bidi="ar-SA"/>
    </w:rPr>
  </w:style>
  <w:style w:type="character" w:customStyle="1" w:styleId="19">
    <w:name w:val="小标宋 Char"/>
    <w:link w:val="17"/>
    <w:qFormat/>
    <w:uiPriority w:val="0"/>
    <w:rPr>
      <w:rFonts w:eastAsia="方正小标宋简体"/>
      <w:sz w:val="44"/>
      <w:lang w:bidi="ar-SA"/>
    </w:rPr>
  </w:style>
  <w:style w:type="character" w:customStyle="1" w:styleId="20">
    <w:name w:val="楷体 Char"/>
    <w:link w:val="16"/>
    <w:qFormat/>
    <w:uiPriority w:val="0"/>
    <w:rPr>
      <w:rFonts w:eastAsia="楷体"/>
      <w:sz w:val="32"/>
      <w:lang w:bidi="ar-SA"/>
    </w:rPr>
  </w:style>
  <w:style w:type="character" w:customStyle="1" w:styleId="2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5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2021-06-03T00:18:00Z</dcterms:created>
  <dc:creator>微软用户</dc:creator>
  <cp:lastModifiedBy>user</cp:lastModifiedBy>
  <cp:lastPrinted>2017-11-08T16:49:00Z</cp:lastPrinted>
  <dcterms:modified xsi:type="dcterms:W3CDTF">2024-12-24T16:45:08Z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31A47D5C10828B8F94746A67468427EC</vt:lpwstr>
  </property>
</Properties>
</file>