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宋体" w:eastAsia="方正小标宋简体"/>
          <w:sz w:val="44"/>
          <w:szCs w:val="44"/>
        </w:rPr>
      </w:pPr>
    </w:p>
    <w:p>
      <w:pPr>
        <w:adjustRightInd w:val="0"/>
        <w:snapToGrid w:val="0"/>
        <w:spacing w:line="540" w:lineRule="exact"/>
        <w:jc w:val="center"/>
        <w:rPr>
          <w:rFonts w:hint="eastAsia" w:ascii="方正小标宋简体" w:hAnsi="宋体" w:eastAsia="方正小标宋简体"/>
          <w:bCs/>
          <w:sz w:val="44"/>
          <w:szCs w:val="44"/>
          <w:lang w:val="en-US" w:eastAsia="zh-CN"/>
        </w:rPr>
      </w:pPr>
      <w:bookmarkStart w:id="0" w:name="Bt"/>
      <w:r>
        <w:rPr>
          <w:rFonts w:hint="eastAsia" w:ascii="方正小标宋简体" w:hAnsi="宋体" w:eastAsia="方正小标宋简体"/>
          <w:bCs/>
          <w:sz w:val="44"/>
          <w:szCs w:val="44"/>
          <w:lang w:val="en-US" w:eastAsia="zh-CN"/>
        </w:rPr>
        <w:t>津南区人民政府办公室关于印发</w:t>
      </w:r>
    </w:p>
    <w:p>
      <w:pPr>
        <w:adjustRightInd w:val="0"/>
        <w:snapToGrid w:val="0"/>
        <w:spacing w:line="540" w:lineRule="exact"/>
        <w:jc w:val="center"/>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津南区人民政府行政应诉工作实施细则的通知</w:t>
      </w:r>
      <w:bookmarkEnd w:id="0"/>
    </w:p>
    <w:p>
      <w:pPr>
        <w:adjustRightInd w:val="0"/>
        <w:snapToGrid w:val="0"/>
        <w:spacing w:line="540" w:lineRule="exact"/>
        <w:ind w:firstLine="640" w:firstLineChars="200"/>
        <w:jc w:val="right"/>
        <w:rPr>
          <w:rFonts w:hint="eastAsia" w:eastAsia="仿宋_GB2312"/>
          <w:sz w:val="32"/>
          <w:szCs w:val="32"/>
        </w:rPr>
      </w:pPr>
    </w:p>
    <w:p>
      <w:pPr>
        <w:adjustRightInd w:val="0"/>
        <w:snapToGrid w:val="0"/>
        <w:spacing w:line="540" w:lineRule="exact"/>
        <w:rPr>
          <w:rFonts w:hint="eastAsia" w:eastAsia="仿宋_GB2312"/>
          <w:sz w:val="32"/>
          <w:szCs w:val="32"/>
        </w:rPr>
      </w:pPr>
      <w:bookmarkStart w:id="1" w:name="Zhusong"/>
      <w:r>
        <w:rPr>
          <w:rFonts w:hint="eastAsia" w:eastAsia="仿宋_GB2312"/>
          <w:sz w:val="32"/>
          <w:szCs w:val="32"/>
          <w:lang w:val="en-US" w:eastAsia="zh-CN"/>
        </w:rPr>
        <w:t>各街镇，各委、办、局，各直属单位</w:t>
      </w:r>
      <w:bookmarkEnd w:id="1"/>
      <w:r>
        <w:rPr>
          <w:rFonts w:hint="eastAsia" w:eastAsia="仿宋_GB2312"/>
          <w:sz w:val="32"/>
          <w:szCs w:val="32"/>
        </w:rPr>
        <w:t>：</w:t>
      </w:r>
    </w:p>
    <w:p>
      <w:pPr>
        <w:pStyle w:val="7"/>
        <w:spacing w:before="0" w:beforeAutospacing="0" w:after="0" w:afterAutospacing="0" w:line="540" w:lineRule="exact"/>
        <w:ind w:firstLine="640" w:firstLineChars="200"/>
        <w:jc w:val="both"/>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《津南区人民政府行政应诉工作实施细则》已经区人民政府同意，现印发给你们，请照此执行。</w:t>
      </w:r>
    </w:p>
    <w:p>
      <w:pPr>
        <w:adjustRightInd w:val="0"/>
        <w:snapToGrid w:val="0"/>
        <w:spacing w:line="540" w:lineRule="exact"/>
        <w:ind w:right="1283" w:rightChars="611" w:firstLine="640" w:firstLineChars="200"/>
        <w:rPr>
          <w:rFonts w:hint="eastAsia" w:eastAsia="仿宋_GB2312"/>
          <w:sz w:val="32"/>
          <w:szCs w:val="32"/>
        </w:rPr>
      </w:pPr>
    </w:p>
    <w:p>
      <w:pPr>
        <w:adjustRightInd w:val="0"/>
        <w:snapToGrid w:val="0"/>
        <w:spacing w:line="540" w:lineRule="exact"/>
        <w:ind w:right="1283" w:rightChars="611" w:firstLine="640" w:firstLineChars="200"/>
        <w:rPr>
          <w:rFonts w:hint="eastAsia" w:eastAsia="仿宋_GB2312"/>
          <w:sz w:val="32"/>
          <w:szCs w:val="32"/>
        </w:rPr>
      </w:pPr>
    </w:p>
    <w:p>
      <w:pPr>
        <w:adjustRightInd w:val="0"/>
        <w:snapToGrid w:val="0"/>
        <w:spacing w:line="540" w:lineRule="exact"/>
        <w:ind w:right="1283" w:rightChars="611" w:firstLine="640" w:firstLineChars="200"/>
        <w:rPr>
          <w:rFonts w:hint="eastAsia" w:eastAsia="仿宋_GB2312"/>
          <w:sz w:val="32"/>
          <w:szCs w:val="32"/>
        </w:rPr>
      </w:pPr>
    </w:p>
    <w:p>
      <w:pPr>
        <w:adjustRightInd w:val="0"/>
        <w:snapToGrid w:val="0"/>
        <w:spacing w:line="540" w:lineRule="exact"/>
        <w:ind w:right="1283" w:rightChars="611" w:firstLine="640" w:firstLineChars="200"/>
        <w:jc w:val="right"/>
        <w:rPr>
          <w:rFonts w:hint="eastAsia" w:eastAsia="仿宋_GB2312"/>
          <w:sz w:val="32"/>
          <w:szCs w:val="32"/>
        </w:rPr>
      </w:pPr>
    </w:p>
    <w:p>
      <w:pPr>
        <w:adjustRightInd w:val="0"/>
        <w:snapToGrid w:val="0"/>
        <w:spacing w:line="540" w:lineRule="exact"/>
        <w:ind w:right="1283" w:rightChars="611" w:firstLine="640" w:firstLineChars="200"/>
        <w:jc w:val="right"/>
        <w:rPr>
          <w:rFonts w:eastAsia="仿宋_GB2312"/>
          <w:sz w:val="32"/>
          <w:szCs w:val="32"/>
        </w:rPr>
      </w:pPr>
      <w:r>
        <w:rPr>
          <w:rFonts w:eastAsia="仿宋_GB2312"/>
          <w:sz w:val="32"/>
          <w:szCs w:val="32"/>
        </w:rPr>
        <w:t>20</w:t>
      </w:r>
      <w:r>
        <w:rPr>
          <w:rFonts w:hint="eastAsia" w:eastAsia="仿宋_GB2312"/>
          <w:sz w:val="32"/>
          <w:szCs w:val="32"/>
          <w:lang w:val="en-US" w:eastAsia="zh-CN"/>
        </w:rPr>
        <w:t>25</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default" w:eastAsia="仿宋_GB2312"/>
          <w:sz w:val="32"/>
          <w:szCs w:val="32"/>
          <w:lang w:val="en-US" w:eastAsia="zh-CN"/>
        </w:rPr>
        <w:t>15</w:t>
      </w:r>
      <w:r>
        <w:rPr>
          <w:rFonts w:eastAsia="仿宋_GB2312"/>
          <w:sz w:val="32"/>
          <w:szCs w:val="32"/>
        </w:rPr>
        <w:t>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sz w:val="32"/>
          <w:szCs w:val="32"/>
          <w:lang w:val="en-US" w:eastAsia="zh-CN"/>
        </w:rPr>
      </w:pPr>
      <w:bookmarkStart w:id="2" w:name="xxgk"/>
      <w:r>
        <w:rPr>
          <w:rFonts w:hint="eastAsia" w:ascii="仿宋_GB2312" w:eastAsia="仿宋_GB2312"/>
          <w:sz w:val="32"/>
          <w:szCs w:val="32"/>
          <w:lang w:val="en-US" w:eastAsia="zh-CN"/>
        </w:rPr>
        <w:t>（此件主动公开</w:t>
      </w:r>
      <w:bookmarkEnd w:id="2"/>
      <w:r>
        <w:rPr>
          <w:rFonts w:hint="eastAsia" w:ascii="仿宋_GB2312" w:eastAsia="仿宋_GB2312"/>
          <w:sz w:val="32"/>
          <w:szCs w:val="32"/>
          <w:lang w:val="en-US" w:eastAsia="zh-CN"/>
        </w:rPr>
        <w:t>）</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br w:type="page"/>
      </w:r>
    </w:p>
    <w:p>
      <w:pPr>
        <w:rPr>
          <w:rFonts w:hint="eastAsia" w:ascii="仿宋_GB2312" w:eastAsia="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津南区人民政府行政应诉工作实施细则</w:t>
      </w:r>
    </w:p>
    <w:p>
      <w:pPr>
        <w:pStyle w:val="7"/>
        <w:keepNext w:val="0"/>
        <w:keepLines w:val="0"/>
        <w:pageBreakBefore w:val="0"/>
        <w:widowControl/>
        <w:suppressLineNumbers w:val="0"/>
        <w:kinsoku/>
        <w:wordWrap/>
        <w:overflowPunct/>
        <w:topLinePunct w:val="0"/>
        <w:autoSpaceDE/>
        <w:autoSpaceDN/>
        <w:bidi w:val="0"/>
        <w:adjustRightInd/>
        <w:spacing w:before="0" w:beforeAutospacing="0" w:after="0" w:afterAutospacing="0" w:line="560" w:lineRule="exact"/>
        <w:ind w:left="0" w:right="0"/>
        <w:textAlignment w:val="auto"/>
        <w:rPr>
          <w:rFonts w:hint="eastAsia" w:ascii="黑体" w:hAnsi="宋体" w:eastAsia="黑体" w:cs="黑体"/>
          <w:sz w:val="32"/>
          <w:szCs w:val="32"/>
          <w:lang w:val="en-US" w:eastAsia="zh-CN"/>
        </w:rPr>
      </w:pP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ascii="Times New Roman" w:hAnsi="Times New Roman" w:eastAsia="黑体" w:cs="黑体"/>
          <w:sz w:val="32"/>
          <w:szCs w:val="32"/>
        </w:rPr>
        <w:t>第一条</w:t>
      </w:r>
      <w:r>
        <w:rPr>
          <w:rFonts w:hint="eastAsia" w:ascii="Times New Roman" w:hAnsi="Times New Roman" w:eastAsia="黑体" w:cs="黑体"/>
          <w:sz w:val="32"/>
          <w:szCs w:val="32"/>
          <w:lang w:val="en-US" w:eastAsia="zh-CN"/>
        </w:rPr>
        <w:t>　</w:t>
      </w:r>
      <w:r>
        <w:rPr>
          <w:rFonts w:hint="eastAsia" w:ascii="Times New Roman" w:hAnsi="Times New Roman" w:eastAsia="仿宋_GB2312" w:cs="仿宋_GB2312"/>
          <w:sz w:val="32"/>
          <w:szCs w:val="32"/>
        </w:rPr>
        <w:t>为规范</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人民政府在行政诉讼活动中的应诉工作，提高行政应诉水平，促进依法行政，根据《中华人民共和国行政诉讼法》《中华人民共和国行政复议法》</w:t>
      </w:r>
      <w:r>
        <w:rPr>
          <w:rFonts w:hint="eastAsia" w:ascii="Times New Roman" w:hAnsi="Times New Roman" w:eastAsia="仿宋_GB2312" w:cs="仿宋_GB2312"/>
          <w:sz w:val="32"/>
          <w:szCs w:val="32"/>
          <w:lang w:eastAsia="zh-CN"/>
        </w:rPr>
        <w:t>和《天津市人民政府关于印发天津市人民政府行政应诉工作办法的通知》（津政发〔2017〕13号）</w:t>
      </w:r>
      <w:r>
        <w:rPr>
          <w:rFonts w:hint="eastAsia" w:ascii="Times New Roman" w:hAnsi="Times New Roman" w:eastAsia="仿宋_GB2312" w:cs="仿宋_GB2312"/>
          <w:sz w:val="32"/>
          <w:szCs w:val="32"/>
        </w:rPr>
        <w:t>的规定，结合本</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实际，制定本</w:t>
      </w:r>
      <w:r>
        <w:rPr>
          <w:rFonts w:hint="eastAsia" w:ascii="Times New Roman" w:hAnsi="Times New Roman" w:eastAsia="仿宋_GB2312" w:cs="仿宋_GB2312"/>
          <w:sz w:val="32"/>
          <w:szCs w:val="32"/>
          <w:lang w:eastAsia="zh-CN"/>
        </w:rPr>
        <w:t>细则</w:t>
      </w:r>
      <w:r>
        <w:rPr>
          <w:rFonts w:hint="eastAsia" w:ascii="Times New Roman" w:hAnsi="Times New Roman" w:eastAsia="仿宋_GB2312" w:cs="仿宋_GB2312"/>
          <w:sz w:val="32"/>
          <w:szCs w:val="32"/>
        </w:rPr>
        <w:t>。</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黑体" w:cs="黑体"/>
          <w:sz w:val="32"/>
          <w:szCs w:val="32"/>
        </w:rPr>
        <w:t>第二条</w:t>
      </w:r>
      <w:r>
        <w:rPr>
          <w:rFonts w:hint="eastAsia" w:ascii="Times New Roman" w:hAnsi="Times New Roman" w:eastAsia="黑体" w:cs="黑体"/>
          <w:sz w:val="32"/>
          <w:szCs w:val="32"/>
          <w:lang w:val="en-US" w:eastAsia="zh-CN"/>
        </w:rPr>
        <w:t>　</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人民政府的行政应诉工作适用本</w:t>
      </w:r>
      <w:r>
        <w:rPr>
          <w:rFonts w:hint="eastAsia" w:ascii="Times New Roman" w:hAnsi="Times New Roman" w:eastAsia="仿宋_GB2312" w:cs="仿宋_GB2312"/>
          <w:sz w:val="32"/>
          <w:szCs w:val="32"/>
          <w:lang w:eastAsia="zh-CN"/>
        </w:rPr>
        <w:t>细则</w:t>
      </w:r>
      <w:r>
        <w:rPr>
          <w:rFonts w:hint="eastAsia" w:ascii="Times New Roman" w:hAnsi="Times New Roman" w:eastAsia="仿宋_GB2312" w:cs="仿宋_GB2312"/>
          <w:sz w:val="32"/>
          <w:szCs w:val="32"/>
        </w:rPr>
        <w:t>。</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黑体" w:cs="黑体"/>
          <w:color w:val="auto"/>
          <w:sz w:val="32"/>
          <w:szCs w:val="32"/>
        </w:rPr>
        <w:t>第三条</w:t>
      </w:r>
      <w:r>
        <w:rPr>
          <w:rFonts w:hint="eastAsia" w:ascii="Times New Roman" w:hAnsi="Times New Roman" w:eastAsia="黑体" w:cs="黑体"/>
          <w:color w:val="auto"/>
          <w:sz w:val="32"/>
          <w:szCs w:val="32"/>
          <w:lang w:val="en-US" w:eastAsia="zh-CN"/>
        </w:rPr>
        <w:t>　</w:t>
      </w:r>
      <w:r>
        <w:rPr>
          <w:rFonts w:hint="eastAsia" w:ascii="Times New Roman" w:hAnsi="Times New Roman" w:eastAsia="仿宋_GB2312" w:cs="仿宋_GB2312"/>
          <w:color w:val="auto"/>
          <w:sz w:val="32"/>
          <w:szCs w:val="32"/>
          <w:lang w:val="en-US" w:eastAsia="zh-CN"/>
        </w:rPr>
        <w:t>区人民政府作为被告的行政应诉工作，分为一般事项、较大事项和重大事项，一般事项授权区司法局直接组织办理，较大事项报分管副区长批准，重大事项报区长批准。</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color w:val="auto"/>
          <w:sz w:val="32"/>
          <w:szCs w:val="32"/>
          <w:lang w:val="en-US" w:eastAsia="zh-CN"/>
        </w:rPr>
        <w:t>区司法局负责指导有关行政机关开展行政应诉工作，积极协同人民法院做好矛盾化解和案件调解工作。</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黑体" w:cs="黑体"/>
          <w:color w:val="auto"/>
          <w:sz w:val="32"/>
          <w:szCs w:val="32"/>
          <w:lang w:val="en-US" w:eastAsia="zh-CN"/>
        </w:rPr>
        <w:t>第四条　</w:t>
      </w:r>
      <w:r>
        <w:rPr>
          <w:rFonts w:hint="eastAsia" w:ascii="Times New Roman" w:hAnsi="Times New Roman" w:eastAsia="仿宋_GB2312" w:cs="仿宋_GB2312"/>
          <w:color w:val="auto"/>
          <w:sz w:val="32"/>
          <w:szCs w:val="32"/>
        </w:rPr>
        <w:t>各</w:t>
      </w:r>
      <w:r>
        <w:rPr>
          <w:rFonts w:hint="eastAsia" w:ascii="Times New Roman" w:hAnsi="Times New Roman" w:eastAsia="仿宋_GB2312" w:cs="仿宋_GB2312"/>
          <w:color w:val="auto"/>
          <w:sz w:val="32"/>
          <w:szCs w:val="32"/>
          <w:lang w:eastAsia="zh-CN"/>
        </w:rPr>
        <w:t>街镇</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各委、办、局，各直属单位</w:t>
      </w:r>
      <w:r>
        <w:rPr>
          <w:rFonts w:hint="eastAsia" w:ascii="Times New Roman" w:hAnsi="Times New Roman" w:eastAsia="仿宋_GB2312" w:cs="仿宋_GB2312"/>
          <w:color w:val="auto"/>
          <w:sz w:val="32"/>
          <w:szCs w:val="32"/>
        </w:rPr>
        <w:t>和受</w:t>
      </w:r>
      <w:r>
        <w:rPr>
          <w:rFonts w:hint="eastAsia" w:ascii="Times New Roman" w:hAnsi="Times New Roman" w:eastAsia="仿宋_GB2312" w:cs="仿宋_GB2312"/>
          <w:color w:val="auto"/>
          <w:sz w:val="32"/>
          <w:szCs w:val="32"/>
          <w:lang w:eastAsia="zh-CN"/>
        </w:rPr>
        <w:t>区</w:t>
      </w:r>
      <w:r>
        <w:rPr>
          <w:rFonts w:hint="eastAsia" w:ascii="Times New Roman" w:hAnsi="Times New Roman" w:eastAsia="仿宋_GB2312" w:cs="仿宋_GB2312"/>
          <w:color w:val="auto"/>
          <w:sz w:val="32"/>
          <w:szCs w:val="32"/>
        </w:rPr>
        <w:t>人民政府委托的组织，</w:t>
      </w:r>
      <w:r>
        <w:rPr>
          <w:rFonts w:hint="eastAsia" w:ascii="Times New Roman" w:hAnsi="Times New Roman" w:eastAsia="仿宋_GB2312" w:cs="仿宋_GB2312"/>
          <w:sz w:val="32"/>
          <w:szCs w:val="32"/>
        </w:rPr>
        <w:t>应当依据各自职责，按照“谁主管（作出）、谁负责、谁应诉”的原则，具体承办以</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人民政府为被告的涉及本单位主管事务的应诉工作，并承担相关举证责任。</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区人民政府因履行行政复议职责被诉作</w:t>
      </w:r>
      <w:r>
        <w:rPr>
          <w:rFonts w:hint="eastAsia" w:ascii="Times New Roman" w:hAnsi="Times New Roman" w:eastAsia="仿宋_GB2312" w:cs="仿宋_GB2312"/>
          <w:sz w:val="32"/>
          <w:szCs w:val="32"/>
        </w:rPr>
        <w:t>为被告的案件，</w:t>
      </w:r>
      <w:r>
        <w:rPr>
          <w:rFonts w:hint="eastAsia" w:ascii="Times New Roman" w:hAnsi="Times New Roman" w:eastAsia="仿宋_GB2312" w:cs="仿宋_GB2312"/>
          <w:sz w:val="32"/>
          <w:szCs w:val="32"/>
          <w:lang w:eastAsia="zh-CN"/>
        </w:rPr>
        <w:t>由区司法局</w:t>
      </w:r>
      <w:r>
        <w:rPr>
          <w:rFonts w:hint="eastAsia" w:ascii="Times New Roman" w:hAnsi="Times New Roman" w:eastAsia="仿宋_GB2312" w:cs="仿宋_GB2312"/>
          <w:sz w:val="32"/>
          <w:szCs w:val="32"/>
        </w:rPr>
        <w:t>作为应诉事务承办单位。</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区人民政府</w:t>
      </w:r>
      <w:r>
        <w:rPr>
          <w:rFonts w:hint="eastAsia" w:ascii="Times New Roman" w:hAnsi="Times New Roman" w:eastAsia="仿宋_GB2312" w:cs="仿宋_GB2312"/>
          <w:sz w:val="32"/>
          <w:szCs w:val="32"/>
          <w:lang w:eastAsia="zh-CN"/>
        </w:rPr>
        <w:t>非因履行行政复议职责被诉作</w:t>
      </w:r>
      <w:r>
        <w:rPr>
          <w:rFonts w:hint="eastAsia" w:ascii="Times New Roman" w:hAnsi="Times New Roman" w:eastAsia="仿宋_GB2312" w:cs="仿宋_GB2312"/>
          <w:sz w:val="32"/>
          <w:szCs w:val="32"/>
        </w:rPr>
        <w:t>为被告的案件，</w:t>
      </w:r>
      <w:r>
        <w:rPr>
          <w:rFonts w:hint="eastAsia" w:ascii="Times New Roman" w:hAnsi="Times New Roman" w:eastAsia="仿宋_GB2312" w:cs="仿宋_GB2312"/>
          <w:sz w:val="32"/>
          <w:szCs w:val="32"/>
          <w:lang w:eastAsia="zh-CN"/>
        </w:rPr>
        <w:t>由被诉事务的</w:t>
      </w:r>
      <w:r>
        <w:rPr>
          <w:rFonts w:hint="eastAsia" w:ascii="Times New Roman" w:hAnsi="Times New Roman" w:eastAsia="仿宋_GB2312" w:cs="仿宋_GB2312"/>
          <w:sz w:val="32"/>
          <w:szCs w:val="32"/>
        </w:rPr>
        <w:t>主管单位作为应诉事务承办单位。</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五</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　</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人民政府的行政诉讼案件的应诉事务承办单位应当履行</w:t>
      </w:r>
      <w:r>
        <w:rPr>
          <w:rFonts w:hint="eastAsia" w:ascii="Times New Roman" w:hAnsi="Times New Roman" w:eastAsia="仿宋_GB2312" w:cs="仿宋_GB2312"/>
          <w:sz w:val="32"/>
          <w:szCs w:val="32"/>
          <w:lang w:eastAsia="zh-CN"/>
        </w:rPr>
        <w:t>以下</w:t>
      </w:r>
      <w:r>
        <w:rPr>
          <w:rFonts w:hint="eastAsia" w:ascii="Times New Roman" w:hAnsi="Times New Roman" w:eastAsia="仿宋_GB2312" w:cs="仿宋_GB2312"/>
          <w:sz w:val="32"/>
          <w:szCs w:val="32"/>
        </w:rPr>
        <w:t>应诉职责</w:t>
      </w:r>
      <w:r>
        <w:rPr>
          <w:rFonts w:hint="eastAsia" w:ascii="Times New Roman" w:hAnsi="Times New Roman" w:eastAsia="仿宋_GB2312" w:cs="仿宋_GB2312"/>
          <w:sz w:val="32"/>
          <w:szCs w:val="32"/>
          <w:lang w:eastAsia="zh-CN"/>
        </w:rPr>
        <w:t>：</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val="en-US" w:eastAsia="zh-CN"/>
        </w:rPr>
        <w:t>（一）</w:t>
      </w:r>
      <w:r>
        <w:rPr>
          <w:rFonts w:hint="eastAsia" w:ascii="Times New Roman" w:hAnsi="Times New Roman" w:eastAsia="仿宋_GB2312" w:cs="仿宋_GB2312"/>
          <w:sz w:val="32"/>
          <w:szCs w:val="32"/>
          <w:lang w:eastAsia="zh-CN"/>
        </w:rPr>
        <w:t>认真</w:t>
      </w:r>
      <w:r>
        <w:rPr>
          <w:rFonts w:hint="eastAsia" w:ascii="Times New Roman" w:hAnsi="Times New Roman" w:eastAsia="仿宋_GB2312" w:cs="仿宋_GB2312"/>
          <w:sz w:val="32"/>
          <w:szCs w:val="32"/>
        </w:rPr>
        <w:t>准备答辩材料</w:t>
      </w:r>
      <w:r>
        <w:rPr>
          <w:rFonts w:hint="eastAsia" w:ascii="Times New Roman" w:hAnsi="Times New Roman" w:eastAsia="仿宋_GB2312" w:cs="仿宋_GB2312"/>
          <w:sz w:val="32"/>
          <w:szCs w:val="32"/>
          <w:lang w:eastAsia="zh-CN"/>
        </w:rPr>
        <w:t>并在法定期限内提交人民法院；</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（二）指派</w:t>
      </w:r>
      <w:r>
        <w:rPr>
          <w:rFonts w:hint="eastAsia" w:ascii="Times New Roman" w:hAnsi="Times New Roman" w:eastAsia="仿宋_GB2312" w:cs="仿宋_GB2312"/>
          <w:color w:val="auto"/>
          <w:sz w:val="32"/>
          <w:szCs w:val="32"/>
          <w:lang w:eastAsia="zh-CN"/>
        </w:rPr>
        <w:t>至少</w:t>
      </w:r>
      <w:r>
        <w:rPr>
          <w:rFonts w:hint="eastAsia" w:ascii="Times New Roman" w:hAnsi="Times New Roman" w:eastAsia="仿宋_GB2312" w:cs="仿宋_GB2312"/>
          <w:color w:val="auto"/>
          <w:sz w:val="32"/>
          <w:szCs w:val="32"/>
          <w:lang w:val="en-US" w:eastAsia="zh-CN"/>
        </w:rPr>
        <w:t>1名</w:t>
      </w:r>
      <w:r>
        <w:rPr>
          <w:rFonts w:hint="eastAsia" w:ascii="Times New Roman" w:hAnsi="Times New Roman" w:eastAsia="仿宋_GB2312" w:cs="仿宋_GB2312"/>
          <w:color w:val="auto"/>
          <w:sz w:val="32"/>
          <w:szCs w:val="32"/>
          <w:lang w:eastAsia="zh-CN"/>
        </w:rPr>
        <w:t>熟悉被诉事务且具备行政应诉经验的工作人员（可同时委托</w:t>
      </w:r>
      <w:r>
        <w:rPr>
          <w:rFonts w:hint="eastAsia" w:ascii="Times New Roman" w:hAnsi="Times New Roman" w:eastAsia="仿宋_GB2312" w:cs="仿宋_GB2312"/>
          <w:color w:val="auto"/>
          <w:sz w:val="32"/>
          <w:szCs w:val="32"/>
          <w:lang w:val="en-US" w:eastAsia="zh-CN"/>
        </w:rPr>
        <w:t>1名律师，但不能仅委托律师而无行政机关工作人员</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sz w:val="32"/>
          <w:szCs w:val="32"/>
          <w:lang w:eastAsia="zh-CN"/>
        </w:rPr>
        <w:t>作为区人民政府的委托代理人按时参加法院庭审活动；</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（三）对人民法院发出行政机关负责人出庭应诉通知，需要区人民政府负责人出庭应诉的案件，协调区人民政府负责人出庭应诉；</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（四）对诉讼过程中直接收到的法院文书，及时报区政府。</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仿宋_GB2312" w:cs="仿宋_GB2312"/>
          <w:sz w:val="32"/>
          <w:szCs w:val="32"/>
        </w:rPr>
        <w:t>答辩材料应当包括以下内容：</w:t>
      </w:r>
      <w:r>
        <w:rPr>
          <w:rFonts w:ascii="Times New Roman" w:hAnsi="Times New Roman"/>
          <w:sz w:val="32"/>
          <w:szCs w:val="32"/>
        </w:rPr>
        <w:t xml:space="preserve"> </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仿宋_GB2312" w:cs="仿宋_GB2312"/>
          <w:sz w:val="32"/>
          <w:szCs w:val="32"/>
        </w:rPr>
        <w:t>（一）答辩状代拟稿；</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仿宋_GB2312" w:cs="仿宋_GB2312"/>
          <w:sz w:val="32"/>
          <w:szCs w:val="32"/>
        </w:rPr>
        <w:t>（二）作出行政行为的证据和所依据的规范性文件；</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仿宋_GB2312" w:cs="仿宋_GB2312"/>
          <w:sz w:val="32"/>
          <w:szCs w:val="32"/>
        </w:rPr>
        <w:t>（三）其他需要提交的材料。</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授权委托书应当载明诉讼代理人的基本情况、代理事项、代理权限等内容。</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六</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　</w:t>
      </w:r>
      <w:r>
        <w:rPr>
          <w:rFonts w:hint="eastAsia" w:ascii="Times New Roman" w:hAnsi="Times New Roman" w:eastAsia="仿宋_GB2312" w:cs="仿宋_GB2312"/>
          <w:sz w:val="32"/>
          <w:szCs w:val="32"/>
          <w:lang w:eastAsia="zh-CN"/>
        </w:rPr>
        <w:t>被委托作为区人民政府的委托</w:t>
      </w:r>
      <w:r>
        <w:rPr>
          <w:rFonts w:hint="eastAsia" w:ascii="Times New Roman" w:hAnsi="Times New Roman" w:eastAsia="仿宋_GB2312" w:cs="仿宋_GB2312"/>
          <w:sz w:val="32"/>
          <w:szCs w:val="32"/>
        </w:rPr>
        <w:t>代理人应当按照人民法院的通知，准时参加诉讼活</w:t>
      </w:r>
      <w:r>
        <w:rPr>
          <w:rFonts w:hint="eastAsia" w:ascii="Times New Roman" w:hAnsi="Times New Roman" w:eastAsia="仿宋_GB2312" w:cs="仿宋_GB2312"/>
          <w:sz w:val="32"/>
          <w:szCs w:val="32"/>
          <w:lang w:eastAsia="zh-CN"/>
        </w:rPr>
        <w:t>动；</w:t>
      </w:r>
      <w:r>
        <w:rPr>
          <w:rFonts w:hint="eastAsia" w:ascii="Times New Roman" w:hAnsi="Times New Roman" w:eastAsia="仿宋_GB2312" w:cs="仿宋_GB2312"/>
          <w:sz w:val="32"/>
          <w:szCs w:val="32"/>
        </w:rPr>
        <w:t>必须严格履行职责，自觉践行社会主义核心价值观，在委托权限范围内进行诉讼活动，及时向</w:t>
      </w:r>
      <w:r>
        <w:rPr>
          <w:rFonts w:hint="eastAsia" w:ascii="Times New Roman" w:hAnsi="Times New Roman" w:eastAsia="仿宋_GB2312" w:cs="仿宋_GB2312"/>
          <w:sz w:val="32"/>
          <w:szCs w:val="32"/>
          <w:lang w:eastAsia="zh-CN"/>
        </w:rPr>
        <w:t>本单位及区</w:t>
      </w:r>
      <w:r>
        <w:rPr>
          <w:rFonts w:hint="eastAsia" w:ascii="Times New Roman" w:hAnsi="Times New Roman" w:eastAsia="仿宋_GB2312" w:cs="仿宋_GB2312"/>
          <w:sz w:val="32"/>
          <w:szCs w:val="32"/>
        </w:rPr>
        <w:t>人民政府书面报告诉讼过程中的重大问题。</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七</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　</w:t>
      </w:r>
      <w:r>
        <w:rPr>
          <w:rFonts w:hint="eastAsia" w:ascii="Times New Roman" w:hAnsi="Times New Roman" w:eastAsia="仿宋_GB2312" w:cs="仿宋_GB2312"/>
          <w:color w:val="auto"/>
          <w:sz w:val="32"/>
          <w:szCs w:val="32"/>
          <w:lang w:eastAsia="zh-CN"/>
        </w:rPr>
        <w:t>区</w:t>
      </w:r>
      <w:r>
        <w:rPr>
          <w:rFonts w:hint="eastAsia" w:ascii="Times New Roman" w:hAnsi="Times New Roman" w:eastAsia="仿宋_GB2312" w:cs="仿宋_GB2312"/>
          <w:color w:val="auto"/>
          <w:sz w:val="32"/>
          <w:szCs w:val="32"/>
        </w:rPr>
        <w:t>政府办公</w:t>
      </w:r>
      <w:r>
        <w:rPr>
          <w:rFonts w:hint="eastAsia" w:ascii="Times New Roman" w:hAnsi="Times New Roman" w:eastAsia="仿宋_GB2312" w:cs="仿宋_GB2312"/>
          <w:color w:val="auto"/>
          <w:sz w:val="32"/>
          <w:szCs w:val="32"/>
          <w:lang w:eastAsia="zh-CN"/>
        </w:rPr>
        <w:t>室</w:t>
      </w:r>
      <w:r>
        <w:rPr>
          <w:rFonts w:hint="eastAsia" w:ascii="Times New Roman" w:hAnsi="Times New Roman" w:eastAsia="仿宋_GB2312" w:cs="仿宋_GB2312"/>
          <w:color w:val="auto"/>
          <w:sz w:val="32"/>
          <w:szCs w:val="32"/>
        </w:rPr>
        <w:t>收到以</w:t>
      </w:r>
      <w:r>
        <w:rPr>
          <w:rFonts w:hint="eastAsia" w:ascii="Times New Roman" w:hAnsi="Times New Roman" w:eastAsia="仿宋_GB2312" w:cs="仿宋_GB2312"/>
          <w:color w:val="auto"/>
          <w:sz w:val="32"/>
          <w:szCs w:val="32"/>
          <w:lang w:eastAsia="zh-CN"/>
        </w:rPr>
        <w:t>区</w:t>
      </w:r>
      <w:r>
        <w:rPr>
          <w:rFonts w:hint="eastAsia" w:ascii="Times New Roman" w:hAnsi="Times New Roman" w:eastAsia="仿宋_GB2312" w:cs="仿宋_GB2312"/>
          <w:color w:val="auto"/>
          <w:sz w:val="32"/>
          <w:szCs w:val="32"/>
        </w:rPr>
        <w:t>人民政府为被告的应诉通知书（起诉状副本）后，</w:t>
      </w:r>
      <w:r>
        <w:rPr>
          <w:rFonts w:hint="eastAsia" w:ascii="Times New Roman" w:hAnsi="Times New Roman" w:eastAsia="仿宋_GB2312" w:cs="仿宋_GB2312"/>
          <w:color w:val="auto"/>
          <w:sz w:val="32"/>
          <w:szCs w:val="32"/>
          <w:lang w:eastAsia="zh-CN"/>
        </w:rPr>
        <w:t>直接转送区司法局，由区司法局按照本细则第四条规定</w:t>
      </w:r>
      <w:r>
        <w:rPr>
          <w:rFonts w:hint="eastAsia" w:ascii="Times New Roman" w:hAnsi="Times New Roman" w:eastAsia="仿宋_GB2312" w:cs="仿宋_GB2312"/>
          <w:color w:val="auto"/>
          <w:sz w:val="32"/>
          <w:szCs w:val="32"/>
        </w:rPr>
        <w:t>直接转送</w:t>
      </w:r>
      <w:r>
        <w:rPr>
          <w:rFonts w:hint="eastAsia" w:ascii="Times New Roman" w:hAnsi="Times New Roman" w:eastAsia="仿宋_GB2312" w:cs="仿宋_GB2312"/>
          <w:color w:val="auto"/>
          <w:sz w:val="32"/>
          <w:szCs w:val="32"/>
          <w:lang w:eastAsia="zh-CN"/>
        </w:rPr>
        <w:t>具体承办单位</w:t>
      </w:r>
      <w:r>
        <w:rPr>
          <w:rFonts w:hint="eastAsia" w:ascii="Times New Roman" w:hAnsi="Times New Roman" w:eastAsia="仿宋_GB2312" w:cs="仿宋_GB2312"/>
          <w:color w:val="auto"/>
          <w:sz w:val="32"/>
          <w:szCs w:val="32"/>
        </w:rPr>
        <w:t>，由</w:t>
      </w:r>
      <w:r>
        <w:rPr>
          <w:rFonts w:hint="eastAsia" w:ascii="Times New Roman" w:hAnsi="Times New Roman" w:eastAsia="仿宋_GB2312" w:cs="仿宋_GB2312"/>
          <w:color w:val="auto"/>
          <w:sz w:val="32"/>
          <w:szCs w:val="32"/>
          <w:lang w:eastAsia="zh-CN"/>
        </w:rPr>
        <w:t>具体承办单位按</w:t>
      </w:r>
      <w:r>
        <w:rPr>
          <w:rFonts w:hint="eastAsia" w:ascii="Times New Roman" w:hAnsi="Times New Roman" w:eastAsia="仿宋_GB2312" w:cs="仿宋_GB2312"/>
          <w:color w:val="auto"/>
          <w:sz w:val="32"/>
          <w:szCs w:val="32"/>
        </w:rPr>
        <w:t>规定</w:t>
      </w:r>
      <w:r>
        <w:rPr>
          <w:rFonts w:hint="eastAsia" w:ascii="Times New Roman" w:hAnsi="Times New Roman" w:eastAsia="仿宋_GB2312" w:cs="仿宋_GB2312"/>
          <w:color w:val="auto"/>
          <w:sz w:val="32"/>
          <w:szCs w:val="32"/>
          <w:lang w:eastAsia="zh-CN"/>
        </w:rPr>
        <w:t>负责承办具体应诉事宜</w:t>
      </w:r>
      <w:r>
        <w:rPr>
          <w:rFonts w:hint="eastAsia" w:ascii="Times New Roman" w:hAnsi="Times New Roman" w:eastAsia="仿宋_GB2312" w:cs="仿宋_GB2312"/>
          <w:color w:val="auto"/>
          <w:sz w:val="32"/>
          <w:szCs w:val="32"/>
        </w:rPr>
        <w:t>。</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color w:val="auto"/>
          <w:sz w:val="32"/>
          <w:szCs w:val="32"/>
          <w:lang w:eastAsia="zh-CN"/>
        </w:rPr>
        <w:t>具体</w:t>
      </w:r>
      <w:r>
        <w:rPr>
          <w:rFonts w:hint="eastAsia" w:ascii="Times New Roman" w:hAnsi="Times New Roman" w:eastAsia="仿宋_GB2312" w:cs="仿宋_GB2312"/>
          <w:color w:val="auto"/>
          <w:sz w:val="32"/>
          <w:szCs w:val="32"/>
        </w:rPr>
        <w:t>承办单位不明确的，由</w:t>
      </w:r>
      <w:r>
        <w:rPr>
          <w:rFonts w:hint="eastAsia" w:ascii="Times New Roman" w:hAnsi="Times New Roman" w:eastAsia="仿宋_GB2312" w:cs="仿宋_GB2312"/>
          <w:color w:val="auto"/>
          <w:sz w:val="32"/>
          <w:szCs w:val="32"/>
          <w:lang w:eastAsia="zh-CN"/>
        </w:rPr>
        <w:t>区司法局</w:t>
      </w:r>
      <w:r>
        <w:rPr>
          <w:rFonts w:hint="eastAsia" w:ascii="Times New Roman" w:hAnsi="Times New Roman" w:eastAsia="仿宋_GB2312" w:cs="仿宋_GB2312"/>
          <w:color w:val="auto"/>
          <w:sz w:val="32"/>
          <w:szCs w:val="32"/>
        </w:rPr>
        <w:t>根据诉讼事项报</w:t>
      </w:r>
      <w:r>
        <w:rPr>
          <w:rFonts w:hint="eastAsia" w:ascii="Times New Roman" w:hAnsi="Times New Roman" w:eastAsia="仿宋_GB2312" w:cs="仿宋_GB2312"/>
          <w:color w:val="auto"/>
          <w:sz w:val="32"/>
          <w:szCs w:val="32"/>
          <w:lang w:eastAsia="zh-CN"/>
        </w:rPr>
        <w:t>区</w:t>
      </w:r>
      <w:r>
        <w:rPr>
          <w:rFonts w:hint="eastAsia" w:ascii="Times New Roman" w:hAnsi="Times New Roman" w:eastAsia="仿宋_GB2312" w:cs="仿宋_GB2312"/>
          <w:color w:val="auto"/>
          <w:sz w:val="32"/>
          <w:szCs w:val="32"/>
        </w:rPr>
        <w:t>人民政府领导同志确定</w:t>
      </w:r>
      <w:r>
        <w:rPr>
          <w:rFonts w:hint="eastAsia" w:ascii="Times New Roman" w:hAnsi="Times New Roman" w:eastAsia="仿宋_GB2312" w:cs="仿宋_GB2312"/>
          <w:color w:val="auto"/>
          <w:sz w:val="32"/>
          <w:szCs w:val="32"/>
          <w:lang w:eastAsia="zh-CN"/>
        </w:rPr>
        <w:t>。</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政府办公</w:t>
      </w:r>
      <w:r>
        <w:rPr>
          <w:rFonts w:hint="eastAsia" w:ascii="Times New Roman" w:hAnsi="Times New Roman" w:eastAsia="仿宋_GB2312" w:cs="仿宋_GB2312"/>
          <w:sz w:val="32"/>
          <w:szCs w:val="32"/>
          <w:lang w:eastAsia="zh-CN"/>
        </w:rPr>
        <w:t>室</w:t>
      </w:r>
      <w:r>
        <w:rPr>
          <w:rFonts w:hint="eastAsia" w:ascii="Times New Roman" w:hAnsi="Times New Roman" w:eastAsia="仿宋_GB2312" w:cs="仿宋_GB2312"/>
          <w:sz w:val="32"/>
          <w:szCs w:val="32"/>
        </w:rPr>
        <w:t>配合应诉事务承办单位做好有关应诉工作</w:t>
      </w:r>
      <w:r>
        <w:rPr>
          <w:rFonts w:hint="eastAsia" w:ascii="Times New Roman" w:hAnsi="Times New Roman" w:eastAsia="仿宋_GB2312" w:cs="仿宋_GB2312"/>
          <w:sz w:val="32"/>
          <w:szCs w:val="32"/>
          <w:lang w:eastAsia="zh-CN"/>
        </w:rPr>
        <w:t>的协调及</w:t>
      </w:r>
      <w:r>
        <w:rPr>
          <w:rFonts w:hint="eastAsia" w:ascii="Times New Roman" w:hAnsi="Times New Roman" w:eastAsia="仿宋_GB2312" w:cs="仿宋_GB2312"/>
          <w:sz w:val="32"/>
          <w:szCs w:val="32"/>
        </w:rPr>
        <w:t>行政诉讼答辩状、法定代表人身份证明书、授权委托书等文书上加盖</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人民政府公章</w:t>
      </w:r>
      <w:r>
        <w:rPr>
          <w:rFonts w:hint="eastAsia" w:ascii="Times New Roman" w:hAnsi="Times New Roman" w:eastAsia="仿宋_GB2312" w:cs="仿宋_GB2312"/>
          <w:sz w:val="32"/>
          <w:szCs w:val="32"/>
          <w:lang w:eastAsia="zh-CN"/>
        </w:rPr>
        <w:t>等工作</w:t>
      </w:r>
      <w:r>
        <w:rPr>
          <w:rFonts w:hint="eastAsia" w:ascii="Times New Roman" w:hAnsi="Times New Roman" w:eastAsia="仿宋_GB2312" w:cs="仿宋_GB2312"/>
          <w:sz w:val="32"/>
          <w:szCs w:val="32"/>
        </w:rPr>
        <w:t>。</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八</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　</w:t>
      </w:r>
      <w:r>
        <w:rPr>
          <w:rFonts w:hint="eastAsia" w:ascii="Times New Roman" w:hAnsi="Times New Roman" w:eastAsia="仿宋_GB2312" w:cs="仿宋_GB2312"/>
          <w:sz w:val="32"/>
          <w:szCs w:val="32"/>
        </w:rPr>
        <w:t>人民法院作出撤销（含重新作出行政行为）、确认违法、无效、变更、责令履行职责、履行给付义务或者承担赔偿责任等</w:t>
      </w:r>
      <w:r>
        <w:rPr>
          <w:rFonts w:hint="eastAsia" w:ascii="Times New Roman" w:hAnsi="Times New Roman" w:eastAsia="仿宋_GB2312" w:cs="仿宋_GB2312"/>
          <w:sz w:val="32"/>
          <w:szCs w:val="32"/>
          <w:lang w:eastAsia="zh-CN"/>
        </w:rPr>
        <w:t>区人民政府行政诉讼败诉案件</w:t>
      </w:r>
      <w:r>
        <w:rPr>
          <w:rFonts w:hint="eastAsia" w:ascii="Times New Roman" w:hAnsi="Times New Roman" w:eastAsia="仿宋_GB2312" w:cs="仿宋_GB2312"/>
          <w:sz w:val="32"/>
          <w:szCs w:val="32"/>
        </w:rPr>
        <w:t>，应诉事务承办单位应当在败诉法律文书生效后</w:t>
      </w:r>
      <w:r>
        <w:rPr>
          <w:rFonts w:ascii="Times New Roman" w:hAnsi="Times New Roman"/>
          <w:sz w:val="32"/>
          <w:szCs w:val="32"/>
        </w:rPr>
        <w:t>30</w:t>
      </w:r>
      <w:r>
        <w:rPr>
          <w:rFonts w:hint="eastAsia" w:ascii="Times New Roman" w:hAnsi="Times New Roman" w:eastAsia="仿宋_GB2312" w:cs="仿宋_GB2312"/>
          <w:sz w:val="32"/>
          <w:szCs w:val="32"/>
        </w:rPr>
        <w:t>日内，向</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人民政府提交败诉分析报告，并抄送</w:t>
      </w:r>
      <w:r>
        <w:rPr>
          <w:rFonts w:hint="eastAsia" w:ascii="Times New Roman" w:hAnsi="Times New Roman" w:eastAsia="仿宋_GB2312" w:cs="仿宋_GB2312"/>
          <w:sz w:val="32"/>
          <w:szCs w:val="32"/>
          <w:lang w:eastAsia="zh-CN"/>
        </w:rPr>
        <w:t>区司法局</w:t>
      </w:r>
      <w:r>
        <w:rPr>
          <w:rFonts w:hint="eastAsia" w:ascii="Times New Roman" w:hAnsi="Times New Roman" w:eastAsia="仿宋_GB2312" w:cs="仿宋_GB2312"/>
          <w:sz w:val="32"/>
          <w:szCs w:val="32"/>
        </w:rPr>
        <w:t>。</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仿宋_GB2312" w:cs="仿宋_GB2312"/>
          <w:sz w:val="32"/>
          <w:szCs w:val="32"/>
        </w:rPr>
        <w:t>败诉分析报告应当包括以下内容：</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仿宋_GB2312" w:cs="仿宋_GB2312"/>
          <w:sz w:val="32"/>
          <w:szCs w:val="32"/>
        </w:rPr>
        <w:t>（一）诉讼案件的基本案情；</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仿宋_GB2312" w:cs="仿宋_GB2312"/>
          <w:sz w:val="32"/>
          <w:szCs w:val="32"/>
        </w:rPr>
        <w:t>（二）人民法院的判决结果；</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仿宋_GB2312" w:cs="仿宋_GB2312"/>
          <w:sz w:val="32"/>
          <w:szCs w:val="32"/>
        </w:rPr>
        <w:t>（三）有关的工作建议、意见和整改落实措施；</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仿宋_GB2312" w:cs="仿宋_GB2312"/>
          <w:sz w:val="32"/>
          <w:szCs w:val="32"/>
        </w:rPr>
        <w:t>（四）其他需要说明的事项。</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九</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　</w:t>
      </w:r>
      <w:r>
        <w:rPr>
          <w:rFonts w:hint="eastAsia" w:ascii="Times New Roman" w:hAnsi="Times New Roman" w:eastAsia="仿宋_GB2312" w:cs="仿宋_GB2312"/>
          <w:sz w:val="32"/>
          <w:szCs w:val="32"/>
        </w:rPr>
        <w:t>应诉事务承办单位对人民法院作出的第一审判决或者裁定不服，应当报请区人民政府同意后，依法向人民法院</w:t>
      </w:r>
      <w:r>
        <w:rPr>
          <w:rFonts w:hint="eastAsia" w:ascii="Times New Roman" w:hAnsi="Times New Roman" w:eastAsia="仿宋_GB2312" w:cs="仿宋_GB2312"/>
          <w:sz w:val="32"/>
          <w:szCs w:val="32"/>
          <w:lang w:eastAsia="zh-CN"/>
        </w:rPr>
        <w:t>提起上诉</w:t>
      </w:r>
      <w:r>
        <w:rPr>
          <w:rFonts w:hint="eastAsia" w:ascii="Times New Roman" w:hAnsi="Times New Roman" w:eastAsia="仿宋_GB2312" w:cs="仿宋_GB2312"/>
          <w:sz w:val="32"/>
          <w:szCs w:val="32"/>
        </w:rPr>
        <w:t>。</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黑体" w:cs="黑体"/>
          <w:sz w:val="32"/>
          <w:szCs w:val="32"/>
        </w:rPr>
        <w:t>第</w:t>
      </w:r>
      <w:r>
        <w:rPr>
          <w:rFonts w:hint="eastAsia" w:ascii="Times New Roman" w:hAnsi="Times New Roman" w:eastAsia="黑体" w:cs="黑体"/>
          <w:sz w:val="32"/>
          <w:szCs w:val="32"/>
          <w:lang w:eastAsia="zh-CN"/>
        </w:rPr>
        <w:t>十</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　</w:t>
      </w:r>
      <w:r>
        <w:rPr>
          <w:rFonts w:hint="eastAsia" w:ascii="Times New Roman" w:hAnsi="Times New Roman" w:eastAsia="仿宋_GB2312" w:cs="仿宋_GB2312"/>
          <w:sz w:val="32"/>
          <w:szCs w:val="32"/>
        </w:rPr>
        <w:t>原告或者有关当事人对人民法院作出的第一审判决或者裁定不服提起上诉的，第一审应诉事务承办单位应当作为上诉案件的应诉事务承办单位，按照本</w:t>
      </w:r>
      <w:r>
        <w:rPr>
          <w:rFonts w:hint="eastAsia" w:ascii="Times New Roman" w:hAnsi="Times New Roman" w:eastAsia="仿宋_GB2312" w:cs="仿宋_GB2312"/>
          <w:sz w:val="32"/>
          <w:szCs w:val="32"/>
          <w:lang w:eastAsia="zh-CN"/>
        </w:rPr>
        <w:t>细则</w:t>
      </w:r>
      <w:r>
        <w:rPr>
          <w:rFonts w:hint="eastAsia" w:ascii="Times New Roman" w:hAnsi="Times New Roman" w:eastAsia="仿宋_GB2312" w:cs="仿宋_GB2312"/>
          <w:sz w:val="32"/>
          <w:szCs w:val="32"/>
        </w:rPr>
        <w:t>的规定做好上诉案件的应诉工作。</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eastAsia="zh-CN"/>
        </w:rPr>
        <w:t>一</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　</w:t>
      </w:r>
      <w:r>
        <w:rPr>
          <w:rFonts w:hint="eastAsia" w:ascii="Times New Roman" w:hAnsi="Times New Roman" w:eastAsia="仿宋_GB2312" w:cs="仿宋_GB2312"/>
          <w:sz w:val="32"/>
          <w:szCs w:val="32"/>
        </w:rPr>
        <w:t>应诉事务承办单位认为人民法院作出的终审判决或者裁定确有错误的，应当报请</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人民政府同意后，依法向人民法院申请再审。</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eastAsia="zh-CN"/>
        </w:rPr>
        <w:t>二</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　</w:t>
      </w:r>
      <w:r>
        <w:rPr>
          <w:rFonts w:hint="eastAsia" w:ascii="Times New Roman" w:hAnsi="Times New Roman" w:eastAsia="仿宋_GB2312" w:cs="仿宋_GB2312"/>
          <w:sz w:val="32"/>
          <w:szCs w:val="32"/>
        </w:rPr>
        <w:t>原告或者有关当事人拒绝履行人民法院发生法律效力的判决或者裁定的，应诉事务承办单位应当</w:t>
      </w:r>
      <w:r>
        <w:rPr>
          <w:rFonts w:hint="eastAsia" w:ascii="Times New Roman" w:hAnsi="Times New Roman" w:eastAsia="仿宋_GB2312" w:cs="仿宋_GB2312"/>
          <w:sz w:val="32"/>
          <w:szCs w:val="32"/>
          <w:lang w:eastAsia="zh-CN"/>
        </w:rPr>
        <w:t>在法定期限内</w:t>
      </w:r>
      <w:r>
        <w:rPr>
          <w:rFonts w:hint="eastAsia" w:ascii="Times New Roman" w:hAnsi="Times New Roman" w:eastAsia="仿宋_GB2312" w:cs="仿宋_GB2312"/>
          <w:sz w:val="32"/>
          <w:szCs w:val="32"/>
        </w:rPr>
        <w:t>向</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人民政府提出申请人民法院强制执行或者依法强制执行的建议</w:t>
      </w:r>
      <w:r>
        <w:rPr>
          <w:rFonts w:hint="eastAsia" w:ascii="Times New Roman" w:hAnsi="Times New Roman" w:eastAsia="仿宋_GB2312" w:cs="仿宋_GB2312"/>
          <w:sz w:val="32"/>
          <w:szCs w:val="32"/>
          <w:lang w:eastAsia="zh-CN"/>
        </w:rPr>
        <w:t>，经区政府同意后具体负责相关事宜</w:t>
      </w:r>
      <w:r>
        <w:rPr>
          <w:rFonts w:hint="eastAsia" w:ascii="Times New Roman" w:hAnsi="Times New Roman" w:eastAsia="仿宋_GB2312" w:cs="仿宋_GB2312"/>
          <w:sz w:val="32"/>
          <w:szCs w:val="32"/>
        </w:rPr>
        <w:t>。</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eastAsia="zh-CN"/>
        </w:rPr>
        <w:t>三</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　</w:t>
      </w:r>
      <w:r>
        <w:rPr>
          <w:rFonts w:hint="eastAsia" w:ascii="Times New Roman" w:hAnsi="Times New Roman" w:eastAsia="仿宋_GB2312" w:cs="仿宋_GB2312"/>
          <w:sz w:val="32"/>
          <w:szCs w:val="32"/>
        </w:rPr>
        <w:t>人民法院向</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人民政府发送的司法建议书，由应诉事务承办单位提出回复意见，报</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人民政府同意后，向人民法院反馈。</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ascii="Times New Roman" w:hAnsi="Times New Roman"/>
          <w:sz w:val="32"/>
          <w:szCs w:val="32"/>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eastAsia="zh-CN"/>
        </w:rPr>
        <w:t>四</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　</w:t>
      </w:r>
      <w:r>
        <w:rPr>
          <w:rFonts w:hint="eastAsia" w:ascii="Times New Roman" w:hAnsi="Times New Roman" w:eastAsia="仿宋_GB2312" w:cs="仿宋_GB2312"/>
          <w:sz w:val="32"/>
          <w:szCs w:val="32"/>
        </w:rPr>
        <w:t>行政诉讼案件终结后，应诉事务承办单位应当按照档案管理相关规定立卷归档。</w:t>
      </w:r>
    </w:p>
    <w:p>
      <w:pPr>
        <w:pStyle w:val="7"/>
        <w:keepNext w:val="0"/>
        <w:keepLines w:val="0"/>
        <w:pageBreakBefore w:val="0"/>
        <w:widowControl w:val="0"/>
        <w:suppressLineNumbers w:val="0"/>
        <w:kinsoku/>
        <w:wordWrap/>
        <w:overflowPunct w:val="0"/>
        <w:topLinePunct w:val="0"/>
        <w:autoSpaceDE w:val="0"/>
        <w:autoSpaceDN w:val="0"/>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sz w:val="32"/>
          <w:szCs w:val="32"/>
        </w:rPr>
      </w:pPr>
      <w:r>
        <w:rPr>
          <w:rFonts w:hint="eastAsia" w:ascii="Times New Roman" w:hAnsi="Times New Roman" w:eastAsia="黑体" w:cs="黑体"/>
          <w:sz w:val="32"/>
          <w:szCs w:val="32"/>
        </w:rPr>
        <w:t>第十</w:t>
      </w:r>
      <w:r>
        <w:rPr>
          <w:rFonts w:hint="eastAsia" w:ascii="Times New Roman" w:hAnsi="Times New Roman" w:eastAsia="黑体" w:cs="黑体"/>
          <w:sz w:val="32"/>
          <w:szCs w:val="32"/>
          <w:lang w:eastAsia="zh-CN"/>
        </w:rPr>
        <w:t>五</w:t>
      </w:r>
      <w:r>
        <w:rPr>
          <w:rFonts w:hint="eastAsia" w:ascii="Times New Roman" w:hAnsi="Times New Roman" w:eastAsia="黑体" w:cs="黑体"/>
          <w:sz w:val="32"/>
          <w:szCs w:val="32"/>
        </w:rPr>
        <w:t>条</w:t>
      </w:r>
      <w:r>
        <w:rPr>
          <w:rFonts w:hint="eastAsia" w:ascii="Times New Roman" w:hAnsi="Times New Roman" w:eastAsia="黑体" w:cs="黑体"/>
          <w:sz w:val="32"/>
          <w:szCs w:val="32"/>
          <w:lang w:val="en-US" w:eastAsia="zh-CN"/>
        </w:rPr>
        <w:t>　</w:t>
      </w:r>
      <w:r>
        <w:rPr>
          <w:rFonts w:hint="eastAsia" w:ascii="Times New Roman" w:hAnsi="Times New Roman" w:eastAsia="仿宋_GB2312" w:cs="仿宋_GB2312"/>
          <w:sz w:val="32"/>
          <w:szCs w:val="32"/>
        </w:rPr>
        <w:t>本</w:t>
      </w:r>
      <w:r>
        <w:rPr>
          <w:rFonts w:hint="default" w:ascii="Times New Roman" w:hAnsi="Times New Roman" w:eastAsia="仿宋_GB2312" w:cs="仿宋_GB2312"/>
          <w:sz w:val="32"/>
          <w:szCs w:val="32"/>
          <w:lang w:val="en"/>
        </w:rPr>
        <w:t>细则</w:t>
      </w:r>
      <w:r>
        <w:rPr>
          <w:rFonts w:hint="eastAsia" w:ascii="Times New Roman" w:hAnsi="Times New Roman" w:eastAsia="仿宋_GB2312" w:cs="仿宋_GB2312"/>
          <w:sz w:val="32"/>
          <w:szCs w:val="32"/>
        </w:rPr>
        <w:t>自</w:t>
      </w:r>
      <w:r>
        <w:rPr>
          <w:rFonts w:hint="eastAsia" w:ascii="Times New Roman" w:hAnsi="Times New Roman" w:eastAsia="仿宋_GB2312" w:cs="仿宋_GB2312"/>
          <w:sz w:val="32"/>
          <w:szCs w:val="32"/>
          <w:lang w:eastAsia="zh-CN"/>
        </w:rPr>
        <w:t>发布之日</w:t>
      </w:r>
      <w:r>
        <w:rPr>
          <w:rFonts w:hint="eastAsia" w:ascii="Times New Roman" w:hAnsi="Times New Roman" w:eastAsia="仿宋_GB2312" w:cs="仿宋_GB2312"/>
          <w:sz w:val="32"/>
          <w:szCs w:val="32"/>
        </w:rPr>
        <w:t>起施行。</w:t>
      </w:r>
      <w:bookmarkStart w:id="3" w:name="_GoBack"/>
      <w:bookmarkEnd w:id="3"/>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- 1 -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420" w:leftChars="200" w:right="420" w:rightChars="200"/>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3F5F6201"/>
    <w:rsid w:val="4ABD0F56"/>
    <w:rsid w:val="4F667698"/>
    <w:rsid w:val="63B70639"/>
    <w:rsid w:val="6A291723"/>
    <w:rsid w:val="BF257876"/>
    <w:rsid w:val="BFFDFA05"/>
    <w:rsid w:val="EBBDE302"/>
    <w:rsid w:val="EF73BA31"/>
    <w:rsid w:val="F3F9DE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after="120"/>
      <w:ind w:left="420" w:leftChars="200"/>
    </w:pPr>
    <w:rPr>
      <w:sz w:val="16"/>
      <w:szCs w:val="16"/>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unhideWhenUsed/>
    <w:qFormat/>
    <w:uiPriority w:val="0"/>
    <w:rPr>
      <w:color w:val="0000FF"/>
      <w:u w:val="single"/>
    </w:rPr>
  </w:style>
  <w:style w:type="paragraph" w:customStyle="1" w:styleId="13">
    <w:name w:val="p0"/>
    <w:basedOn w:val="1"/>
    <w:qFormat/>
    <w:uiPriority w:val="0"/>
    <w:pPr>
      <w:widowControl/>
    </w:pPr>
    <w:rPr>
      <w:rFonts w:ascii="Calibri" w:hAnsi="Calibri" w:cs="宋体"/>
      <w:kern w:val="0"/>
      <w:szCs w:val="21"/>
    </w:rPr>
  </w:style>
  <w:style w:type="paragraph" w:customStyle="1" w:styleId="14">
    <w:name w:val="黑体"/>
    <w:basedOn w:val="1"/>
    <w:next w:val="1"/>
    <w:link w:val="17"/>
    <w:qFormat/>
    <w:uiPriority w:val="0"/>
    <w:pPr>
      <w:kinsoku w:val="0"/>
      <w:spacing w:line="560" w:lineRule="exact"/>
      <w:ind w:firstLine="200" w:firstLineChars="200"/>
    </w:pPr>
    <w:rPr>
      <w:rFonts w:eastAsia="黑体"/>
      <w:kern w:val="0"/>
      <w:sz w:val="32"/>
      <w:szCs w:val="20"/>
    </w:rPr>
  </w:style>
  <w:style w:type="paragraph" w:customStyle="1" w:styleId="15">
    <w:name w:val="楷体"/>
    <w:basedOn w:val="1"/>
    <w:next w:val="1"/>
    <w:link w:val="19"/>
    <w:qFormat/>
    <w:uiPriority w:val="0"/>
    <w:pPr>
      <w:kinsoku w:val="0"/>
      <w:spacing w:line="560" w:lineRule="exact"/>
      <w:ind w:firstLine="200" w:firstLineChars="200"/>
    </w:pPr>
    <w:rPr>
      <w:rFonts w:eastAsia="楷体"/>
      <w:kern w:val="0"/>
      <w:sz w:val="32"/>
      <w:szCs w:val="20"/>
    </w:rPr>
  </w:style>
  <w:style w:type="paragraph" w:customStyle="1" w:styleId="16">
    <w:name w:val="小标宋"/>
    <w:basedOn w:val="1"/>
    <w:next w:val="1"/>
    <w:link w:val="18"/>
    <w:qFormat/>
    <w:uiPriority w:val="0"/>
    <w:pPr>
      <w:kinsoku w:val="0"/>
      <w:spacing w:line="640" w:lineRule="exact"/>
      <w:jc w:val="center"/>
    </w:pPr>
    <w:rPr>
      <w:rFonts w:eastAsia="方正小标宋简体"/>
      <w:kern w:val="0"/>
      <w:sz w:val="44"/>
      <w:szCs w:val="20"/>
    </w:rPr>
  </w:style>
  <w:style w:type="character" w:customStyle="1" w:styleId="17">
    <w:name w:val="黑体 Char"/>
    <w:link w:val="14"/>
    <w:qFormat/>
    <w:uiPriority w:val="0"/>
    <w:rPr>
      <w:rFonts w:eastAsia="黑体"/>
      <w:sz w:val="32"/>
      <w:lang w:bidi="ar-SA"/>
    </w:rPr>
  </w:style>
  <w:style w:type="character" w:customStyle="1" w:styleId="18">
    <w:name w:val="小标宋 Char"/>
    <w:link w:val="16"/>
    <w:qFormat/>
    <w:uiPriority w:val="0"/>
    <w:rPr>
      <w:rFonts w:eastAsia="方正小标宋简体"/>
      <w:sz w:val="44"/>
      <w:lang w:bidi="ar-SA"/>
    </w:rPr>
  </w:style>
  <w:style w:type="character" w:customStyle="1" w:styleId="19">
    <w:name w:val="楷体 Char"/>
    <w:link w:val="15"/>
    <w:qFormat/>
    <w:uiPriority w:val="0"/>
    <w:rPr>
      <w:rFonts w:eastAsia="楷体"/>
      <w:sz w:val="32"/>
      <w:lang w:bidi="ar-SA"/>
    </w:rPr>
  </w:style>
  <w:style w:type="character" w:customStyle="1" w:styleId="20">
    <w:name w:val="Hei Ti"/>
    <w:qFormat/>
    <w:uiPriority w:val="0"/>
    <w:rPr>
      <w:rFonts w:ascii="黑体" w:hAnsi="黑体" w:eastAsia="黑体" w:cs="黑体"/>
      <w:sz w:val="32"/>
    </w:rPr>
  </w:style>
  <w:style w:type="character" w:customStyle="1" w:styleId="21">
    <w:name w:val="Hei Ti Bold"/>
    <w:qFormat/>
    <w:uiPriority w:val="0"/>
    <w:rPr>
      <w:rFonts w:ascii="黑体" w:hAnsi="黑体" w:eastAsia="黑体" w:cs="黑体"/>
      <w:b/>
      <w:sz w:val="32"/>
    </w:rPr>
  </w:style>
  <w:style w:type="character" w:customStyle="1" w:styleId="22">
    <w:name w:val="Hei Ti Bold1"/>
    <w:qFormat/>
    <w:uiPriority w:val="0"/>
    <w:rPr>
      <w:rFonts w:ascii="黑体" w:hAnsi="黑体" w:eastAsia="黑体" w:cs="黑体"/>
      <w:b/>
      <w:sz w:val="36"/>
    </w:rPr>
  </w:style>
  <w:style w:type="character" w:customStyle="1" w:styleId="23">
    <w:name w:val="GB_2312"/>
    <w:qFormat/>
    <w:uiPriority w:val="0"/>
    <w:rPr>
      <w:rFonts w:ascii="仿宋_GB2312" w:hAnsi="仿宋_GB2312" w:eastAsia="仿宋_GB2312" w:cs="仿宋_GB2312"/>
      <w:sz w:val="32"/>
    </w:rPr>
  </w:style>
  <w:style w:type="character" w:customStyle="1" w:styleId="24">
    <w:name w:val="GB_23121"/>
    <w:qFormat/>
    <w:uiPriority w:val="0"/>
    <w:rPr>
      <w:rFonts w:ascii="仿宋_GB2312" w:hAnsi="仿宋_GB2312" w:eastAsia="仿宋_GB2312" w:cs="仿宋_GB2312"/>
      <w:sz w:val="36"/>
    </w:rPr>
  </w:style>
  <w:style w:type="character" w:customStyle="1" w:styleId="25">
    <w:name w:val="Red_Color"/>
    <w:qFormat/>
    <w:uiPriority w:val="0"/>
    <w:rPr>
      <w:rFonts w:ascii="方正小标宋简体" w:hAnsi="方正小标宋简体" w:eastAsia="方正小标宋简体" w:cs="方正小标宋简体"/>
      <w:color w:val="FF0000"/>
      <w:sz w:val="65"/>
    </w:rPr>
  </w:style>
  <w:style w:type="character" w:customStyle="1" w:styleId="26">
    <w:name w:val="KaiTi"/>
    <w:qFormat/>
    <w:uiPriority w:val="0"/>
    <w:rPr>
      <w:rFonts w:ascii="楷体_GB2312" w:hAnsi="楷体_GB2312" w:eastAsia="楷体_GB2312" w:cs="楷体_GB2312"/>
      <w:sz w:val="32"/>
    </w:rPr>
  </w:style>
  <w:style w:type="character" w:customStyle="1" w:styleId="2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16</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2021-06-03T16:18:00Z</dcterms:created>
  <dc:creator>微软用户</dc:creator>
  <cp:lastModifiedBy>user</cp:lastModifiedBy>
  <cp:lastPrinted>2017-11-09T08:49:00Z</cp:lastPrinted>
  <dcterms:modified xsi:type="dcterms:W3CDTF">2025-01-16T09:00:23Z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EA4B40DE667359A9275A8867DFEF4B0F</vt:lpwstr>
  </property>
</Properties>
</file>