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widowControl/>
        <w:spacing w:line="400" w:lineRule="atLeast"/>
        <w:rPr>
          <w:rFonts w:eastAsia="宋体"/>
          <w:kern w:val="0"/>
          <w:szCs w:val="32"/>
        </w:rPr>
      </w:pPr>
      <w:bookmarkStart w:id="0" w:name="_GoBack"/>
      <w:bookmarkEnd w:id="0"/>
      <w:r>
        <w:rPr>
          <w:rFonts w:eastAsia="宋体"/>
          <w:kern w:val="0"/>
          <w:szCs w:val="32"/>
        </w:rPr>
        <w:t xml:space="preserve"> </w:t>
      </w:r>
    </w:p>
    <w:p>
      <w:pPr>
        <w:widowControl/>
        <w:spacing w:line="580" w:lineRule="atLeast"/>
        <w:jc w:val="center"/>
        <w:rPr>
          <w:rFonts w:eastAsia="宋体"/>
          <w:kern w:val="0"/>
          <w:sz w:val="44"/>
          <w:szCs w:val="44"/>
        </w:rPr>
      </w:pPr>
      <w:r>
        <w:rPr>
          <w:rFonts w:eastAsia="宋体"/>
          <w:kern w:val="0"/>
          <w:sz w:val="44"/>
          <w:szCs w:val="44"/>
        </w:rPr>
        <w:t>水泥企业用电阶梯电价加价标准</w:t>
      </w:r>
    </w:p>
    <w:p>
      <w:pPr>
        <w:widowControl/>
        <w:spacing w:line="440" w:lineRule="atLeast"/>
        <w:jc w:val="center"/>
        <w:rPr>
          <w:rFonts w:eastAsia="宋体"/>
          <w:kern w:val="0"/>
          <w:szCs w:val="32"/>
        </w:rPr>
      </w:pPr>
      <w:r>
        <w:rPr>
          <w:rFonts w:eastAsia="宋体"/>
          <w:kern w:val="0"/>
          <w:szCs w:val="32"/>
        </w:rPr>
        <w:t xml:space="preserve"> </w:t>
      </w:r>
    </w:p>
    <w:p>
      <w:pPr>
        <w:widowControl/>
        <w:spacing w:line="480" w:lineRule="atLeast"/>
        <w:rPr>
          <w:rFonts w:eastAsia="宋体"/>
          <w:kern w:val="0"/>
          <w:szCs w:val="32"/>
        </w:rPr>
      </w:pPr>
      <w:r>
        <w:rPr>
          <w:rFonts w:eastAsia="宋体"/>
          <w:kern w:val="0"/>
          <w:szCs w:val="32"/>
        </w:rPr>
        <w:t xml:space="preserve">    一、GB16780-2012</w:t>
      </w:r>
      <w:r>
        <w:rPr>
          <w:rFonts w:ascii="仿宋_GB2312"/>
          <w:kern w:val="0"/>
          <w:szCs w:val="32"/>
        </w:rPr>
        <w:t>《水泥单位产品能源消耗限额》实施之前（</w:t>
      </w:r>
      <w:r>
        <w:rPr>
          <w:rFonts w:eastAsia="宋体"/>
          <w:kern w:val="0"/>
          <w:szCs w:val="32"/>
        </w:rPr>
        <w:t>2013</w:t>
      </w:r>
      <w:r>
        <w:rPr>
          <w:rFonts w:ascii="仿宋_GB2312"/>
          <w:kern w:val="0"/>
          <w:szCs w:val="32"/>
        </w:rPr>
        <w:t>年</w:t>
      </w:r>
      <w:r>
        <w:rPr>
          <w:rFonts w:eastAsia="宋体"/>
          <w:kern w:val="0"/>
          <w:szCs w:val="32"/>
        </w:rPr>
        <w:t>10</w:t>
      </w:r>
      <w:r>
        <w:rPr>
          <w:rFonts w:ascii="仿宋_GB2312"/>
          <w:kern w:val="0"/>
          <w:szCs w:val="32"/>
        </w:rPr>
        <w:t>月</w:t>
      </w:r>
      <w:r>
        <w:rPr>
          <w:rFonts w:eastAsia="宋体"/>
          <w:kern w:val="0"/>
          <w:szCs w:val="32"/>
        </w:rPr>
        <w:t>1</w:t>
      </w:r>
      <w:r>
        <w:rPr>
          <w:rFonts w:ascii="仿宋_GB2312"/>
          <w:kern w:val="0"/>
          <w:szCs w:val="32"/>
        </w:rPr>
        <w:t>日之前）投产的水泥企业，阶梯电价加价标准如下：</w:t>
      </w:r>
    </w:p>
    <w:tbl>
      <w:tblPr>
        <w:tblStyle w:val="3"/>
        <w:tblW w:w="9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424"/>
      </w:tblGrid>
      <w:tr>
        <w:tblPrEx>
          <w:tblLayout w:type="fixed"/>
        </w:tblPrEx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水泥生产线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可比水泥综合电耗不超过90 kwh/t</w:t>
            </w:r>
            <w:r>
              <w:rPr>
                <w:rFonts w:ascii="仿宋_GB2312"/>
                <w:kern w:val="0"/>
                <w:sz w:val="24"/>
                <w:szCs w:val="24"/>
              </w:rPr>
              <w:t>，其用电不加价；可比水泥综合电耗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&gt;90 kwh/t</w:t>
            </w:r>
            <w:r>
              <w:rPr>
                <w:rFonts w:ascii="仿宋_GB2312"/>
                <w:kern w:val="0"/>
                <w:sz w:val="24"/>
                <w:szCs w:val="24"/>
              </w:rPr>
              <w:t>但</w:t>
            </w:r>
            <w:r>
              <w:rPr>
                <w:rFonts w:eastAsia="宋体"/>
                <w:kern w:val="0"/>
                <w:sz w:val="24"/>
                <w:szCs w:val="24"/>
              </w:rPr>
              <w:t>≤93 kwh/t</w:t>
            </w:r>
            <w:r>
              <w:rPr>
                <w:rFonts w:ascii="仿宋_GB2312"/>
                <w:kern w:val="0"/>
                <w:sz w:val="24"/>
                <w:szCs w:val="24"/>
              </w:rPr>
              <w:t>的，电价每千瓦时加价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0.1</w:t>
            </w:r>
            <w:r>
              <w:rPr>
                <w:rFonts w:ascii="仿宋_GB2312"/>
                <w:kern w:val="0"/>
                <w:sz w:val="24"/>
                <w:szCs w:val="24"/>
              </w:rPr>
              <w:t>元；可比水泥综合电耗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&gt;93 kwh/t</w:t>
            </w:r>
            <w:r>
              <w:rPr>
                <w:rFonts w:ascii="仿宋_GB2312"/>
                <w:kern w:val="0"/>
                <w:sz w:val="24"/>
                <w:szCs w:val="24"/>
              </w:rPr>
              <w:t>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0.2</w:t>
            </w:r>
            <w:r>
              <w:rPr>
                <w:rFonts w:ascii="仿宋_GB2312"/>
                <w:kern w:val="0"/>
                <w:sz w:val="24"/>
                <w:szCs w:val="24"/>
              </w:rPr>
              <w:t>元。</w:t>
            </w:r>
          </w:p>
        </w:tc>
      </w:tr>
      <w:tr>
        <w:tblPrEx>
          <w:tblLayout w:type="fixed"/>
        </w:tblPrEx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水泥熟料生产线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可比熟料综合电耗不超过64 kwh/t</w:t>
            </w:r>
            <w:r>
              <w:rPr>
                <w:rFonts w:ascii="仿宋_GB2312"/>
                <w:kern w:val="0"/>
                <w:sz w:val="24"/>
                <w:szCs w:val="24"/>
              </w:rPr>
              <w:t>，其用电不加价；可比熟料综合电耗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&gt;64 kwh/t</w:t>
            </w:r>
            <w:r>
              <w:rPr>
                <w:rFonts w:ascii="仿宋_GB2312"/>
                <w:kern w:val="0"/>
                <w:sz w:val="24"/>
                <w:szCs w:val="24"/>
              </w:rPr>
              <w:t>但</w:t>
            </w:r>
            <w:r>
              <w:rPr>
                <w:rFonts w:eastAsia="宋体"/>
                <w:kern w:val="0"/>
                <w:sz w:val="24"/>
                <w:szCs w:val="24"/>
              </w:rPr>
              <w:t>≤67 kwh/t</w:t>
            </w:r>
            <w:r>
              <w:rPr>
                <w:rFonts w:ascii="仿宋_GB2312"/>
                <w:kern w:val="0"/>
                <w:sz w:val="24"/>
                <w:szCs w:val="24"/>
              </w:rPr>
              <w:t>的，电价每千瓦时加价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0.1</w:t>
            </w:r>
            <w:r>
              <w:rPr>
                <w:rFonts w:ascii="仿宋_GB2312"/>
                <w:kern w:val="0"/>
                <w:sz w:val="24"/>
                <w:szCs w:val="24"/>
              </w:rPr>
              <w:t>元；可比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熟料</w:t>
            </w:r>
            <w:r>
              <w:rPr>
                <w:rFonts w:eastAsia="宋体"/>
                <w:kern w:val="0"/>
                <w:sz w:val="24"/>
                <w:szCs w:val="24"/>
              </w:rPr>
              <w:t>综合电耗&gt;67 kwh/t</w:t>
            </w:r>
            <w:r>
              <w:rPr>
                <w:rFonts w:ascii="仿宋_GB2312"/>
                <w:kern w:val="0"/>
                <w:sz w:val="24"/>
                <w:szCs w:val="24"/>
              </w:rPr>
              <w:t>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0.2</w:t>
            </w:r>
            <w:r>
              <w:rPr>
                <w:rFonts w:ascii="仿宋_GB2312"/>
                <w:kern w:val="0"/>
                <w:sz w:val="24"/>
                <w:szCs w:val="24"/>
              </w:rPr>
              <w:t>元。</w:t>
            </w:r>
          </w:p>
        </w:tc>
      </w:tr>
      <w:tr>
        <w:tblPrEx>
          <w:tblLayout w:type="fixed"/>
        </w:tblPrEx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水泥粉磨站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可比水泥综合电耗不超过40 kwh/t</w:t>
            </w:r>
            <w:r>
              <w:rPr>
                <w:rFonts w:ascii="仿宋_GB2312"/>
                <w:kern w:val="0"/>
                <w:sz w:val="24"/>
                <w:szCs w:val="24"/>
              </w:rPr>
              <w:t>，其用电不加价；可比水泥综合电耗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&gt;40 kwh/t</w:t>
            </w:r>
            <w:r>
              <w:rPr>
                <w:rFonts w:ascii="仿宋_GB2312"/>
                <w:kern w:val="0"/>
                <w:sz w:val="24"/>
                <w:szCs w:val="24"/>
              </w:rPr>
              <w:t>但</w:t>
            </w:r>
            <w:r>
              <w:rPr>
                <w:rFonts w:eastAsia="宋体"/>
                <w:kern w:val="0"/>
                <w:sz w:val="24"/>
                <w:szCs w:val="24"/>
              </w:rPr>
              <w:t>≤42 kwh/t</w:t>
            </w:r>
            <w:r>
              <w:rPr>
                <w:rFonts w:ascii="仿宋_GB2312"/>
                <w:kern w:val="0"/>
                <w:sz w:val="24"/>
                <w:szCs w:val="24"/>
              </w:rPr>
              <w:t>的，电价每千瓦时加价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0.15</w:t>
            </w:r>
            <w:r>
              <w:rPr>
                <w:rFonts w:ascii="仿宋_GB2312"/>
                <w:kern w:val="0"/>
                <w:sz w:val="24"/>
                <w:szCs w:val="24"/>
              </w:rPr>
              <w:t>元；可比水泥综合电耗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&gt;42 kwh/t</w:t>
            </w:r>
            <w:r>
              <w:rPr>
                <w:rFonts w:ascii="仿宋_GB2312"/>
                <w:kern w:val="0"/>
                <w:sz w:val="24"/>
                <w:szCs w:val="24"/>
              </w:rPr>
              <w:t>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0.25</w:t>
            </w:r>
            <w:r>
              <w:rPr>
                <w:rFonts w:ascii="仿宋_GB2312"/>
                <w:kern w:val="0"/>
                <w:sz w:val="24"/>
                <w:szCs w:val="24"/>
              </w:rPr>
              <w:t>元。</w:t>
            </w:r>
          </w:p>
        </w:tc>
      </w:tr>
    </w:tbl>
    <w:p>
      <w:pPr>
        <w:widowControl/>
        <w:spacing w:line="480" w:lineRule="atLeast"/>
        <w:ind w:firstLine="640"/>
        <w:rPr>
          <w:rFonts w:eastAsia="宋体"/>
          <w:kern w:val="0"/>
          <w:szCs w:val="32"/>
        </w:rPr>
      </w:pPr>
      <w:r>
        <w:rPr>
          <w:rFonts w:eastAsia="宋体"/>
          <w:kern w:val="0"/>
          <w:szCs w:val="32"/>
        </w:rPr>
        <w:t>二、GB16780-2012</w:t>
      </w:r>
      <w:r>
        <w:rPr>
          <w:rFonts w:ascii="仿宋_GB2312"/>
          <w:kern w:val="0"/>
          <w:szCs w:val="32"/>
        </w:rPr>
        <w:t>《水泥单位产品能源消耗限额》实施之后（</w:t>
      </w:r>
      <w:r>
        <w:rPr>
          <w:rFonts w:eastAsia="宋体"/>
          <w:kern w:val="0"/>
          <w:szCs w:val="32"/>
        </w:rPr>
        <w:t>2013</w:t>
      </w:r>
      <w:r>
        <w:rPr>
          <w:rFonts w:ascii="仿宋_GB2312"/>
          <w:kern w:val="0"/>
          <w:szCs w:val="32"/>
        </w:rPr>
        <w:t>年</w:t>
      </w:r>
      <w:r>
        <w:rPr>
          <w:rFonts w:eastAsia="宋体"/>
          <w:kern w:val="0"/>
          <w:szCs w:val="32"/>
        </w:rPr>
        <w:t>10</w:t>
      </w:r>
      <w:r>
        <w:rPr>
          <w:rFonts w:ascii="仿宋_GB2312"/>
          <w:kern w:val="0"/>
          <w:szCs w:val="32"/>
        </w:rPr>
        <w:t>月</w:t>
      </w:r>
      <w:r>
        <w:rPr>
          <w:rFonts w:eastAsia="宋体"/>
          <w:kern w:val="0"/>
          <w:szCs w:val="32"/>
        </w:rPr>
        <w:t>1</w:t>
      </w:r>
      <w:r>
        <w:rPr>
          <w:rFonts w:ascii="仿宋_GB2312"/>
          <w:kern w:val="0"/>
          <w:szCs w:val="32"/>
        </w:rPr>
        <w:t>日之后）投产的水泥企业，阶梯电价加价标准如下：</w:t>
      </w:r>
    </w:p>
    <w:tbl>
      <w:tblPr>
        <w:tblStyle w:val="3"/>
        <w:tblW w:w="9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水泥生产线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可比水泥综合电耗不超过88kwh/t</w:t>
            </w:r>
            <w:r>
              <w:rPr>
                <w:rFonts w:ascii="仿宋_GB2312"/>
                <w:kern w:val="0"/>
                <w:sz w:val="24"/>
                <w:szCs w:val="24"/>
              </w:rPr>
              <w:t>，其用电不加价；可比水泥综合电耗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 88kwh/t</w:t>
            </w:r>
            <w:r>
              <w:rPr>
                <w:rFonts w:ascii="仿宋_GB2312"/>
                <w:kern w:val="0"/>
                <w:sz w:val="24"/>
                <w:szCs w:val="24"/>
              </w:rPr>
              <w:t>但</w:t>
            </w:r>
            <w:r>
              <w:rPr>
                <w:rFonts w:eastAsia="宋体"/>
                <w:kern w:val="0"/>
                <w:sz w:val="24"/>
                <w:szCs w:val="24"/>
              </w:rPr>
              <w:t>≤90 kwh/t</w:t>
            </w:r>
            <w:r>
              <w:rPr>
                <w:rFonts w:ascii="仿宋_GB2312"/>
                <w:kern w:val="0"/>
                <w:sz w:val="24"/>
                <w:szCs w:val="24"/>
              </w:rPr>
              <w:t>的，电价每千瓦时加价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0.1</w:t>
            </w:r>
            <w:r>
              <w:rPr>
                <w:rFonts w:ascii="仿宋_GB2312"/>
                <w:kern w:val="0"/>
                <w:sz w:val="24"/>
                <w:szCs w:val="24"/>
              </w:rPr>
              <w:t>元；可比水泥综合电耗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&gt;90 kwh/t</w:t>
            </w:r>
            <w:r>
              <w:rPr>
                <w:rFonts w:ascii="仿宋_GB2312"/>
                <w:kern w:val="0"/>
                <w:sz w:val="24"/>
                <w:szCs w:val="24"/>
              </w:rPr>
              <w:t>，用电每千瓦时加价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0.2</w:t>
            </w:r>
            <w:r>
              <w:rPr>
                <w:rFonts w:ascii="仿宋_GB2312"/>
                <w:kern w:val="0"/>
                <w:sz w:val="24"/>
                <w:szCs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水泥熟料生产线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可比熟料综合电耗不超过60 kwh/t</w:t>
            </w:r>
            <w:r>
              <w:rPr>
                <w:rFonts w:ascii="仿宋_GB2312"/>
                <w:kern w:val="0"/>
                <w:sz w:val="24"/>
                <w:szCs w:val="24"/>
              </w:rPr>
              <w:t>，其用电不加价；可比熟料综合电耗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&gt;60 kwh/t</w:t>
            </w:r>
            <w:r>
              <w:rPr>
                <w:rFonts w:ascii="仿宋_GB2312"/>
                <w:kern w:val="0"/>
                <w:sz w:val="24"/>
                <w:szCs w:val="24"/>
              </w:rPr>
              <w:t>但</w:t>
            </w:r>
            <w:r>
              <w:rPr>
                <w:rFonts w:eastAsia="宋体"/>
                <w:kern w:val="0"/>
                <w:sz w:val="24"/>
                <w:szCs w:val="24"/>
              </w:rPr>
              <w:t>≤64 kwh/t</w:t>
            </w:r>
            <w:r>
              <w:rPr>
                <w:rFonts w:ascii="仿宋_GB2312"/>
                <w:kern w:val="0"/>
                <w:sz w:val="24"/>
                <w:szCs w:val="24"/>
              </w:rPr>
              <w:t>的，电价每千瓦时加价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0.1</w:t>
            </w:r>
            <w:r>
              <w:rPr>
                <w:rFonts w:ascii="仿宋_GB2312"/>
                <w:kern w:val="0"/>
                <w:sz w:val="24"/>
                <w:szCs w:val="24"/>
              </w:rPr>
              <w:t>元；可比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熟料</w:t>
            </w:r>
            <w:r>
              <w:rPr>
                <w:rFonts w:eastAsia="宋体"/>
                <w:kern w:val="0"/>
                <w:sz w:val="24"/>
                <w:szCs w:val="24"/>
              </w:rPr>
              <w:t>综合电耗&gt;64 kwh/t</w:t>
            </w:r>
            <w:r>
              <w:rPr>
                <w:rFonts w:ascii="仿宋_GB2312"/>
                <w:kern w:val="0"/>
                <w:sz w:val="24"/>
                <w:szCs w:val="24"/>
              </w:rPr>
              <w:t>，用电每千瓦时加价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0.2</w:t>
            </w:r>
            <w:r>
              <w:rPr>
                <w:rFonts w:ascii="仿宋_GB2312"/>
                <w:kern w:val="0"/>
                <w:sz w:val="24"/>
                <w:szCs w:val="24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水泥粉磨站</w:t>
            </w:r>
          </w:p>
        </w:tc>
        <w:tc>
          <w:tcPr>
            <w:tcW w:w="6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可比水泥综合电耗不超过36kwh/t</w:t>
            </w:r>
            <w:r>
              <w:rPr>
                <w:rFonts w:ascii="仿宋_GB2312"/>
                <w:kern w:val="0"/>
                <w:sz w:val="24"/>
                <w:szCs w:val="24"/>
              </w:rPr>
              <w:t>，其用电不加价；可比水泥综合电耗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&gt;36kwh/t</w:t>
            </w:r>
            <w:r>
              <w:rPr>
                <w:rFonts w:ascii="仿宋_GB2312"/>
                <w:kern w:val="0"/>
                <w:sz w:val="24"/>
                <w:szCs w:val="24"/>
              </w:rPr>
              <w:t>但</w:t>
            </w:r>
            <w:r>
              <w:rPr>
                <w:rFonts w:eastAsia="宋体"/>
                <w:kern w:val="0"/>
                <w:sz w:val="24"/>
                <w:szCs w:val="24"/>
              </w:rPr>
              <w:t>≤40 kwh/t</w:t>
            </w:r>
            <w:r>
              <w:rPr>
                <w:rFonts w:ascii="仿宋_GB2312"/>
                <w:kern w:val="0"/>
                <w:sz w:val="24"/>
                <w:szCs w:val="24"/>
              </w:rPr>
              <w:t>的，电价每千瓦时加价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0.15</w:t>
            </w:r>
            <w:r>
              <w:rPr>
                <w:rFonts w:ascii="仿宋_GB2312"/>
                <w:kern w:val="0"/>
                <w:sz w:val="24"/>
                <w:szCs w:val="24"/>
              </w:rPr>
              <w:t>元；可比水泥综合电耗</w:t>
            </w:r>
            <w:r>
              <w:rPr>
                <w:rFonts w:eastAsia="宋体"/>
                <w:kern w:val="0"/>
                <w:sz w:val="24"/>
                <w:szCs w:val="24"/>
              </w:rPr>
              <w:t>&gt;40kwh/t</w:t>
            </w:r>
            <w:r>
              <w:rPr>
                <w:rFonts w:ascii="仿宋_GB2312"/>
                <w:kern w:val="0"/>
                <w:sz w:val="24"/>
                <w:szCs w:val="24"/>
              </w:rPr>
              <w:t>，用电每千瓦时加价</w:t>
            </w:r>
            <w:r>
              <w:rPr>
                <w:rFonts w:eastAsia="宋体"/>
                <w:kern w:val="0"/>
                <w:sz w:val="24"/>
                <w:szCs w:val="24"/>
              </w:rPr>
              <w:t>0.25</w:t>
            </w:r>
            <w:r>
              <w:rPr>
                <w:rFonts w:ascii="仿宋_GB2312"/>
                <w:kern w:val="0"/>
                <w:sz w:val="24"/>
                <w:szCs w:val="24"/>
              </w:rPr>
              <w:t>元。</w:t>
            </w:r>
          </w:p>
        </w:tc>
      </w:tr>
    </w:tbl>
    <w:p>
      <w:pPr>
        <w:widowControl/>
        <w:spacing w:line="100" w:lineRule="atLeas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</w:t>
      </w:r>
    </w:p>
    <w:p>
      <w:pPr>
        <w:widowControl/>
        <w:spacing w:line="100" w:lineRule="atLeas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009B2"/>
    <w:rsid w:val="190A7991"/>
    <w:rsid w:val="3F1009B2"/>
    <w:rsid w:val="657B55A0"/>
    <w:rsid w:val="74D0764C"/>
    <w:rsid w:val="752B6A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2016-10-19T08:07:00Z</dcterms:created>
  <dc:creator>Administrator</dc:creator>
  <cp:lastModifiedBy>Administrator</cp:lastModifiedBy>
  <dcterms:modified xsi:type="dcterms:W3CDTF">2016-10-19T08:17:52Z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