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0"/>
        </w:tabs>
        <w:kinsoku/>
        <w:wordWrap/>
        <w:overflowPunct/>
        <w:topLinePunct w:val="0"/>
        <w:autoSpaceDE/>
        <w:autoSpaceDN/>
        <w:bidi w:val="0"/>
        <w:adjustRightInd/>
        <w:snapToGrid w:val="0"/>
        <w:spacing w:line="560" w:lineRule="exact"/>
        <w:jc w:val="left"/>
        <w:rPr>
          <w:rFonts w:hint="eastAsia" w:ascii="Times New Roman" w:hAnsi="黑体" w:eastAsia="黑体"/>
          <w:color w:val="auto"/>
          <w:sz w:val="32"/>
          <w:szCs w:val="32"/>
          <w:lang w:val="en-US" w:eastAsia="zh-CN"/>
        </w:rPr>
      </w:pPr>
      <w:r>
        <w:rPr>
          <w:rFonts w:ascii="Times New Roman" w:hAnsi="黑体" w:eastAsia="黑体"/>
          <w:color w:val="auto"/>
          <w:sz w:val="32"/>
          <w:szCs w:val="32"/>
        </w:rPr>
        <w:t>附件</w:t>
      </w:r>
      <w:r>
        <w:rPr>
          <w:rFonts w:hint="eastAsia" w:ascii="Times New Roman" w:hAnsi="黑体" w:eastAsia="黑体"/>
          <w:color w:val="auto"/>
          <w:sz w:val="32"/>
          <w:szCs w:val="32"/>
          <w:lang w:val="en-US" w:eastAsia="zh-CN"/>
        </w:rPr>
        <w:t>1</w:t>
      </w:r>
    </w:p>
    <w:p>
      <w:pPr>
        <w:pStyle w:val="9"/>
        <w:keepNext w:val="0"/>
        <w:keepLines w:val="0"/>
        <w:pageBreakBefore w:val="0"/>
        <w:widowControl w:val="0"/>
        <w:kinsoku/>
        <w:wordWrap/>
        <w:overflowPunct/>
        <w:topLinePunct w:val="0"/>
        <w:autoSpaceDE/>
        <w:autoSpaceDN/>
        <w:bidi w:val="0"/>
        <w:adjustRightInd/>
        <w:snapToGrid w:val="0"/>
        <w:spacing w:after="0" w:line="560" w:lineRule="exact"/>
        <w:rPr>
          <w:rFonts w:hint="eastAsia"/>
          <w:color w:val="auto"/>
          <w:lang w:val="en-US" w:eastAsia="zh-CN"/>
        </w:rPr>
      </w:pPr>
    </w:p>
    <w:p>
      <w:pPr>
        <w:keepNext w:val="0"/>
        <w:keepLines w:val="0"/>
        <w:pageBreakBefore w:val="0"/>
        <w:widowControl w:val="0"/>
        <w:tabs>
          <w:tab w:val="left" w:pos="0"/>
        </w:tabs>
        <w:kinsoku/>
        <w:wordWrap/>
        <w:overflowPunct/>
        <w:topLinePunct w:val="0"/>
        <w:autoSpaceDE/>
        <w:autoSpaceDN/>
        <w:bidi w:val="0"/>
        <w:adjustRightInd/>
        <w:snapToGrid w:val="0"/>
        <w:spacing w:line="560" w:lineRule="exact"/>
        <w:jc w:val="center"/>
        <w:rPr>
          <w:rFonts w:ascii="Times New Roman" w:hAnsi="Times New Roman" w:eastAsia="方正小标宋简体"/>
          <w:color w:val="auto"/>
          <w:sz w:val="44"/>
          <w:szCs w:val="44"/>
        </w:rPr>
      </w:pPr>
      <w:r>
        <w:rPr>
          <w:rFonts w:ascii="Times New Roman" w:hAnsi="Times New Roman" w:eastAsia="方正小标宋简体"/>
          <w:color w:val="auto"/>
          <w:sz w:val="44"/>
          <w:szCs w:val="44"/>
        </w:rPr>
        <w:t>20</w:t>
      </w:r>
      <w:r>
        <w:rPr>
          <w:rFonts w:hint="eastAsia" w:ascii="Times New Roman" w:hAnsi="Times New Roman" w:eastAsia="方正小标宋简体"/>
          <w:color w:val="auto"/>
          <w:sz w:val="44"/>
          <w:szCs w:val="44"/>
        </w:rPr>
        <w:t>2</w:t>
      </w:r>
      <w:r>
        <w:rPr>
          <w:rFonts w:hint="eastAsia" w:ascii="Times New Roman" w:hAnsi="Times New Roman" w:eastAsia="方正小标宋简体"/>
          <w:color w:val="auto"/>
          <w:sz w:val="44"/>
          <w:szCs w:val="44"/>
          <w:lang w:val="en-US" w:eastAsia="zh-CN"/>
        </w:rPr>
        <w:t>5</w:t>
      </w:r>
      <w:r>
        <w:rPr>
          <w:rFonts w:ascii="Times New Roman" w:hAnsi="Times New Roman" w:eastAsia="方正小标宋简体"/>
          <w:color w:val="auto"/>
          <w:sz w:val="44"/>
          <w:szCs w:val="44"/>
        </w:rPr>
        <w:t>年津南区“质量月”开展的主要活动</w:t>
      </w:r>
    </w:p>
    <w:p>
      <w:pPr>
        <w:pStyle w:val="9"/>
        <w:keepNext w:val="0"/>
        <w:keepLines w:val="0"/>
        <w:pageBreakBefore w:val="0"/>
        <w:widowControl w:val="0"/>
        <w:kinsoku/>
        <w:wordWrap/>
        <w:overflowPunct/>
        <w:topLinePunct w:val="0"/>
        <w:autoSpaceDE/>
        <w:autoSpaceDN/>
        <w:bidi w:val="0"/>
        <w:adjustRightInd/>
        <w:snapToGrid w:val="0"/>
        <w:spacing w:after="0" w:line="560" w:lineRule="exact"/>
        <w:rPr>
          <w:color w:val="auto"/>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黑体"/>
          <w:bCs/>
          <w:color w:val="auto"/>
          <w:kern w:val="0"/>
          <w:sz w:val="32"/>
          <w:szCs w:val="32"/>
        </w:rPr>
      </w:pPr>
      <w:bookmarkStart w:id="0" w:name="_GoBack"/>
      <w:r>
        <w:rPr>
          <w:rFonts w:hint="eastAsia" w:ascii="Times New Roman" w:hAnsi="黑体" w:eastAsia="黑体"/>
          <w:bCs/>
          <w:color w:val="auto"/>
          <w:kern w:val="0"/>
          <w:sz w:val="32"/>
          <w:szCs w:val="32"/>
          <w:lang w:eastAsia="zh-CN"/>
        </w:rPr>
        <w:t>一</w:t>
      </w:r>
      <w:r>
        <w:rPr>
          <w:rFonts w:hint="default" w:ascii="Times New Roman" w:hAnsi="黑体" w:eastAsia="黑体"/>
          <w:bCs/>
          <w:color w:val="auto"/>
          <w:kern w:val="0"/>
          <w:sz w:val="32"/>
          <w:szCs w:val="32"/>
          <w:lang w:eastAsia="zh-CN"/>
        </w:rPr>
        <w:t>、区</w:t>
      </w:r>
      <w:r>
        <w:rPr>
          <w:rFonts w:ascii="Times New Roman" w:hAnsi="黑体" w:eastAsia="黑体"/>
          <w:bCs/>
          <w:color w:val="auto"/>
          <w:kern w:val="0"/>
          <w:sz w:val="32"/>
          <w:szCs w:val="32"/>
        </w:rPr>
        <w:t>市场监管局开展的活动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vertAlign w:val="baseline"/>
          <w:lang w:val="en-US" w:eastAsia="zh-CN"/>
        </w:rPr>
      </w:pPr>
      <w:r>
        <w:rPr>
          <w:rFonts w:hint="default" w:ascii="Times New Roman" w:hAnsi="Times New Roman" w:eastAsia="仿宋_GB2312" w:cs="Times New Roman"/>
          <w:color w:val="auto"/>
          <w:sz w:val="32"/>
          <w:szCs w:val="32"/>
          <w:u w:val="none"/>
          <w:vertAlign w:val="baseline"/>
          <w:lang w:val="en-US" w:eastAsia="zh-CN"/>
        </w:rPr>
        <w:t>1.举办202</w:t>
      </w:r>
      <w:r>
        <w:rPr>
          <w:rFonts w:hint="eastAsia" w:ascii="Times New Roman" w:hAnsi="Times New Roman" w:eastAsia="仿宋_GB2312" w:cs="Times New Roman"/>
          <w:color w:val="auto"/>
          <w:sz w:val="32"/>
          <w:szCs w:val="32"/>
          <w:u w:val="none"/>
          <w:vertAlign w:val="baseline"/>
          <w:lang w:val="en-US" w:eastAsia="zh-CN"/>
        </w:rPr>
        <w:t>5</w:t>
      </w:r>
      <w:r>
        <w:rPr>
          <w:rFonts w:hint="default" w:ascii="Times New Roman" w:hAnsi="Times New Roman" w:eastAsia="仿宋_GB2312" w:cs="Times New Roman"/>
          <w:color w:val="auto"/>
          <w:sz w:val="32"/>
          <w:szCs w:val="32"/>
          <w:u w:val="none"/>
          <w:vertAlign w:val="baseline"/>
          <w:lang w:val="en-US" w:eastAsia="zh-CN"/>
        </w:rPr>
        <w:t>年</w:t>
      </w:r>
      <w:r>
        <w:rPr>
          <w:rFonts w:hint="eastAsia" w:ascii="Times New Roman" w:hAnsi="Times New Roman" w:eastAsia="仿宋_GB2312" w:cs="Times New Roman"/>
          <w:color w:val="auto"/>
          <w:sz w:val="32"/>
          <w:szCs w:val="32"/>
          <w:u w:val="none"/>
          <w:vertAlign w:val="baseline"/>
          <w:lang w:val="en-US" w:eastAsia="zh-CN"/>
        </w:rPr>
        <w:t>津南区</w:t>
      </w:r>
      <w:r>
        <w:rPr>
          <w:rFonts w:hint="default" w:ascii="Times New Roman" w:hAnsi="Times New Roman" w:eastAsia="仿宋_GB2312" w:cs="Times New Roman"/>
          <w:color w:val="auto"/>
          <w:sz w:val="32"/>
          <w:szCs w:val="32"/>
          <w:u w:val="none"/>
          <w:vertAlign w:val="baseline"/>
          <w:lang w:val="en-US" w:eastAsia="zh-CN"/>
        </w:rPr>
        <w:t>“质量月”主题宣传活动。动员引导社会</w:t>
      </w:r>
      <w:r>
        <w:rPr>
          <w:rFonts w:hint="eastAsia" w:ascii="Times New Roman" w:hAnsi="Times New Roman" w:eastAsia="仿宋_GB2312" w:cs="Times New Roman"/>
          <w:color w:val="auto"/>
          <w:sz w:val="32"/>
          <w:szCs w:val="32"/>
          <w:u w:val="none"/>
          <w:vertAlign w:val="baseline"/>
          <w:lang w:val="en-US" w:eastAsia="zh-CN"/>
        </w:rPr>
        <w:t>各层广泛开展宣传活动，</w:t>
      </w:r>
      <w:r>
        <w:rPr>
          <w:rFonts w:hint="default" w:ascii="Times New Roman" w:hAnsi="Times New Roman" w:eastAsia="仿宋_GB2312" w:cs="Times New Roman"/>
          <w:color w:val="auto"/>
          <w:sz w:val="32"/>
          <w:szCs w:val="32"/>
          <w:u w:val="none"/>
          <w:vertAlign w:val="baseline"/>
          <w:lang w:val="en-US" w:eastAsia="zh-CN"/>
        </w:rPr>
        <w:t>聚力助企纾困，推进质量强区建设，营造政府重视质量、企业追求质量、社会崇尚质量、人人关心质量的良好氛围。</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color w:val="auto"/>
          <w:sz w:val="32"/>
          <w:szCs w:val="32"/>
          <w:u w:val="none"/>
          <w:vertAlign w:val="baseline"/>
          <w:lang w:val="en-US" w:eastAsia="zh-CN"/>
        </w:rPr>
      </w:pPr>
      <w:r>
        <w:rPr>
          <w:rFonts w:hint="eastAsia" w:ascii="Times New Roman" w:hAnsi="Times New Roman" w:eastAsia="仿宋_GB2312" w:cs="Times New Roman"/>
          <w:color w:val="auto"/>
          <w:sz w:val="32"/>
          <w:szCs w:val="32"/>
          <w:u w:val="none"/>
          <w:vertAlign w:val="baseline"/>
          <w:lang w:val="en-US" w:eastAsia="zh-CN"/>
        </w:rPr>
        <w:t>2.组织企业报送质量攻关成果。指导辖区8家企业汇总提交质量攻关项目成果，并组织参加市市场监管委评审。</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color w:val="auto"/>
          <w:sz w:val="32"/>
          <w:szCs w:val="32"/>
          <w:u w:val="none"/>
          <w:vertAlign w:val="baseline"/>
          <w:lang w:val="en-US" w:eastAsia="zh-CN"/>
        </w:rPr>
      </w:pPr>
      <w:r>
        <w:rPr>
          <w:rFonts w:hint="eastAsia" w:ascii="Times New Roman" w:hAnsi="Times New Roman" w:eastAsia="仿宋_GB2312" w:cs="Times New Roman"/>
          <w:color w:val="auto"/>
          <w:sz w:val="32"/>
          <w:szCs w:val="32"/>
          <w:u w:val="none"/>
          <w:vertAlign w:val="baseline"/>
          <w:lang w:val="en-US" w:eastAsia="zh-CN"/>
        </w:rPr>
        <w:t>3.开展产品质量可靠性创新实践宣传培育活动。针对重点行业、重点领域生产企业，孵化培育“最佳实践”及“FMEA”案例，发挥引领带动作用，促进可靠性成果和技术转化应用，推动产品质量由满足符合性向追求高可靠性转型升级，提升可靠性质量基础设施支撑能力。</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lang w:val="en-US" w:eastAsia="zh-CN" w:bidi="ar-SA"/>
        </w:rPr>
        <w:t>4.</w:t>
      </w:r>
      <w:r>
        <w:rPr>
          <w:rFonts w:hint="eastAsia" w:ascii="仿宋_GB2312" w:hAnsi="黑体" w:eastAsia="仿宋_GB2312"/>
          <w:color w:val="auto"/>
          <w:sz w:val="32"/>
          <w:szCs w:val="32"/>
          <w:u w:val="none"/>
          <w:vertAlign w:val="baseline"/>
          <w:lang w:eastAsia="zh-CN"/>
        </w:rPr>
        <w:t>组织开展</w:t>
      </w:r>
      <w:r>
        <w:rPr>
          <w:rFonts w:hint="eastAsia" w:ascii="Times New Roman" w:hAnsi="Times New Roman" w:eastAsia="仿宋_GB2312" w:cs="Times New Roman"/>
          <w:color w:val="auto"/>
          <w:sz w:val="32"/>
          <w:szCs w:val="32"/>
          <w:lang w:val="en-US" w:eastAsia="zh-CN"/>
        </w:rPr>
        <w:t>绿色产品、有机产品和服务认证</w:t>
      </w:r>
      <w:r>
        <w:rPr>
          <w:rFonts w:hint="eastAsia" w:ascii="仿宋_GB2312" w:hAnsi="黑体" w:eastAsia="仿宋_GB2312"/>
          <w:color w:val="auto"/>
          <w:sz w:val="32"/>
          <w:szCs w:val="32"/>
          <w:u w:val="none"/>
          <w:vertAlign w:val="baseline"/>
          <w:lang w:eastAsia="zh-CN"/>
        </w:rPr>
        <w:t>等系列宣传</w:t>
      </w:r>
      <w:r>
        <w:rPr>
          <w:rFonts w:hint="eastAsia" w:ascii="Times New Roman" w:hAnsi="Times New Roman" w:eastAsia="仿宋_GB2312" w:cs="Times New Roman"/>
          <w:color w:val="auto"/>
          <w:kern w:val="2"/>
          <w:sz w:val="32"/>
          <w:szCs w:val="32"/>
          <w:highlight w:val="none"/>
          <w:lang w:val="en-US" w:eastAsia="zh-CN" w:bidi="ar-SA"/>
        </w:rPr>
        <w:t>活动。采用多种形式在津南区范围内进一步推动相关认证与标识体系的宣传推广，推动质量认证工作的深入开展。</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5.组织开展检验检测机构开放日活动。组织津南区检验检测机构通过产品快检、发放宣传材料、实地参观、现场讲解等方式，提升检验检测公信力和影响力，增强企业、社会公众的质量意识，促进高质量发展。</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6.持续开展小微企业质量管理体系认证提升行动。带领认证机构深入小微企业开展问题诊断，进行精准帮扶工作，切实解决企业质量管理问题，不断提升小微企业质量管理意识和管理水平。</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7.持续开展巡查检查。深入开展CCC产品检查、检验检测机构抽查和对标达标工作。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color w:val="auto"/>
          <w:sz w:val="32"/>
          <w:szCs w:val="32"/>
          <w:u w:val="none"/>
          <w:vertAlign w:val="baseline"/>
          <w:lang w:val="en-US" w:eastAsia="zh-CN"/>
        </w:rPr>
      </w:pPr>
      <w:r>
        <w:rPr>
          <w:rFonts w:hint="eastAsia" w:ascii="Times New Roman" w:hAnsi="Times New Roman" w:eastAsia="仿宋_GB2312" w:cs="Times New Roman"/>
          <w:color w:val="auto"/>
          <w:sz w:val="32"/>
          <w:szCs w:val="32"/>
          <w:u w:val="none"/>
          <w:vertAlign w:val="baseline"/>
          <w:lang w:val="en-US" w:eastAsia="zh-CN"/>
        </w:rPr>
        <w:t>8.加大广告整治力度。聚焦民生重点领域，依法查处虚假违法广告，切实防范虚假信息对消费决策产生的不良影响，维护广告市场秩序，筑牢消费者权益保护屏障。</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color w:val="auto"/>
          <w:sz w:val="32"/>
          <w:szCs w:val="32"/>
          <w:u w:val="none"/>
          <w:vertAlign w:val="baseline"/>
          <w:lang w:val="en-US" w:eastAsia="zh-CN"/>
        </w:rPr>
      </w:pPr>
      <w:r>
        <w:rPr>
          <w:rFonts w:hint="eastAsia" w:ascii="Times New Roman" w:hAnsi="Times New Roman" w:eastAsia="仿宋_GB2312" w:cs="Times New Roman"/>
          <w:color w:val="auto"/>
          <w:sz w:val="32"/>
          <w:szCs w:val="32"/>
          <w:u w:val="none"/>
          <w:vertAlign w:val="baseline"/>
          <w:lang w:val="en-US" w:eastAsia="zh-CN"/>
        </w:rPr>
        <w:t>9.开展放心消费承诺活动。引导督促经营主体在质量、价格、计量、服务、售后、处理消费争议、鼓励经营主体主动在经营场所公示消费投诉信息，发挥承诺单位的引领带动作用。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color w:val="auto"/>
          <w:sz w:val="32"/>
          <w:szCs w:val="32"/>
          <w:u w:val="none"/>
          <w:vertAlign w:val="baseline"/>
          <w:lang w:val="en-US" w:eastAsia="zh-CN"/>
        </w:rPr>
      </w:pPr>
      <w:r>
        <w:rPr>
          <w:rFonts w:hint="eastAsia" w:ascii="Times New Roman" w:hAnsi="Times New Roman" w:eastAsia="仿宋_GB2312" w:cs="Times New Roman"/>
          <w:color w:val="auto"/>
          <w:sz w:val="32"/>
          <w:szCs w:val="32"/>
          <w:u w:val="none"/>
          <w:vertAlign w:val="baseline"/>
          <w:lang w:val="en-US" w:eastAsia="zh-CN"/>
        </w:rPr>
        <w:t>10.开展线下购物无理由退货活动。将线下购物无理由退货活动向吃、住、行、购、娱、游等民生关注行业延伸，鼓励连锁企业探索就近退货模式，逐级公示“线下购物无理由退货”承诺单位信息，建立无理由退货台账，明确退货流程，主动接受社会公众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color w:val="auto"/>
          <w:sz w:val="32"/>
          <w:szCs w:val="32"/>
          <w:u w:val="none"/>
          <w:vertAlign w:val="baseline"/>
          <w:lang w:val="en-US" w:eastAsia="zh-CN"/>
        </w:rPr>
      </w:pPr>
      <w:r>
        <w:rPr>
          <w:rFonts w:hint="eastAsia" w:ascii="Times New Roman" w:hAnsi="Times New Roman" w:eastAsia="仿宋_GB2312" w:cs="Times New Roman"/>
          <w:color w:val="auto"/>
          <w:sz w:val="32"/>
          <w:szCs w:val="32"/>
          <w:u w:val="none"/>
          <w:vertAlign w:val="baseline"/>
          <w:lang w:val="en-US" w:eastAsia="zh-CN"/>
        </w:rPr>
        <w:t>11.开展节令商品专项检查活动。针对月饼、茶叶、生鲜食用农产品等节日时令商品，以大型商场超市、大型餐饮单位、农贸批发零售市场、品牌专营直营店及网络交易平台等为检查重点，严厉打击虚假宣传、扰乱市场秩序、侵害消费者权益等违法违规行为，遏制商品过度包装行为，进一步规范市场秩序。</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color w:val="auto"/>
          <w:sz w:val="32"/>
          <w:szCs w:val="32"/>
          <w:u w:val="none"/>
          <w:vertAlign w:val="baseline"/>
          <w:lang w:val="en-US" w:eastAsia="zh-CN"/>
        </w:rPr>
      </w:pPr>
      <w:r>
        <w:rPr>
          <w:rFonts w:hint="eastAsia" w:ascii="Times New Roman" w:hAnsi="Times New Roman" w:eastAsia="仿宋_GB2312" w:cs="Times New Roman"/>
          <w:color w:val="auto"/>
          <w:sz w:val="32"/>
          <w:szCs w:val="32"/>
          <w:u w:val="none"/>
          <w:vertAlign w:val="baseline"/>
          <w:lang w:val="en-US" w:eastAsia="zh-CN"/>
        </w:rPr>
        <w:t>12.加大质量违法案件查处力度。结合“守护消费”铁拳行动，聚焦民生领域群众反映强烈、社会舆论关注的突出问题，严厉查办与群众紧密相关、性质恶劣的质量违法案件，切实保护消费者合法权益。</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color w:val="auto"/>
          <w:sz w:val="32"/>
          <w:szCs w:val="32"/>
          <w:u w:val="none"/>
          <w:vertAlign w:val="baseline"/>
          <w:lang w:val="en-US" w:eastAsia="zh-CN"/>
        </w:rPr>
      </w:pPr>
      <w:r>
        <w:rPr>
          <w:rFonts w:hint="eastAsia" w:ascii="Times New Roman" w:hAnsi="Times New Roman" w:eastAsia="仿宋_GB2312" w:cs="Times New Roman"/>
          <w:color w:val="auto"/>
          <w:sz w:val="32"/>
          <w:szCs w:val="32"/>
          <w:u w:val="none"/>
          <w:vertAlign w:val="baseline"/>
          <w:lang w:val="en-US" w:eastAsia="zh-CN"/>
        </w:rPr>
        <w:t>13.</w:t>
      </w:r>
      <w:r>
        <w:rPr>
          <w:rFonts w:hint="eastAsia" w:ascii="Times New Roman" w:hAnsi="Times New Roman" w:eastAsia="仿宋_GB2312" w:cs="Times New Roman"/>
          <w:color w:val="auto"/>
          <w:sz w:val="32"/>
          <w:szCs w:val="32"/>
          <w:u w:val="none"/>
          <w:vertAlign w:val="baseline"/>
          <w:lang w:val="en" w:eastAsia="zh-CN"/>
        </w:rPr>
        <w:t>持续强化电动自行车违法改装、违规低速电动车、消防产品等领域的案件查办力度，严厉打击制造、销售不合格商品、</w:t>
      </w:r>
      <w:r>
        <w:rPr>
          <w:rFonts w:hint="eastAsia" w:ascii="Times New Roman" w:hAnsi="Times New Roman" w:eastAsia="仿宋_GB2312" w:cs="Times New Roman"/>
          <w:color w:val="auto"/>
          <w:sz w:val="32"/>
          <w:szCs w:val="32"/>
          <w:u w:val="none"/>
          <w:vertAlign w:val="baseline"/>
          <w:lang w:val="en-US" w:eastAsia="zh-CN"/>
        </w:rPr>
        <w:t>虚假宣传、不正当竞争、侵害消费者权益等违法违规行为。严格依法依规依程序对接收的质量不合格检验报告开展核查处置。</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vertAlign w:val="baseline"/>
          <w:lang w:val="en-US" w:eastAsia="zh-CN"/>
        </w:rPr>
      </w:pPr>
      <w:r>
        <w:rPr>
          <w:rFonts w:hint="eastAsia" w:ascii="Times New Roman" w:hAnsi="Times New Roman" w:eastAsia="仿宋_GB2312" w:cs="Times New Roman"/>
          <w:color w:val="auto"/>
          <w:sz w:val="32"/>
          <w:szCs w:val="32"/>
          <w:u w:val="none"/>
          <w:vertAlign w:val="baseline"/>
          <w:lang w:val="en-US" w:eastAsia="zh-CN"/>
        </w:rPr>
        <w:t>14.加大质量消费维权力度。提升投诉举报工作质效，畅通投诉举报咨询渠道，聚焦产品质量事项及时做好登记转办</w:t>
      </w:r>
      <w:r>
        <w:rPr>
          <w:rFonts w:hint="eastAsia" w:ascii="Times New Roman" w:hAnsi="Times New Roman" w:eastAsia="仿宋_GB2312" w:cs="Times New Roman"/>
          <w:color w:val="auto"/>
          <w:sz w:val="32"/>
          <w:szCs w:val="32"/>
          <w:u w:val="none"/>
          <w:vertAlign w:val="baseline"/>
          <w:lang w:val="zh-CN" w:eastAsia="zh-CN"/>
        </w:rPr>
        <w:t>，汇总相关投诉举报数据，加大对因产品质量问题导致重大人身伤害或人员死亡，严重危及公众生命健康、财产安全及易引发重大舆情的投诉举报抄告，确保承办单位及时响应群众诉求。</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color w:val="auto"/>
          <w:sz w:val="32"/>
          <w:szCs w:val="32"/>
          <w:u w:val="none"/>
          <w:vertAlign w:val="baseline"/>
          <w:lang w:val="en-US" w:eastAsia="zh-CN"/>
        </w:rPr>
      </w:pPr>
      <w:r>
        <w:rPr>
          <w:rFonts w:hint="eastAsia" w:ascii="Times New Roman" w:hAnsi="Times New Roman" w:eastAsia="仿宋_GB2312" w:cs="Times New Roman"/>
          <w:color w:val="auto"/>
          <w:sz w:val="32"/>
          <w:szCs w:val="32"/>
          <w:u w:val="none"/>
          <w:vertAlign w:val="baseline"/>
          <w:lang w:val="en-US" w:eastAsia="zh-CN"/>
        </w:rPr>
        <w:t>15.推进经营主体信用合规建设。对有质量等领域失信记录且已符合信用修复标准的经营主体，依托信用数据分析结果，主动提供信用修复指导，提示及时办理信用修复，提升信用合规水平，助企重塑信用、合规发展。</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color w:val="auto"/>
          <w:sz w:val="32"/>
          <w:szCs w:val="32"/>
          <w:u w:val="none"/>
          <w:vertAlign w:val="baseline"/>
          <w:lang w:val="en-US" w:eastAsia="zh-CN"/>
        </w:rPr>
      </w:pPr>
      <w:r>
        <w:rPr>
          <w:rFonts w:hint="eastAsia" w:ascii="Times New Roman" w:hAnsi="Times New Roman" w:eastAsia="仿宋_GB2312" w:cs="Times New Roman"/>
          <w:color w:val="auto"/>
          <w:sz w:val="32"/>
          <w:szCs w:val="32"/>
          <w:u w:val="none"/>
          <w:vertAlign w:val="baseline"/>
          <w:lang w:val="en-US" w:eastAsia="zh-CN"/>
        </w:rPr>
        <w:t>16.持续开展建筑保温材料安全隐患全链条整治行动。进一步加强生产企业产品质量管控，严厉打击假冒伪劣产品，做好建筑保温材料产品质量安全追溯工作，守牢产品质量安全底线。</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color w:val="auto"/>
          <w:sz w:val="32"/>
          <w:szCs w:val="32"/>
          <w:u w:val="none"/>
          <w:vertAlign w:val="baseline"/>
          <w:lang w:val="en-US" w:eastAsia="zh-CN"/>
        </w:rPr>
      </w:pPr>
      <w:r>
        <w:rPr>
          <w:rFonts w:hint="eastAsia" w:ascii="Times New Roman" w:hAnsi="Times New Roman" w:eastAsia="仿宋_GB2312" w:cs="Times New Roman"/>
          <w:color w:val="auto"/>
          <w:sz w:val="32"/>
          <w:szCs w:val="32"/>
          <w:u w:val="none"/>
          <w:vertAlign w:val="baseline"/>
          <w:lang w:val="en-US" w:eastAsia="zh-CN"/>
        </w:rPr>
        <w:t>17.加强食品安全共治。深入食品经营主体集中、客流量大的区域场所，开展食品安全“你点我检”进商超活动，引导消费者通过“你点我检服务惠民生”民意征集系统，点选感兴趣的食品品种和检验项目。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color w:val="auto"/>
          <w:sz w:val="32"/>
          <w:szCs w:val="32"/>
          <w:u w:val="none"/>
          <w:vertAlign w:val="baseline"/>
          <w:lang w:val="en-US" w:eastAsia="zh-CN"/>
        </w:rPr>
      </w:pPr>
      <w:r>
        <w:rPr>
          <w:rFonts w:hint="eastAsia" w:ascii="Times New Roman" w:hAnsi="Times New Roman" w:eastAsia="仿宋_GB2312" w:cs="Times New Roman"/>
          <w:color w:val="auto"/>
          <w:sz w:val="32"/>
          <w:szCs w:val="32"/>
          <w:u w:val="none"/>
          <w:vertAlign w:val="baseline"/>
          <w:lang w:val="en-US" w:eastAsia="zh-CN"/>
        </w:rPr>
        <w:t>18.开展</w:t>
      </w:r>
      <w:r>
        <w:rPr>
          <w:rFonts w:hint="eastAsia" w:ascii="Times New Roman" w:hAnsi="Times New Roman" w:eastAsia="仿宋_GB2312" w:cs="Times New Roman"/>
          <w:color w:val="auto"/>
          <w:sz w:val="32"/>
          <w:szCs w:val="32"/>
          <w:u w:val="none"/>
          <w:vertAlign w:val="baseline"/>
          <w:lang w:val="en" w:eastAsia="zh-CN"/>
        </w:rPr>
        <w:t>液化石油气瓶充装单位</w:t>
      </w:r>
      <w:r>
        <w:rPr>
          <w:rFonts w:hint="eastAsia" w:ascii="Times New Roman" w:hAnsi="Times New Roman" w:eastAsia="仿宋_GB2312" w:cs="Times New Roman"/>
          <w:color w:val="auto"/>
          <w:sz w:val="32"/>
          <w:szCs w:val="32"/>
          <w:u w:val="none"/>
          <w:vertAlign w:val="baseline"/>
          <w:lang w:val="en-US" w:eastAsia="zh-CN"/>
        </w:rPr>
        <w:t>专项整治。严厉打击未按照规定实施充装前后的检查、记录制度、充装超期未检或检验不合格气瓶、充装“黑气瓶”、充装没有设置信息标识的气瓶等违法行为，维护人民群众生命财产安全。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color w:val="auto"/>
          <w:sz w:val="32"/>
          <w:szCs w:val="32"/>
          <w:u w:val="none"/>
          <w:vertAlign w:val="baseline"/>
          <w:lang w:val="en-US" w:eastAsia="zh-CN"/>
        </w:rPr>
      </w:pPr>
      <w:r>
        <w:rPr>
          <w:rFonts w:hint="eastAsia" w:ascii="Times New Roman" w:hAnsi="Times New Roman" w:eastAsia="仿宋_GB2312" w:cs="Times New Roman"/>
          <w:color w:val="auto"/>
          <w:sz w:val="32"/>
          <w:szCs w:val="32"/>
          <w:u w:val="none"/>
          <w:vertAlign w:val="baseline"/>
          <w:lang w:val="en-US" w:eastAsia="zh-CN"/>
        </w:rPr>
        <w:t>19.开展药品安全科普宣传。以“药品安全、监管为民”为主题发布“两品一械”科普宣传作品。围绕“两品一械”安全使用、政策解读等内容制作图文、视频等科普作品，在局公众号栏目集中发布。同时，制作“过敏疾病用药需注意”、“如何自测血压”、“中药煎煮有讲究”折页，通过定点药店向消费者免费发放。</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color w:val="auto"/>
          <w:sz w:val="32"/>
          <w:szCs w:val="32"/>
          <w:u w:val="none"/>
          <w:vertAlign w:val="baseline"/>
          <w:lang w:val="en-US" w:eastAsia="zh-CN"/>
        </w:rPr>
      </w:pPr>
      <w:r>
        <w:rPr>
          <w:rFonts w:hint="eastAsia" w:ascii="Times New Roman" w:hAnsi="Times New Roman" w:eastAsia="仿宋_GB2312" w:cs="Times New Roman"/>
          <w:color w:val="auto"/>
          <w:sz w:val="32"/>
          <w:szCs w:val="32"/>
          <w:u w:val="none"/>
          <w:vertAlign w:val="baseline"/>
          <w:lang w:val="en-US" w:eastAsia="zh-CN"/>
        </w:rPr>
        <w:t>20.开展小站稻国家地理标志保护示范区建设验收迎检工作。进行小站稻地理标志实地核验及文书汇报，全面梳理小站稻地理标志建设推广情况，促进小站稻品牌价值提升，擦亮“小站稻”金字招牌。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Times New Roman" w:hAnsi="黑体" w:eastAsia="黑体" w:cs="Times New Roman"/>
          <w:bCs/>
          <w:color w:val="auto"/>
          <w:kern w:val="0"/>
          <w:sz w:val="32"/>
          <w:szCs w:val="32"/>
          <w:lang w:val="zh-CN" w:eastAsia="zh-CN" w:bidi="ar-SA"/>
        </w:rPr>
      </w:pPr>
      <w:r>
        <w:rPr>
          <w:rFonts w:hint="eastAsia" w:ascii="Times New Roman" w:hAnsi="黑体" w:eastAsia="黑体" w:cs="Times New Roman"/>
          <w:bCs/>
          <w:color w:val="auto"/>
          <w:kern w:val="0"/>
          <w:sz w:val="32"/>
          <w:szCs w:val="32"/>
          <w:lang w:val="zh-CN" w:eastAsia="zh-CN" w:bidi="ar-SA"/>
        </w:rPr>
        <w:t>二</w:t>
      </w:r>
      <w:r>
        <w:rPr>
          <w:rFonts w:hint="default" w:ascii="Times New Roman" w:hAnsi="黑体" w:eastAsia="黑体" w:cs="Times New Roman"/>
          <w:bCs/>
          <w:color w:val="auto"/>
          <w:kern w:val="0"/>
          <w:sz w:val="32"/>
          <w:szCs w:val="32"/>
          <w:lang w:eastAsia="zh-CN" w:bidi="ar-SA"/>
        </w:rPr>
        <w:t>、区</w:t>
      </w:r>
      <w:r>
        <w:rPr>
          <w:rFonts w:hint="eastAsia" w:ascii="Times New Roman" w:hAnsi="黑体" w:eastAsia="黑体" w:cs="Times New Roman"/>
          <w:bCs/>
          <w:color w:val="auto"/>
          <w:kern w:val="0"/>
          <w:sz w:val="32"/>
          <w:szCs w:val="32"/>
          <w:lang w:val="en-US" w:eastAsia="zh-CN" w:bidi="ar-SA"/>
        </w:rPr>
        <w:t>工业和信息化局开展的活动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color w:val="auto"/>
          <w:sz w:val="32"/>
          <w:szCs w:val="32"/>
          <w:u w:val="none"/>
          <w:vertAlign w:val="baseline"/>
          <w:lang w:val="en-US" w:eastAsia="zh-CN"/>
        </w:rPr>
      </w:pPr>
      <w:r>
        <w:rPr>
          <w:rFonts w:hint="eastAsia" w:ascii="Times New Roman" w:hAnsi="Times New Roman" w:eastAsia="仿宋_GB2312" w:cs="Times New Roman"/>
          <w:color w:val="auto"/>
          <w:sz w:val="32"/>
          <w:szCs w:val="32"/>
          <w:u w:val="none"/>
          <w:vertAlign w:val="baseline"/>
          <w:lang w:val="en-US" w:eastAsia="zh-CN"/>
        </w:rPr>
        <w:t>21.组织质量管理培训交流活动。围绕质量管理能力评估规范、质量管理数字化等专题，组织工业</w:t>
      </w:r>
      <w:r>
        <w:rPr>
          <w:rFonts w:hint="default" w:ascii="Times New Roman" w:hAnsi="Times New Roman" w:eastAsia="仿宋_GB2312" w:cs="Times New Roman"/>
          <w:color w:val="auto"/>
          <w:sz w:val="32"/>
          <w:szCs w:val="32"/>
          <w:u w:val="none"/>
          <w:vertAlign w:val="baseline"/>
          <w:lang w:val="en-US" w:eastAsia="zh-CN"/>
        </w:rPr>
        <w:t>企业参加市区</w:t>
      </w:r>
      <w:r>
        <w:rPr>
          <w:rFonts w:hint="eastAsia" w:ascii="Times New Roman" w:hAnsi="Times New Roman" w:eastAsia="仿宋_GB2312" w:cs="Times New Roman"/>
          <w:color w:val="auto"/>
          <w:sz w:val="32"/>
          <w:szCs w:val="32"/>
          <w:u w:val="none"/>
          <w:vertAlign w:val="baseline"/>
          <w:lang w:val="en-US" w:eastAsia="zh-CN"/>
        </w:rPr>
        <w:t>培训交流活动，推广先进质量管理方法和管理经验，提升企业质量管理水平。</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vertAlign w:val="baseline"/>
          <w:lang w:val="en-US" w:eastAsia="zh-CN"/>
        </w:rPr>
      </w:pPr>
      <w:r>
        <w:rPr>
          <w:rFonts w:hint="eastAsia" w:ascii="Times New Roman" w:hAnsi="Times New Roman" w:eastAsia="仿宋_GB2312" w:cs="Times New Roman"/>
          <w:color w:val="auto"/>
          <w:sz w:val="32"/>
          <w:szCs w:val="32"/>
          <w:u w:val="none"/>
          <w:vertAlign w:val="baseline"/>
          <w:lang w:val="en-US" w:eastAsia="zh-CN"/>
        </w:rPr>
        <w:t>22.开展质量管理能力评价工作。按照“贯标、培训、评估、复核”的总体工作安排，指导制造业企业强化质量管理，应用专业质量管理工具和方法，开展质量管理能力分级评价，以评促改，提升企业质量管理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ascii="Times New Roman" w:hAnsi="黑体" w:eastAsia="黑体"/>
          <w:bCs/>
          <w:color w:val="auto"/>
          <w:kern w:val="0"/>
          <w:sz w:val="32"/>
          <w:szCs w:val="32"/>
        </w:rPr>
      </w:pPr>
      <w:r>
        <w:rPr>
          <w:rFonts w:hint="eastAsia" w:ascii="Times New Roman" w:hAnsi="黑体" w:eastAsia="黑体"/>
          <w:bCs/>
          <w:color w:val="auto"/>
          <w:kern w:val="0"/>
          <w:sz w:val="32"/>
          <w:szCs w:val="32"/>
          <w:lang w:val="zh-CN"/>
        </w:rPr>
        <w:t>三、</w:t>
      </w:r>
      <w:r>
        <w:rPr>
          <w:rFonts w:ascii="Times New Roman" w:hAnsi="黑体" w:eastAsia="黑体"/>
          <w:bCs/>
          <w:color w:val="auto"/>
          <w:kern w:val="0"/>
          <w:sz w:val="32"/>
          <w:szCs w:val="32"/>
        </w:rPr>
        <w:t>区</w:t>
      </w:r>
      <w:r>
        <w:rPr>
          <w:rFonts w:hint="eastAsia" w:ascii="Times New Roman" w:hAnsi="黑体" w:eastAsia="黑体"/>
          <w:bCs/>
          <w:color w:val="auto"/>
          <w:kern w:val="0"/>
          <w:sz w:val="32"/>
          <w:szCs w:val="32"/>
          <w:lang w:eastAsia="zh-CN"/>
        </w:rPr>
        <w:t>国资委</w:t>
      </w:r>
      <w:r>
        <w:rPr>
          <w:rFonts w:ascii="Times New Roman" w:hAnsi="黑体" w:eastAsia="黑体"/>
          <w:bCs/>
          <w:color w:val="auto"/>
          <w:kern w:val="0"/>
          <w:sz w:val="32"/>
          <w:szCs w:val="32"/>
        </w:rPr>
        <w:t>开展的活动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color w:val="auto"/>
          <w:sz w:val="32"/>
          <w:szCs w:val="32"/>
          <w:u w:val="none"/>
          <w:vertAlign w:val="baseline"/>
          <w:lang w:val="en-US" w:eastAsia="zh-CN"/>
        </w:rPr>
      </w:pPr>
      <w:r>
        <w:rPr>
          <w:rFonts w:hint="eastAsia" w:ascii="Times New Roman" w:hAnsi="Times New Roman" w:eastAsia="仿宋_GB2312" w:cs="Times New Roman"/>
          <w:color w:val="auto"/>
          <w:sz w:val="32"/>
          <w:szCs w:val="32"/>
          <w:u w:val="none"/>
          <w:vertAlign w:val="baseline"/>
          <w:lang w:val="en-US" w:eastAsia="zh-CN"/>
        </w:rPr>
        <w:t>23.推动监管企业加强关键技术攻关，提升服务质量，更好服务经济社会高质量发展。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outlineLvl w:val="0"/>
        <w:rPr>
          <w:rFonts w:hint="eastAsia" w:ascii="Times New Roman" w:hAnsi="Times New Roman" w:eastAsia="仿宋_GB2312" w:cs="Times New Roman"/>
          <w:color w:val="auto"/>
          <w:sz w:val="32"/>
          <w:szCs w:val="32"/>
          <w:u w:val="none"/>
          <w:vertAlign w:val="baseline"/>
          <w:lang w:val="en-US" w:eastAsia="zh-CN"/>
        </w:rPr>
      </w:pPr>
      <w:r>
        <w:rPr>
          <w:rFonts w:hint="eastAsia" w:ascii="Times New Roman" w:hAnsi="黑体" w:eastAsia="黑体"/>
          <w:bCs/>
          <w:color w:val="auto"/>
          <w:kern w:val="0"/>
          <w:sz w:val="32"/>
          <w:szCs w:val="32"/>
        </w:rPr>
        <w:t>四</w:t>
      </w:r>
      <w:r>
        <w:rPr>
          <w:rFonts w:hint="default" w:ascii="Times New Roman" w:hAnsi="黑体" w:eastAsia="黑体"/>
          <w:bCs/>
          <w:color w:val="auto"/>
          <w:kern w:val="0"/>
          <w:sz w:val="32"/>
          <w:szCs w:val="32"/>
        </w:rPr>
        <w:t>、区</w:t>
      </w:r>
      <w:r>
        <w:rPr>
          <w:rFonts w:ascii="Times New Roman" w:hAnsi="黑体" w:eastAsia="黑体"/>
          <w:bCs/>
          <w:color w:val="auto"/>
          <w:kern w:val="0"/>
          <w:sz w:val="32"/>
          <w:szCs w:val="32"/>
        </w:rPr>
        <w:t>商务</w:t>
      </w:r>
      <w:r>
        <w:rPr>
          <w:rFonts w:hint="eastAsia" w:ascii="Times New Roman" w:hAnsi="黑体" w:eastAsia="黑体"/>
          <w:bCs/>
          <w:color w:val="auto"/>
          <w:kern w:val="0"/>
          <w:sz w:val="32"/>
          <w:szCs w:val="32"/>
        </w:rPr>
        <w:t>局</w:t>
      </w:r>
      <w:r>
        <w:rPr>
          <w:rFonts w:ascii="Times New Roman" w:hAnsi="黑体" w:eastAsia="黑体"/>
          <w:bCs/>
          <w:color w:val="auto"/>
          <w:kern w:val="0"/>
          <w:sz w:val="32"/>
          <w:szCs w:val="32"/>
        </w:rPr>
        <w:t>开展的活动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vertAlign w:val="baseline"/>
          <w:lang w:val="en-US" w:eastAsia="zh-CN"/>
        </w:rPr>
      </w:pPr>
      <w:r>
        <w:rPr>
          <w:rFonts w:hint="eastAsia" w:ascii="Times New Roman" w:hAnsi="Times New Roman" w:eastAsia="仿宋_GB2312" w:cs="Times New Roman"/>
          <w:color w:val="auto"/>
          <w:sz w:val="32"/>
          <w:szCs w:val="32"/>
          <w:u w:val="none"/>
          <w:vertAlign w:val="baseline"/>
          <w:lang w:val="en-US" w:eastAsia="zh-CN"/>
        </w:rPr>
        <w:t>24</w:t>
      </w:r>
      <w:r>
        <w:rPr>
          <w:rFonts w:hint="default" w:ascii="Times New Roman" w:hAnsi="Times New Roman" w:eastAsia="仿宋_GB2312" w:cs="Times New Roman"/>
          <w:color w:val="auto"/>
          <w:sz w:val="32"/>
          <w:szCs w:val="32"/>
          <w:u w:val="none"/>
          <w:vertAlign w:val="baseline"/>
          <w:lang w:val="en-US" w:eastAsia="zh-CN"/>
        </w:rPr>
        <w:t>.</w:t>
      </w:r>
      <w:r>
        <w:rPr>
          <w:rFonts w:hint="eastAsia" w:ascii="Times New Roman" w:hAnsi="Times New Roman" w:eastAsia="仿宋_GB2312" w:cs="Times New Roman"/>
          <w:color w:val="auto"/>
          <w:sz w:val="32"/>
          <w:szCs w:val="32"/>
          <w:u w:val="none"/>
          <w:vertAlign w:val="baseline"/>
          <w:lang w:val="en-US" w:eastAsia="zh-CN"/>
        </w:rPr>
        <w:t>配合市商务局开展“诚实守信 利企惠民”诚信兴商宣传月活动。加大宣传力度，对2025年度津南区“诚信经营承诺店”进行动态管理，进一步增强企业诚信经营意识，营造良好的营商和消费环境。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outlineLvl w:val="0"/>
        <w:rPr>
          <w:rFonts w:ascii="Times New Roman" w:hAnsi="Times New Roman" w:eastAsia="黑体"/>
          <w:bCs/>
          <w:color w:val="auto"/>
          <w:kern w:val="0"/>
          <w:sz w:val="32"/>
          <w:szCs w:val="32"/>
        </w:rPr>
      </w:pPr>
      <w:r>
        <w:rPr>
          <w:rFonts w:hint="eastAsia" w:ascii="Times New Roman" w:hAnsi="黑体" w:eastAsia="黑体"/>
          <w:bCs/>
          <w:color w:val="auto"/>
          <w:kern w:val="0"/>
          <w:sz w:val="32"/>
          <w:szCs w:val="32"/>
        </w:rPr>
        <w:t>五</w:t>
      </w:r>
      <w:r>
        <w:rPr>
          <w:rFonts w:hint="eastAsia" w:ascii="Times New Roman" w:hAnsi="黑体" w:eastAsia="黑体"/>
          <w:bCs/>
          <w:color w:val="auto"/>
          <w:kern w:val="0"/>
          <w:sz w:val="32"/>
          <w:szCs w:val="32"/>
          <w:lang w:eastAsia="zh-CN"/>
        </w:rPr>
        <w:t>、区</w:t>
      </w:r>
      <w:r>
        <w:rPr>
          <w:rFonts w:hint="eastAsia" w:ascii="Times New Roman" w:hAnsi="黑体" w:eastAsia="黑体"/>
          <w:bCs/>
          <w:color w:val="auto"/>
          <w:kern w:val="0"/>
          <w:sz w:val="32"/>
          <w:szCs w:val="32"/>
        </w:rPr>
        <w:t>住</w:t>
      </w:r>
      <w:r>
        <w:rPr>
          <w:rFonts w:ascii="Times New Roman" w:hAnsi="黑体" w:eastAsia="黑体"/>
          <w:bCs/>
          <w:color w:val="auto"/>
          <w:kern w:val="0"/>
          <w:sz w:val="32"/>
          <w:szCs w:val="32"/>
        </w:rPr>
        <w:t>建委开展的活动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color w:val="auto"/>
          <w:sz w:val="32"/>
          <w:szCs w:val="32"/>
          <w:u w:val="none"/>
          <w:vertAlign w:val="baseline"/>
          <w:lang w:val="en-US" w:eastAsia="zh-CN"/>
        </w:rPr>
      </w:pPr>
      <w:r>
        <w:rPr>
          <w:rFonts w:hint="eastAsia" w:ascii="Times New Roman" w:hAnsi="Times New Roman" w:eastAsia="仿宋_GB2312" w:cs="Times New Roman"/>
          <w:color w:val="auto"/>
          <w:sz w:val="32"/>
          <w:szCs w:val="32"/>
          <w:u w:val="none"/>
          <w:vertAlign w:val="baseline"/>
          <w:lang w:val="en-US" w:eastAsia="zh-CN"/>
        </w:rPr>
        <w:t>25.开展工程质量培训宣贯活动。采取线上、线下相结合的方式，邀请专家对《建设工程质量检测管理办法》、《住宅项目规范》等工程质量相关法律法规进行宣讲培训，提高各责任单位和责任人的质量意识，提升质量监督人员、从业人员质量素养，营造全行业“人人参与质量，人人重视质量”的浓厚氛围。</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color w:val="auto"/>
          <w:sz w:val="32"/>
          <w:szCs w:val="32"/>
          <w:u w:val="none"/>
          <w:vertAlign w:val="baseline"/>
          <w:lang w:val="en-US" w:eastAsia="zh-CN"/>
        </w:rPr>
      </w:pPr>
      <w:r>
        <w:rPr>
          <w:rFonts w:hint="eastAsia" w:ascii="Times New Roman" w:hAnsi="Times New Roman" w:eastAsia="仿宋_GB2312" w:cs="Times New Roman"/>
          <w:color w:val="auto"/>
          <w:sz w:val="32"/>
          <w:szCs w:val="32"/>
          <w:u w:val="none"/>
          <w:vertAlign w:val="baseline"/>
          <w:lang w:val="en-US" w:eastAsia="zh-CN"/>
        </w:rPr>
        <w:t>26.</w:t>
      </w:r>
      <w:r>
        <w:rPr>
          <w:rFonts w:hint="eastAsia" w:ascii="Times New Roman" w:hAnsi="Times New Roman" w:eastAsia="仿宋_GB2312" w:cs="Times New Roman"/>
          <w:color w:val="auto"/>
          <w:sz w:val="32"/>
          <w:szCs w:val="32"/>
          <w:u w:val="none"/>
          <w:vertAlign w:val="baseline"/>
          <w:lang w:val="en" w:eastAsia="zh-CN"/>
        </w:rPr>
        <w:t>开展工程质量执法检查。对在建项目参建单位质量安全行为、工程实体质量等进行监督检查，督促参建单位落实主体责任，</w:t>
      </w:r>
      <w:r>
        <w:rPr>
          <w:rFonts w:hint="eastAsia" w:ascii="Times New Roman" w:hAnsi="Times New Roman" w:eastAsia="仿宋_GB2312" w:cs="Times New Roman"/>
          <w:color w:val="auto"/>
          <w:sz w:val="32"/>
          <w:szCs w:val="32"/>
          <w:u w:val="none"/>
          <w:vertAlign w:val="baseline"/>
          <w:lang w:val="en-US" w:eastAsia="zh-CN"/>
        </w:rPr>
        <w:t>进一步规范房屋市政工程各方责任主体质量行为，强化关键岗位、关键工序、关键节点的质量控制，严厉打击工程质量违法违规行为。</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color w:val="auto"/>
          <w:sz w:val="32"/>
          <w:szCs w:val="32"/>
          <w:u w:val="none"/>
          <w:vertAlign w:val="baseline"/>
          <w:lang w:val="en-US" w:eastAsia="zh-CN"/>
        </w:rPr>
      </w:pPr>
      <w:r>
        <w:rPr>
          <w:rFonts w:hint="eastAsia" w:ascii="Times New Roman" w:hAnsi="Times New Roman" w:eastAsia="仿宋_GB2312" w:cs="Times New Roman"/>
          <w:color w:val="auto"/>
          <w:sz w:val="32"/>
          <w:szCs w:val="32"/>
          <w:u w:val="none"/>
          <w:vertAlign w:val="baseline"/>
          <w:lang w:val="en-US" w:eastAsia="zh-CN"/>
        </w:rPr>
        <w:t>27.开展建设工程质量检测机构</w:t>
      </w:r>
      <w:r>
        <w:rPr>
          <w:rFonts w:hint="default" w:ascii="Times New Roman" w:hAnsi="Times New Roman" w:eastAsia="仿宋_GB2312" w:cs="Times New Roman"/>
          <w:color w:val="auto"/>
          <w:sz w:val="32"/>
          <w:szCs w:val="32"/>
          <w:u w:val="none"/>
          <w:vertAlign w:val="baseline"/>
          <w:lang w:val="en-US" w:eastAsia="zh-CN"/>
        </w:rPr>
        <w:t>检查</w:t>
      </w:r>
      <w:r>
        <w:rPr>
          <w:rFonts w:hint="eastAsia" w:ascii="Times New Roman" w:hAnsi="Times New Roman" w:eastAsia="仿宋_GB2312" w:cs="Times New Roman"/>
          <w:color w:val="auto"/>
          <w:sz w:val="32"/>
          <w:szCs w:val="32"/>
          <w:u w:val="none"/>
          <w:vertAlign w:val="baseline"/>
          <w:lang w:val="en-US" w:eastAsia="zh-CN"/>
        </w:rPr>
        <w:t>，进一步提升建设工程质检机构检测水平，从源头上控制和预防质量问题的发生，确保建设工程有序推进。</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rPr>
          <w:rFonts w:ascii="Times New Roman" w:hAnsi="黑体" w:eastAsia="黑体"/>
          <w:bCs/>
          <w:color w:val="auto"/>
          <w:kern w:val="0"/>
          <w:sz w:val="32"/>
          <w:szCs w:val="32"/>
        </w:rPr>
      </w:pPr>
      <w:r>
        <w:rPr>
          <w:rFonts w:hint="eastAsia" w:ascii="Times New Roman" w:hAnsi="黑体" w:eastAsia="黑体"/>
          <w:bCs/>
          <w:color w:val="auto"/>
          <w:kern w:val="0"/>
          <w:sz w:val="32"/>
          <w:szCs w:val="32"/>
          <w:lang w:eastAsia="zh-CN"/>
        </w:rPr>
        <w:t>六、区</w:t>
      </w:r>
      <w:r>
        <w:rPr>
          <w:rFonts w:ascii="Times New Roman" w:hAnsi="黑体" w:eastAsia="黑体"/>
          <w:bCs/>
          <w:color w:val="auto"/>
          <w:kern w:val="0"/>
          <w:sz w:val="32"/>
          <w:szCs w:val="32"/>
        </w:rPr>
        <w:t>农</w:t>
      </w:r>
      <w:r>
        <w:rPr>
          <w:rFonts w:hint="eastAsia" w:ascii="Times New Roman" w:hAnsi="黑体" w:eastAsia="黑体"/>
          <w:bCs/>
          <w:color w:val="auto"/>
          <w:kern w:val="0"/>
          <w:sz w:val="32"/>
          <w:szCs w:val="32"/>
        </w:rPr>
        <w:t>业农村</w:t>
      </w:r>
      <w:r>
        <w:rPr>
          <w:rFonts w:ascii="Times New Roman" w:hAnsi="黑体" w:eastAsia="黑体"/>
          <w:bCs/>
          <w:color w:val="auto"/>
          <w:kern w:val="0"/>
          <w:sz w:val="32"/>
          <w:szCs w:val="32"/>
        </w:rPr>
        <w:t>委开展的活动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color w:val="auto"/>
          <w:sz w:val="32"/>
          <w:szCs w:val="32"/>
          <w:u w:val="none"/>
          <w:vertAlign w:val="baseline"/>
          <w:lang w:val="en-US" w:eastAsia="zh-CN"/>
        </w:rPr>
      </w:pPr>
      <w:r>
        <w:rPr>
          <w:rFonts w:hint="eastAsia" w:ascii="Times New Roman" w:hAnsi="Times New Roman" w:eastAsia="仿宋_GB2312" w:cs="Times New Roman"/>
          <w:color w:val="auto"/>
          <w:sz w:val="32"/>
          <w:szCs w:val="32"/>
          <w:u w:val="none"/>
          <w:vertAlign w:val="baseline"/>
          <w:lang w:val="en-US" w:eastAsia="zh-CN"/>
        </w:rPr>
        <w:t>28.强化法规宣传和技术指导。加大农安法律法规宣传力度，采取日常宣传、进村入户等方式，通过标语横幅、明白纸等多种形式，营造良好氛围。针对重点问题品种，深入田间地头和坑塘池边，开展绿色防控技术和健康养殖技术指导，提升主体生产技术水平，进一步增强生产主体法规意识，持续扩大健康养殖技术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color w:val="auto"/>
          <w:sz w:val="32"/>
          <w:szCs w:val="32"/>
          <w:u w:val="none"/>
          <w:vertAlign w:val="baseline"/>
          <w:lang w:val="en-US" w:eastAsia="zh-CN"/>
        </w:rPr>
      </w:pPr>
      <w:r>
        <w:rPr>
          <w:rFonts w:hint="eastAsia" w:ascii="Times New Roman" w:hAnsi="Times New Roman" w:eastAsia="仿宋_GB2312" w:cs="Times New Roman"/>
          <w:color w:val="auto"/>
          <w:sz w:val="32"/>
          <w:szCs w:val="32"/>
          <w:u w:val="none"/>
          <w:vertAlign w:val="baseline"/>
          <w:lang w:val="en-US" w:eastAsia="zh-CN"/>
        </w:rPr>
        <w:t>29</w:t>
      </w:r>
      <w:r>
        <w:rPr>
          <w:rFonts w:hint="default" w:ascii="Times New Roman" w:hAnsi="Times New Roman" w:eastAsia="仿宋_GB2312" w:cs="Times New Roman"/>
          <w:color w:val="auto"/>
          <w:sz w:val="32"/>
          <w:szCs w:val="32"/>
          <w:u w:val="none"/>
          <w:vertAlign w:val="baseline"/>
          <w:lang w:val="en" w:eastAsia="zh-CN"/>
        </w:rPr>
        <w:t>.</w:t>
      </w:r>
      <w:r>
        <w:rPr>
          <w:rFonts w:hint="eastAsia" w:ascii="Times New Roman" w:hAnsi="Times New Roman" w:eastAsia="仿宋_GB2312" w:cs="Times New Roman"/>
          <w:color w:val="auto"/>
          <w:sz w:val="32"/>
          <w:szCs w:val="32"/>
          <w:u w:val="none"/>
          <w:vertAlign w:val="baseline"/>
          <w:lang w:val="en-US" w:eastAsia="zh-CN"/>
        </w:rPr>
        <w:t>强化监督抽查。对我区地产食用农产品进行定量监测，完成数量不低于100批次，监测范围包括所有类型生产主体，监测品种侧重重点问题品种，确保农产品质量安全水平保持稳定。</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textAlignment w:val="auto"/>
        <w:rPr>
          <w:rFonts w:ascii="Times New Roman" w:hAnsi="黑体" w:eastAsia="黑体"/>
          <w:bCs/>
          <w:color w:val="auto"/>
          <w:kern w:val="0"/>
          <w:sz w:val="32"/>
          <w:szCs w:val="32"/>
        </w:rPr>
      </w:pPr>
      <w:r>
        <w:rPr>
          <w:rFonts w:hint="eastAsia" w:ascii="Times New Roman" w:hAnsi="黑体" w:eastAsia="黑体"/>
          <w:bCs/>
          <w:color w:val="auto"/>
          <w:kern w:val="0"/>
          <w:sz w:val="32"/>
          <w:szCs w:val="32"/>
          <w:lang w:eastAsia="zh-CN"/>
        </w:rPr>
        <w:t>八、区卫生健康委</w:t>
      </w:r>
      <w:r>
        <w:rPr>
          <w:rFonts w:ascii="Times New Roman" w:hAnsi="黑体" w:eastAsia="黑体"/>
          <w:bCs/>
          <w:color w:val="auto"/>
          <w:kern w:val="0"/>
          <w:sz w:val="32"/>
          <w:szCs w:val="32"/>
        </w:rPr>
        <w:t>开展的活动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color w:val="auto"/>
          <w:sz w:val="32"/>
          <w:szCs w:val="32"/>
          <w:u w:val="none"/>
          <w:vertAlign w:val="baseline"/>
          <w:lang w:val="en-US" w:eastAsia="zh-CN"/>
        </w:rPr>
      </w:pPr>
      <w:r>
        <w:rPr>
          <w:rFonts w:hint="eastAsia" w:ascii="Times New Roman" w:hAnsi="Times New Roman" w:eastAsia="仿宋_GB2312" w:cs="Times New Roman"/>
          <w:color w:val="auto"/>
          <w:sz w:val="32"/>
          <w:szCs w:val="32"/>
          <w:u w:val="none"/>
          <w:vertAlign w:val="baseline"/>
          <w:lang w:val="en-US" w:eastAsia="zh-CN"/>
        </w:rPr>
        <w:t>30.持续开展医疗质量控制工作。聚焦津南区医疗质量工作重点、难点问题开展相应督促指导工作，推动区内二级及以上医疗机构积极落实医疗质量安全专项整治行动，提升整体医疗质量。推进基层中医治未病工作开展，组织各基层单位参加市级中医医疗质量控制中心举办的基层中医治未病适宜技术培训班。</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黑体" w:eastAsia="黑体" w:cs="Times New Roman"/>
          <w:bCs/>
          <w:color w:val="auto"/>
          <w:kern w:val="0"/>
          <w:sz w:val="32"/>
          <w:szCs w:val="32"/>
          <w:lang w:val="en-US" w:eastAsia="zh-CN"/>
        </w:rPr>
      </w:pPr>
      <w:r>
        <w:rPr>
          <w:rFonts w:hint="eastAsia" w:ascii="Times New Roman" w:hAnsi="黑体" w:eastAsia="黑体" w:cs="Times New Roman"/>
          <w:bCs/>
          <w:color w:val="auto"/>
          <w:kern w:val="0"/>
          <w:sz w:val="32"/>
          <w:szCs w:val="32"/>
          <w:lang w:val="en-US" w:eastAsia="zh-CN"/>
        </w:rPr>
        <w:t>九</w:t>
      </w:r>
      <w:r>
        <w:rPr>
          <w:rFonts w:hint="default" w:ascii="Times New Roman" w:hAnsi="黑体" w:eastAsia="黑体" w:cs="Times New Roman"/>
          <w:bCs/>
          <w:color w:val="auto"/>
          <w:kern w:val="0"/>
          <w:sz w:val="32"/>
          <w:szCs w:val="32"/>
          <w:lang w:val="en-US" w:eastAsia="zh-CN"/>
        </w:rPr>
        <w:t>、区文</w:t>
      </w:r>
      <w:r>
        <w:rPr>
          <w:rFonts w:hint="eastAsia" w:ascii="Times New Roman" w:hAnsi="黑体" w:eastAsia="黑体" w:cs="Times New Roman"/>
          <w:bCs/>
          <w:color w:val="auto"/>
          <w:kern w:val="0"/>
          <w:sz w:val="32"/>
          <w:szCs w:val="32"/>
          <w:lang w:val="en-US" w:eastAsia="zh-CN"/>
        </w:rPr>
        <w:t>化和</w:t>
      </w:r>
      <w:r>
        <w:rPr>
          <w:rFonts w:hint="default" w:ascii="Times New Roman" w:hAnsi="黑体" w:eastAsia="黑体" w:cs="Times New Roman"/>
          <w:bCs/>
          <w:color w:val="auto"/>
          <w:kern w:val="0"/>
          <w:sz w:val="32"/>
          <w:szCs w:val="32"/>
          <w:lang w:val="en-US" w:eastAsia="zh-CN"/>
        </w:rPr>
        <w:t>旅</w:t>
      </w:r>
      <w:r>
        <w:rPr>
          <w:rFonts w:hint="eastAsia" w:ascii="Times New Roman" w:hAnsi="黑体" w:eastAsia="黑体" w:cs="Times New Roman"/>
          <w:bCs/>
          <w:color w:val="auto"/>
          <w:kern w:val="0"/>
          <w:sz w:val="32"/>
          <w:szCs w:val="32"/>
          <w:lang w:val="en-US" w:eastAsia="zh-CN"/>
        </w:rPr>
        <w:t>游</w:t>
      </w:r>
      <w:r>
        <w:rPr>
          <w:rFonts w:hint="default" w:ascii="Times New Roman" w:hAnsi="黑体" w:eastAsia="黑体" w:cs="Times New Roman"/>
          <w:bCs/>
          <w:color w:val="auto"/>
          <w:kern w:val="0"/>
          <w:sz w:val="32"/>
          <w:szCs w:val="32"/>
          <w:lang w:val="en-US" w:eastAsia="zh-CN"/>
        </w:rPr>
        <w:t>局开展的活动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color w:val="auto"/>
          <w:sz w:val="32"/>
          <w:szCs w:val="32"/>
          <w:u w:val="none"/>
          <w:vertAlign w:val="baseline"/>
          <w:lang w:val="en-US" w:eastAsia="zh-CN"/>
        </w:rPr>
      </w:pPr>
      <w:r>
        <w:rPr>
          <w:rFonts w:hint="eastAsia" w:ascii="Times New Roman" w:hAnsi="Times New Roman" w:eastAsia="仿宋_GB2312" w:cs="Times New Roman"/>
          <w:color w:val="auto"/>
          <w:sz w:val="32"/>
          <w:szCs w:val="32"/>
          <w:u w:val="none"/>
          <w:vertAlign w:val="baseline"/>
          <w:lang w:val="en-US" w:eastAsia="zh-CN"/>
        </w:rPr>
        <w:t>31.开展“质量月”宣传进景区活动</w:t>
      </w:r>
      <w:r>
        <w:rPr>
          <w:rFonts w:hint="default" w:ascii="Times New Roman" w:hAnsi="Times New Roman" w:eastAsia="仿宋_GB2312" w:cs="Times New Roman"/>
          <w:color w:val="auto"/>
          <w:sz w:val="32"/>
          <w:szCs w:val="32"/>
          <w:u w:val="none"/>
          <w:vertAlign w:val="baseline"/>
          <w:lang w:val="en-US" w:eastAsia="zh-CN"/>
        </w:rPr>
        <w:t>。</w:t>
      </w:r>
      <w:r>
        <w:rPr>
          <w:rFonts w:hint="eastAsia" w:ascii="Times New Roman" w:hAnsi="Times New Roman" w:eastAsia="仿宋_GB2312" w:cs="Times New Roman"/>
          <w:color w:val="auto"/>
          <w:sz w:val="32"/>
          <w:szCs w:val="32"/>
          <w:u w:val="none"/>
          <w:vertAlign w:val="baseline"/>
          <w:lang w:val="en-US" w:eastAsia="zh-CN"/>
        </w:rPr>
        <w:t>充分发挥文明旅游志愿服务者的作用，提升景区服务质量，同时利用景区宣传媒体进行宣传，让游客了解有关旅游行业服务质量的相关内容，大力营造人人关心质量的良好氛围。</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color w:val="auto"/>
          <w:sz w:val="32"/>
          <w:szCs w:val="32"/>
          <w:u w:val="none"/>
          <w:vertAlign w:val="baseline"/>
          <w:lang w:val="en-US" w:eastAsia="zh-CN"/>
        </w:rPr>
      </w:pPr>
      <w:r>
        <w:rPr>
          <w:rFonts w:hint="eastAsia" w:ascii="Times New Roman" w:hAnsi="Times New Roman" w:eastAsia="仿宋_GB2312" w:cs="Times New Roman"/>
          <w:color w:val="auto"/>
          <w:sz w:val="32"/>
          <w:szCs w:val="32"/>
          <w:u w:val="none"/>
          <w:vertAlign w:val="baseline"/>
          <w:lang w:val="en-US" w:eastAsia="zh-CN"/>
        </w:rPr>
        <w:t>32.开展A级景区安全生产执法检查。重点检查A级景区应急预案建立及执法情况、设备定期检验情况、警示标志张贴情况、景区内外旅游客运安全是否存在隐患、导游资质和旅游团队合同等相关内容，为广大市民游客安全出游提供保障。</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color w:val="auto"/>
          <w:sz w:val="32"/>
          <w:szCs w:val="32"/>
          <w:u w:val="none"/>
          <w:vertAlign w:val="baseline"/>
          <w:lang w:val="en-US" w:eastAsia="zh-CN"/>
        </w:rPr>
      </w:pPr>
      <w:r>
        <w:rPr>
          <w:rFonts w:hint="eastAsia" w:ascii="Times New Roman" w:hAnsi="Times New Roman" w:eastAsia="仿宋_GB2312" w:cs="Times New Roman"/>
          <w:color w:val="auto"/>
          <w:sz w:val="32"/>
          <w:szCs w:val="32"/>
          <w:u w:val="none"/>
          <w:vertAlign w:val="baseline"/>
          <w:lang w:val="en-US" w:eastAsia="zh-CN"/>
        </w:rPr>
        <w:t>33.有效规范旅游市场秩序。结合旅游行业导游乱象、强制消费等问题专项整治工作，持续打击整治“不合理低价游”、强制消费、无证导游、未经许可经营旅行社业务等突出问题，切实维护广大游客合法权益。</w:t>
      </w:r>
    </w:p>
    <w:p>
      <w:pPr>
        <w:pStyle w:val="17"/>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Chars="0" w:firstLine="640" w:firstLineChars="200"/>
        <w:jc w:val="both"/>
        <w:rPr>
          <w:rFonts w:ascii="Times New Roman" w:hAnsi="黑体" w:eastAsia="黑体"/>
          <w:bCs/>
          <w:color w:val="auto"/>
          <w:kern w:val="0"/>
          <w:sz w:val="32"/>
          <w:szCs w:val="32"/>
        </w:rPr>
      </w:pPr>
      <w:r>
        <w:rPr>
          <w:rFonts w:ascii="Times New Roman" w:hAnsi="黑体" w:eastAsia="黑体"/>
          <w:bCs/>
          <w:color w:val="auto"/>
          <w:kern w:val="0"/>
          <w:sz w:val="32"/>
          <w:szCs w:val="32"/>
        </w:rPr>
        <w:t>十</w:t>
      </w:r>
      <w:r>
        <w:rPr>
          <w:rFonts w:hint="eastAsia" w:ascii="Times New Roman" w:hAnsi="黑体" w:eastAsia="黑体"/>
          <w:bCs/>
          <w:color w:val="auto"/>
          <w:kern w:val="0"/>
          <w:sz w:val="32"/>
          <w:szCs w:val="32"/>
          <w:lang w:eastAsia="zh-CN"/>
        </w:rPr>
        <w:t>、</w:t>
      </w:r>
      <w:r>
        <w:rPr>
          <w:rFonts w:hint="eastAsia" w:ascii="Times New Roman" w:hAnsi="黑体" w:eastAsia="黑体"/>
          <w:bCs/>
          <w:color w:val="auto"/>
          <w:kern w:val="0"/>
          <w:sz w:val="32"/>
          <w:szCs w:val="32"/>
        </w:rPr>
        <w:t>公安</w:t>
      </w:r>
      <w:r>
        <w:rPr>
          <w:rFonts w:hint="default" w:ascii="Times New Roman" w:hAnsi="黑体" w:eastAsia="黑体"/>
          <w:bCs/>
          <w:color w:val="auto"/>
          <w:kern w:val="0"/>
          <w:sz w:val="32"/>
          <w:szCs w:val="32"/>
        </w:rPr>
        <w:t>津南分</w:t>
      </w:r>
      <w:r>
        <w:rPr>
          <w:rFonts w:hint="eastAsia" w:ascii="Times New Roman" w:hAnsi="黑体" w:eastAsia="黑体"/>
          <w:bCs/>
          <w:color w:val="auto"/>
          <w:kern w:val="0"/>
          <w:sz w:val="32"/>
          <w:szCs w:val="32"/>
        </w:rPr>
        <w:t>局</w:t>
      </w:r>
      <w:r>
        <w:rPr>
          <w:rFonts w:ascii="Times New Roman" w:hAnsi="黑体" w:eastAsia="黑体"/>
          <w:bCs/>
          <w:color w:val="auto"/>
          <w:kern w:val="0"/>
          <w:sz w:val="32"/>
          <w:szCs w:val="32"/>
        </w:rPr>
        <w:t>开展的活动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color w:val="auto"/>
          <w:sz w:val="32"/>
          <w:szCs w:val="32"/>
          <w:u w:val="none"/>
          <w:vertAlign w:val="baseline"/>
          <w:lang w:val="en-US" w:eastAsia="zh-CN"/>
        </w:rPr>
      </w:pPr>
      <w:r>
        <w:rPr>
          <w:rFonts w:hint="eastAsia" w:ascii="Times New Roman" w:hAnsi="Times New Roman" w:eastAsia="仿宋_GB2312" w:cs="Times New Roman"/>
          <w:color w:val="auto"/>
          <w:sz w:val="32"/>
          <w:szCs w:val="32"/>
          <w:u w:val="none"/>
          <w:vertAlign w:val="baseline"/>
          <w:lang w:val="en-US" w:eastAsia="zh-CN"/>
        </w:rPr>
        <w:t>34</w:t>
      </w:r>
      <w:r>
        <w:rPr>
          <w:rFonts w:hint="default" w:ascii="Times New Roman" w:hAnsi="Times New Roman" w:eastAsia="仿宋_GB2312" w:cs="Times New Roman"/>
          <w:color w:val="auto"/>
          <w:sz w:val="32"/>
          <w:szCs w:val="32"/>
          <w:u w:val="none"/>
          <w:vertAlign w:val="baseline"/>
          <w:lang w:val="en-US" w:eastAsia="zh-CN"/>
        </w:rPr>
        <w:t>.</w:t>
      </w:r>
      <w:r>
        <w:rPr>
          <w:rFonts w:hint="eastAsia" w:ascii="Times New Roman" w:hAnsi="Times New Roman" w:eastAsia="仿宋_GB2312" w:cs="Times New Roman"/>
          <w:color w:val="auto"/>
          <w:sz w:val="32"/>
          <w:szCs w:val="32"/>
          <w:u w:val="none"/>
          <w:vertAlign w:val="baseline"/>
          <w:lang w:val="en-US" w:eastAsia="zh-CN"/>
        </w:rPr>
        <w:t>联合区工商联等部门开展好“企业服务日”活动，了解企业诉求，提供相关法律援助，增强企业防范意识，护航企业发展。</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color w:val="auto"/>
          <w:sz w:val="32"/>
          <w:szCs w:val="32"/>
          <w:u w:val="none"/>
          <w:vertAlign w:val="baseline"/>
          <w:lang w:val="en-US" w:eastAsia="zh-CN"/>
        </w:rPr>
      </w:pPr>
      <w:r>
        <w:rPr>
          <w:rFonts w:hint="eastAsia" w:ascii="Times New Roman" w:hAnsi="Times New Roman" w:eastAsia="仿宋_GB2312" w:cs="Times New Roman"/>
          <w:color w:val="auto"/>
          <w:sz w:val="32"/>
          <w:szCs w:val="32"/>
          <w:u w:val="none"/>
          <w:vertAlign w:val="baseline"/>
          <w:lang w:val="en-US" w:eastAsia="zh-CN"/>
        </w:rPr>
        <w:t>35</w:t>
      </w:r>
      <w:r>
        <w:rPr>
          <w:rFonts w:hint="default" w:ascii="Times New Roman" w:hAnsi="Times New Roman" w:eastAsia="仿宋_GB2312" w:cs="Times New Roman"/>
          <w:color w:val="auto"/>
          <w:sz w:val="32"/>
          <w:szCs w:val="32"/>
          <w:u w:val="none"/>
          <w:vertAlign w:val="baseline"/>
          <w:lang w:val="en-US" w:eastAsia="zh-CN"/>
        </w:rPr>
        <w:t>.</w:t>
      </w:r>
      <w:r>
        <w:rPr>
          <w:rFonts w:hint="eastAsia" w:ascii="Times New Roman" w:hAnsi="Times New Roman" w:eastAsia="仿宋_GB2312" w:cs="Times New Roman"/>
          <w:color w:val="auto"/>
          <w:sz w:val="32"/>
          <w:szCs w:val="32"/>
          <w:u w:val="none"/>
          <w:vertAlign w:val="baseline"/>
          <w:lang w:val="en-US" w:eastAsia="zh-CN"/>
        </w:rPr>
        <w:t>严厉打击涉及食品、药品等违法犯罪行为，维护人民群众合法利益，</w:t>
      </w:r>
      <w:r>
        <w:rPr>
          <w:rFonts w:hint="default" w:ascii="Times New Roman" w:hAnsi="Times New Roman" w:eastAsia="仿宋_GB2312" w:cs="Times New Roman"/>
          <w:color w:val="auto"/>
          <w:sz w:val="32"/>
          <w:szCs w:val="32"/>
          <w:u w:val="none"/>
          <w:vertAlign w:val="baseline"/>
          <w:lang w:val="en-US" w:eastAsia="zh-CN"/>
        </w:rPr>
        <w:t>促进食品</w:t>
      </w:r>
      <w:r>
        <w:rPr>
          <w:rFonts w:hint="eastAsia" w:ascii="Times New Roman" w:hAnsi="Times New Roman" w:eastAsia="仿宋_GB2312" w:cs="Times New Roman"/>
          <w:color w:val="auto"/>
          <w:sz w:val="32"/>
          <w:szCs w:val="32"/>
          <w:u w:val="none"/>
          <w:vertAlign w:val="baseline"/>
          <w:lang w:val="en-US" w:eastAsia="zh-CN"/>
        </w:rPr>
        <w:t>，药品</w:t>
      </w:r>
      <w:r>
        <w:rPr>
          <w:rFonts w:hint="default" w:ascii="Times New Roman" w:hAnsi="Times New Roman" w:eastAsia="仿宋_GB2312" w:cs="Times New Roman"/>
          <w:color w:val="auto"/>
          <w:sz w:val="32"/>
          <w:szCs w:val="32"/>
          <w:u w:val="none"/>
          <w:vertAlign w:val="baseline"/>
          <w:lang w:val="en-US" w:eastAsia="zh-CN"/>
        </w:rPr>
        <w:t>行业持续健康发展</w:t>
      </w:r>
      <w:r>
        <w:rPr>
          <w:rFonts w:hint="eastAsia" w:ascii="Times New Roman" w:hAnsi="Times New Roman" w:eastAsia="仿宋_GB2312" w:cs="Times New Roman"/>
          <w:color w:val="auto"/>
          <w:sz w:val="32"/>
          <w:szCs w:val="32"/>
          <w:u w:val="none"/>
          <w:vertAlign w:val="baseline"/>
          <w:lang w:val="en-US" w:eastAsia="zh-CN"/>
        </w:rPr>
        <w:t>。同时，配合有关部门加强</w:t>
      </w:r>
      <w:r>
        <w:rPr>
          <w:rFonts w:hint="default" w:ascii="Times New Roman" w:hAnsi="Times New Roman" w:eastAsia="仿宋_GB2312" w:cs="Times New Roman"/>
          <w:color w:val="auto"/>
          <w:sz w:val="32"/>
          <w:szCs w:val="32"/>
          <w:u w:val="none"/>
          <w:vertAlign w:val="baseline"/>
          <w:lang w:val="en-US" w:eastAsia="zh-CN"/>
        </w:rPr>
        <w:t>检查执法，共同筑牢食品</w:t>
      </w:r>
      <w:r>
        <w:rPr>
          <w:rFonts w:hint="eastAsia" w:ascii="Times New Roman" w:hAnsi="Times New Roman" w:eastAsia="仿宋_GB2312" w:cs="Times New Roman"/>
          <w:color w:val="auto"/>
          <w:sz w:val="32"/>
          <w:szCs w:val="32"/>
          <w:u w:val="none"/>
          <w:vertAlign w:val="baseline"/>
          <w:lang w:val="en-US" w:eastAsia="zh-CN"/>
        </w:rPr>
        <w:t>、药品</w:t>
      </w:r>
      <w:r>
        <w:rPr>
          <w:rFonts w:hint="default" w:ascii="Times New Roman" w:hAnsi="Times New Roman" w:eastAsia="仿宋_GB2312" w:cs="Times New Roman"/>
          <w:color w:val="auto"/>
          <w:sz w:val="32"/>
          <w:szCs w:val="32"/>
          <w:u w:val="none"/>
          <w:vertAlign w:val="baseline"/>
          <w:lang w:val="en-US" w:eastAsia="zh-CN"/>
        </w:rPr>
        <w:t>安全防线</w:t>
      </w:r>
      <w:r>
        <w:rPr>
          <w:rFonts w:hint="eastAsia" w:ascii="Times New Roman" w:hAnsi="Times New Roman" w:eastAsia="仿宋_GB2312" w:cs="Times New Roman"/>
          <w:color w:val="auto"/>
          <w:sz w:val="32"/>
          <w:szCs w:val="32"/>
          <w:u w:val="none"/>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color w:val="auto"/>
          <w:sz w:val="32"/>
          <w:szCs w:val="32"/>
          <w:u w:val="none"/>
          <w:vertAlign w:val="baseline"/>
          <w:lang w:val="en-US" w:eastAsia="zh-CN"/>
        </w:rPr>
      </w:pPr>
      <w:r>
        <w:rPr>
          <w:rFonts w:hint="default" w:ascii="Times New Roman" w:hAnsi="Times New Roman" w:eastAsia="仿宋_GB2312" w:cs="Times New Roman"/>
          <w:color w:val="auto"/>
          <w:sz w:val="32"/>
          <w:szCs w:val="32"/>
          <w:u w:val="none"/>
          <w:vertAlign w:val="baseline"/>
          <w:lang w:val="en-US" w:eastAsia="zh-CN"/>
        </w:rPr>
        <w:t>3</w:t>
      </w:r>
      <w:r>
        <w:rPr>
          <w:rFonts w:hint="eastAsia" w:ascii="Times New Roman" w:hAnsi="Times New Roman" w:eastAsia="仿宋_GB2312" w:cs="Times New Roman"/>
          <w:color w:val="auto"/>
          <w:sz w:val="32"/>
          <w:szCs w:val="32"/>
          <w:u w:val="none"/>
          <w:vertAlign w:val="baseline"/>
          <w:lang w:val="en-US" w:eastAsia="zh-CN"/>
        </w:rPr>
        <w:t>6</w:t>
      </w:r>
      <w:r>
        <w:rPr>
          <w:rFonts w:hint="default" w:ascii="Times New Roman" w:hAnsi="Times New Roman" w:eastAsia="仿宋_GB2312" w:cs="Times New Roman"/>
          <w:color w:val="auto"/>
          <w:sz w:val="32"/>
          <w:szCs w:val="32"/>
          <w:u w:val="none"/>
          <w:vertAlign w:val="baseline"/>
          <w:lang w:val="en-US" w:eastAsia="zh-CN"/>
        </w:rPr>
        <w:t>.</w:t>
      </w:r>
      <w:r>
        <w:rPr>
          <w:rFonts w:hint="eastAsia" w:ascii="Times New Roman" w:hAnsi="Times New Roman" w:eastAsia="仿宋_GB2312" w:cs="Times New Roman"/>
          <w:color w:val="auto"/>
          <w:sz w:val="32"/>
          <w:szCs w:val="32"/>
          <w:u w:val="none"/>
          <w:vertAlign w:val="baseline"/>
          <w:lang w:val="en-US" w:eastAsia="zh-CN"/>
        </w:rPr>
        <w:t>配合区有关职能部门开展好宣传活动，</w:t>
      </w:r>
      <w:r>
        <w:rPr>
          <w:rFonts w:hint="default" w:ascii="Times New Roman" w:hAnsi="Times New Roman" w:eastAsia="仿宋_GB2312" w:cs="Times New Roman"/>
          <w:color w:val="auto"/>
          <w:sz w:val="32"/>
          <w:szCs w:val="32"/>
          <w:u w:val="none"/>
          <w:vertAlign w:val="baseline"/>
          <w:lang w:val="en-US" w:eastAsia="zh-CN"/>
        </w:rPr>
        <w:t>提升公众食品</w:t>
      </w:r>
      <w:r>
        <w:rPr>
          <w:rFonts w:hint="eastAsia" w:ascii="Times New Roman" w:hAnsi="Times New Roman" w:eastAsia="仿宋_GB2312" w:cs="Times New Roman"/>
          <w:color w:val="auto"/>
          <w:sz w:val="32"/>
          <w:szCs w:val="32"/>
          <w:u w:val="none"/>
          <w:vertAlign w:val="baseline"/>
          <w:lang w:val="en-US" w:eastAsia="zh-CN"/>
        </w:rPr>
        <w:t>、药品等方面的</w:t>
      </w:r>
      <w:r>
        <w:rPr>
          <w:rFonts w:hint="default" w:ascii="Times New Roman" w:hAnsi="Times New Roman" w:eastAsia="仿宋_GB2312" w:cs="Times New Roman"/>
          <w:color w:val="auto"/>
          <w:sz w:val="32"/>
          <w:szCs w:val="32"/>
          <w:u w:val="none"/>
          <w:vertAlign w:val="baseline"/>
          <w:lang w:val="en-US" w:eastAsia="zh-CN"/>
        </w:rPr>
        <w:t>安全素养，同心共护、积极营造社会共治共享浓厚氛围。</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rPr>
          <w:rFonts w:hint="eastAsia" w:ascii="Times New Roman" w:hAnsi="黑体" w:eastAsia="黑体"/>
          <w:bCs/>
          <w:color w:val="auto"/>
          <w:kern w:val="0"/>
          <w:sz w:val="32"/>
          <w:szCs w:val="32"/>
          <w:lang w:eastAsia="zh-CN"/>
        </w:rPr>
      </w:pPr>
      <w:r>
        <w:rPr>
          <w:rFonts w:hint="eastAsia" w:ascii="Times New Roman" w:hAnsi="黑体" w:eastAsia="黑体"/>
          <w:bCs/>
          <w:color w:val="auto"/>
          <w:kern w:val="0"/>
          <w:sz w:val="32"/>
          <w:szCs w:val="32"/>
        </w:rPr>
        <w:t>十</w:t>
      </w:r>
      <w:r>
        <w:rPr>
          <w:rFonts w:hint="eastAsia" w:ascii="Times New Roman" w:hAnsi="黑体" w:eastAsia="黑体"/>
          <w:bCs/>
          <w:color w:val="auto"/>
          <w:kern w:val="0"/>
          <w:sz w:val="32"/>
          <w:szCs w:val="32"/>
          <w:lang w:eastAsia="zh-CN"/>
        </w:rPr>
        <w:t>一</w:t>
      </w:r>
      <w:r>
        <w:rPr>
          <w:rFonts w:hint="default" w:ascii="Times New Roman" w:hAnsi="黑体" w:eastAsia="黑体"/>
          <w:bCs/>
          <w:color w:val="auto"/>
          <w:kern w:val="0"/>
          <w:sz w:val="32"/>
          <w:szCs w:val="32"/>
        </w:rPr>
        <w:t>、</w:t>
      </w:r>
      <w:r>
        <w:rPr>
          <w:rFonts w:hint="default" w:ascii="Times New Roman" w:hAnsi="黑体" w:eastAsia="黑体"/>
          <w:bCs/>
          <w:color w:val="auto"/>
          <w:kern w:val="0"/>
          <w:sz w:val="32"/>
          <w:szCs w:val="32"/>
          <w:lang w:eastAsia="zh-CN"/>
        </w:rPr>
        <w:t>区</w:t>
      </w:r>
      <w:r>
        <w:rPr>
          <w:rFonts w:hint="eastAsia" w:ascii="Times New Roman" w:hAnsi="黑体" w:eastAsia="黑体"/>
          <w:bCs/>
          <w:color w:val="auto"/>
          <w:kern w:val="0"/>
          <w:sz w:val="32"/>
          <w:szCs w:val="32"/>
          <w:lang w:eastAsia="zh-CN"/>
        </w:rPr>
        <w:t>人民检察院开展的活动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vertAlign w:val="baseline"/>
          <w:lang w:val="en-US" w:eastAsia="zh-CN"/>
        </w:rPr>
      </w:pPr>
      <w:r>
        <w:rPr>
          <w:rFonts w:hint="eastAsia" w:ascii="Times New Roman" w:hAnsi="Times New Roman" w:eastAsia="仿宋_GB2312" w:cs="Times New Roman"/>
          <w:color w:val="auto"/>
          <w:sz w:val="32"/>
          <w:szCs w:val="32"/>
          <w:u w:val="none"/>
          <w:vertAlign w:val="baseline"/>
          <w:lang w:val="en-US" w:eastAsia="zh-CN"/>
        </w:rPr>
        <w:t>37.</w:t>
      </w:r>
      <w:r>
        <w:rPr>
          <w:rFonts w:hint="default" w:ascii="Times New Roman" w:hAnsi="Times New Roman" w:eastAsia="仿宋_GB2312" w:cs="Times New Roman"/>
          <w:color w:val="auto"/>
          <w:sz w:val="32"/>
          <w:szCs w:val="32"/>
          <w:u w:val="none"/>
          <w:vertAlign w:val="baseline"/>
          <w:lang w:val="en-US" w:eastAsia="zh-CN"/>
        </w:rPr>
        <w:t>依托天开津南园检察服务站，面向</w:t>
      </w:r>
      <w:r>
        <w:rPr>
          <w:rFonts w:hint="eastAsia" w:ascii="Times New Roman" w:hAnsi="Times New Roman" w:eastAsia="仿宋_GB2312" w:cs="Times New Roman"/>
          <w:color w:val="auto"/>
          <w:sz w:val="32"/>
          <w:szCs w:val="32"/>
          <w:u w:val="none"/>
          <w:vertAlign w:val="baseline"/>
          <w:lang w:val="en-US" w:eastAsia="zh-CN"/>
        </w:rPr>
        <w:t>天开津南园</w:t>
      </w:r>
      <w:r>
        <w:rPr>
          <w:rFonts w:hint="default" w:ascii="Times New Roman" w:hAnsi="Times New Roman" w:eastAsia="仿宋_GB2312" w:cs="Times New Roman"/>
          <w:color w:val="auto"/>
          <w:sz w:val="32"/>
          <w:szCs w:val="32"/>
          <w:u w:val="none"/>
          <w:vertAlign w:val="baseline"/>
          <w:lang w:val="en-US" w:eastAsia="zh-CN"/>
        </w:rPr>
        <w:t>园区高新技术企业开展走访调研，就服务保障</w:t>
      </w:r>
      <w:r>
        <w:rPr>
          <w:rFonts w:hint="eastAsia" w:ascii="Times New Roman" w:hAnsi="Times New Roman" w:eastAsia="仿宋_GB2312" w:cs="Times New Roman"/>
          <w:color w:val="auto"/>
          <w:sz w:val="32"/>
          <w:szCs w:val="32"/>
          <w:u w:val="none"/>
          <w:vertAlign w:val="baseline"/>
          <w:lang w:val="en-US" w:eastAsia="zh-CN"/>
        </w:rPr>
        <w:t>园区</w:t>
      </w:r>
      <w:r>
        <w:rPr>
          <w:rFonts w:hint="default" w:ascii="Times New Roman" w:hAnsi="Times New Roman" w:eastAsia="仿宋_GB2312" w:cs="Times New Roman"/>
          <w:color w:val="auto"/>
          <w:sz w:val="32"/>
          <w:szCs w:val="32"/>
          <w:u w:val="none"/>
          <w:vertAlign w:val="baseline"/>
          <w:lang w:val="en-US" w:eastAsia="zh-CN"/>
        </w:rPr>
        <w:t>企业高质量发展，防范</w:t>
      </w:r>
      <w:r>
        <w:rPr>
          <w:rFonts w:hint="eastAsia" w:ascii="Times New Roman" w:hAnsi="Times New Roman" w:eastAsia="仿宋_GB2312" w:cs="Times New Roman"/>
          <w:color w:val="auto"/>
          <w:sz w:val="32"/>
          <w:szCs w:val="32"/>
          <w:u w:val="none"/>
          <w:vertAlign w:val="baseline"/>
          <w:lang w:val="en-US" w:eastAsia="zh-CN"/>
        </w:rPr>
        <w:t>园区</w:t>
      </w:r>
      <w:r>
        <w:rPr>
          <w:rFonts w:hint="default" w:ascii="Times New Roman" w:hAnsi="Times New Roman" w:eastAsia="仿宋_GB2312" w:cs="Times New Roman"/>
          <w:color w:val="auto"/>
          <w:sz w:val="32"/>
          <w:szCs w:val="32"/>
          <w:u w:val="none"/>
          <w:vertAlign w:val="baseline"/>
          <w:lang w:val="en-US" w:eastAsia="zh-CN"/>
        </w:rPr>
        <w:t>企业经营法律风险，助力</w:t>
      </w:r>
      <w:r>
        <w:rPr>
          <w:rFonts w:hint="eastAsia" w:ascii="Times New Roman" w:hAnsi="Times New Roman" w:eastAsia="仿宋_GB2312" w:cs="Times New Roman"/>
          <w:color w:val="auto"/>
          <w:sz w:val="32"/>
          <w:szCs w:val="32"/>
          <w:u w:val="none"/>
          <w:vertAlign w:val="baseline"/>
          <w:lang w:val="en-US" w:eastAsia="zh-CN"/>
        </w:rPr>
        <w:t>园区</w:t>
      </w:r>
      <w:r>
        <w:rPr>
          <w:rFonts w:hint="default" w:ascii="Times New Roman" w:hAnsi="Times New Roman" w:eastAsia="仿宋_GB2312" w:cs="Times New Roman"/>
          <w:color w:val="auto"/>
          <w:sz w:val="32"/>
          <w:szCs w:val="32"/>
          <w:u w:val="none"/>
          <w:vertAlign w:val="baseline"/>
          <w:lang w:val="en-US" w:eastAsia="zh-CN"/>
        </w:rPr>
        <w:t>企业守法经营、</w:t>
      </w:r>
      <w:r>
        <w:rPr>
          <w:rFonts w:hint="eastAsia" w:ascii="Times New Roman" w:hAnsi="Times New Roman" w:eastAsia="仿宋_GB2312" w:cs="Times New Roman"/>
          <w:color w:val="auto"/>
          <w:sz w:val="32"/>
          <w:szCs w:val="32"/>
          <w:u w:val="none"/>
          <w:vertAlign w:val="baseline"/>
          <w:lang w:val="en-US" w:eastAsia="zh-CN"/>
        </w:rPr>
        <w:t>健康</w:t>
      </w:r>
      <w:r>
        <w:rPr>
          <w:rFonts w:hint="default" w:ascii="Times New Roman" w:hAnsi="Times New Roman" w:eastAsia="仿宋_GB2312" w:cs="Times New Roman"/>
          <w:color w:val="auto"/>
          <w:sz w:val="32"/>
          <w:szCs w:val="32"/>
          <w:u w:val="none"/>
          <w:vertAlign w:val="baseline"/>
          <w:lang w:val="en-US" w:eastAsia="zh-CN"/>
        </w:rPr>
        <w:t>发展开展座谈交流，着力解决阻碍企业发展的知识产权法律问题。</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rPr>
          <w:rFonts w:hint="eastAsia" w:ascii="Times New Roman" w:hAnsi="黑体" w:eastAsia="黑体"/>
          <w:bCs/>
          <w:color w:val="auto"/>
          <w:kern w:val="0"/>
          <w:sz w:val="32"/>
          <w:szCs w:val="32"/>
          <w:lang w:eastAsia="zh-CN"/>
        </w:rPr>
      </w:pPr>
      <w:r>
        <w:rPr>
          <w:rFonts w:hint="eastAsia" w:ascii="Times New Roman" w:hAnsi="黑体" w:eastAsia="黑体"/>
          <w:bCs/>
          <w:color w:val="auto"/>
          <w:kern w:val="0"/>
          <w:sz w:val="32"/>
          <w:szCs w:val="32"/>
        </w:rPr>
        <w:t>十</w:t>
      </w:r>
      <w:r>
        <w:rPr>
          <w:rFonts w:hint="eastAsia" w:ascii="Times New Roman" w:hAnsi="黑体" w:eastAsia="黑体"/>
          <w:bCs/>
          <w:color w:val="auto"/>
          <w:kern w:val="0"/>
          <w:sz w:val="32"/>
          <w:szCs w:val="32"/>
          <w:lang w:eastAsia="zh-CN"/>
        </w:rPr>
        <w:t>二</w:t>
      </w:r>
      <w:r>
        <w:rPr>
          <w:rFonts w:hint="default" w:ascii="Times New Roman" w:hAnsi="黑体" w:eastAsia="黑体"/>
          <w:bCs/>
          <w:color w:val="auto"/>
          <w:kern w:val="0"/>
          <w:sz w:val="32"/>
          <w:szCs w:val="32"/>
        </w:rPr>
        <w:t>、区</w:t>
      </w:r>
      <w:r>
        <w:rPr>
          <w:rFonts w:hint="eastAsia" w:ascii="Times New Roman" w:hAnsi="黑体" w:eastAsia="黑体"/>
          <w:bCs/>
          <w:color w:val="auto"/>
          <w:kern w:val="0"/>
          <w:sz w:val="32"/>
          <w:szCs w:val="32"/>
          <w:lang w:eastAsia="zh-CN"/>
        </w:rPr>
        <w:t>司法局开展的活动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vertAlign w:val="baseline"/>
          <w:lang w:val="en" w:eastAsia="zh-CN"/>
        </w:rPr>
      </w:pPr>
      <w:r>
        <w:rPr>
          <w:rFonts w:hint="eastAsia" w:ascii="Times New Roman" w:hAnsi="Times New Roman" w:eastAsia="仿宋_GB2312" w:cs="Times New Roman"/>
          <w:color w:val="auto"/>
          <w:sz w:val="32"/>
          <w:szCs w:val="32"/>
          <w:u w:val="none"/>
          <w:vertAlign w:val="baseline"/>
          <w:lang w:val="en-US" w:eastAsia="zh-CN"/>
        </w:rPr>
        <w:t>38</w:t>
      </w:r>
      <w:r>
        <w:rPr>
          <w:rFonts w:hint="default" w:ascii="Times New Roman" w:hAnsi="Times New Roman" w:eastAsia="仿宋_GB2312" w:cs="Times New Roman"/>
          <w:color w:val="auto"/>
          <w:sz w:val="32"/>
          <w:szCs w:val="32"/>
          <w:u w:val="none"/>
          <w:vertAlign w:val="baseline"/>
          <w:lang w:val="en-US" w:eastAsia="zh-CN"/>
        </w:rPr>
        <w:t>.</w:t>
      </w:r>
      <w:r>
        <w:rPr>
          <w:rFonts w:hint="eastAsia" w:ascii="Times New Roman" w:hAnsi="Times New Roman" w:eastAsia="仿宋_GB2312" w:cs="Times New Roman"/>
          <w:color w:val="auto"/>
          <w:sz w:val="32"/>
          <w:szCs w:val="32"/>
          <w:u w:val="none"/>
          <w:vertAlign w:val="baseline"/>
          <w:lang w:val="en" w:eastAsia="zh-CN"/>
        </w:rPr>
        <w:t>开展“送法进企业”活动</w:t>
      </w:r>
      <w:r>
        <w:rPr>
          <w:rFonts w:hint="default" w:ascii="Times New Roman" w:hAnsi="Times New Roman" w:eastAsia="仿宋_GB2312" w:cs="Times New Roman"/>
          <w:color w:val="auto"/>
          <w:sz w:val="32"/>
          <w:szCs w:val="32"/>
          <w:u w:val="none"/>
          <w:vertAlign w:val="baseline"/>
          <w:lang w:val="en-US" w:eastAsia="zh-CN"/>
        </w:rPr>
        <w:t>。</w:t>
      </w:r>
      <w:r>
        <w:rPr>
          <w:rFonts w:hint="eastAsia" w:ascii="Times New Roman" w:hAnsi="Times New Roman" w:eastAsia="仿宋_GB2312" w:cs="Times New Roman"/>
          <w:color w:val="auto"/>
          <w:sz w:val="32"/>
          <w:szCs w:val="32"/>
          <w:u w:val="none"/>
          <w:vertAlign w:val="baseline"/>
          <w:lang w:val="en" w:eastAsia="zh-CN"/>
        </w:rPr>
        <w:t>深入</w:t>
      </w:r>
      <w:r>
        <w:rPr>
          <w:rFonts w:hint="default" w:ascii="Times New Roman" w:hAnsi="Times New Roman" w:eastAsia="仿宋_GB2312" w:cs="Times New Roman"/>
          <w:color w:val="auto"/>
          <w:sz w:val="32"/>
          <w:szCs w:val="32"/>
          <w:u w:val="none"/>
          <w:vertAlign w:val="baseline"/>
          <w:lang w:val="en-US" w:eastAsia="zh-CN"/>
        </w:rPr>
        <w:t>辖区</w:t>
      </w:r>
      <w:r>
        <w:rPr>
          <w:rFonts w:hint="eastAsia" w:ascii="Times New Roman" w:hAnsi="Times New Roman" w:eastAsia="仿宋_GB2312" w:cs="Times New Roman"/>
          <w:color w:val="auto"/>
          <w:sz w:val="32"/>
          <w:szCs w:val="32"/>
          <w:u w:val="none"/>
          <w:vertAlign w:val="baseline"/>
          <w:lang w:val="en" w:eastAsia="zh-CN"/>
        </w:rPr>
        <w:t>企业开展法治宣传教育活动，提升企业诚信守法经营意识，助力营造法治化营商环境。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rPr>
          <w:rFonts w:hint="eastAsia" w:ascii="Times New Roman" w:hAnsi="黑体" w:eastAsia="黑体" w:cs="Times New Roman"/>
          <w:bCs/>
          <w:color w:val="auto"/>
          <w:kern w:val="0"/>
          <w:sz w:val="32"/>
          <w:szCs w:val="32"/>
          <w:lang w:val="en-US" w:eastAsia="zh-CN" w:bidi="ar-SA"/>
        </w:rPr>
      </w:pPr>
      <w:r>
        <w:rPr>
          <w:rFonts w:hint="eastAsia" w:ascii="Times New Roman" w:hAnsi="黑体" w:eastAsia="黑体" w:cs="Times New Roman"/>
          <w:bCs/>
          <w:color w:val="auto"/>
          <w:kern w:val="0"/>
          <w:sz w:val="32"/>
          <w:szCs w:val="32"/>
          <w:lang w:val="en-US" w:eastAsia="zh-CN" w:bidi="ar-SA"/>
        </w:rPr>
        <w:t>十三、区应急局开展的活动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color w:val="auto"/>
          <w:sz w:val="32"/>
          <w:szCs w:val="32"/>
          <w:u w:val="none"/>
          <w:vertAlign w:val="baseline"/>
          <w:lang w:val="en-US" w:eastAsia="zh-CN"/>
        </w:rPr>
      </w:pPr>
      <w:r>
        <w:rPr>
          <w:rFonts w:hint="eastAsia" w:ascii="Times New Roman" w:hAnsi="Times New Roman" w:eastAsia="仿宋_GB2312" w:cs="Times New Roman"/>
          <w:color w:val="auto"/>
          <w:sz w:val="32"/>
          <w:szCs w:val="32"/>
          <w:u w:val="none"/>
          <w:vertAlign w:val="baseline"/>
          <w:lang w:val="en-US" w:eastAsia="zh-CN"/>
        </w:rPr>
        <w:t>39.开展质量安全宣传教育活动。一是拓展宣传阵地，充分利用内部办公平台、宣传栏、电子显示屏、微信群等载体，持续推送安全生产法律法规、危险化学品管理规范、事故预防与应急处置常识及典型事故案例警示，悬挂宣传横幅，发放安全手册，使安全理念随处可见、深入人心。二是强化教育培训，要求相关企业组织开展面向全体员工的专题安全培训，重点解读《安全生产法》等法规中涉及危险化学品管理的条款，结合岗位实际剖析风险隐患，明确安全操作规程与质量责任。通过举办安全知识竞赛、有奖问答等活动激发员工学习热情，切实增强全员的安全意识、责任意识和自我保护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color w:val="auto"/>
          <w:sz w:val="32"/>
          <w:szCs w:val="32"/>
          <w:u w:val="none"/>
          <w:vertAlign w:val="baseline"/>
          <w:lang w:val="en-US" w:eastAsia="zh-CN"/>
        </w:rPr>
      </w:pPr>
      <w:r>
        <w:rPr>
          <w:rFonts w:hint="eastAsia" w:ascii="Times New Roman" w:hAnsi="Times New Roman" w:eastAsia="仿宋_GB2312" w:cs="Times New Roman"/>
          <w:color w:val="auto"/>
          <w:sz w:val="32"/>
          <w:szCs w:val="32"/>
          <w:u w:val="none"/>
          <w:vertAlign w:val="baseline"/>
          <w:lang w:val="en-US" w:eastAsia="zh-CN"/>
        </w:rPr>
        <w:t>40.开展实战演练活动。要求企业在开展应急演练时模拟真实事故场景，完整覆盖事故初期报告、应急响应启动、人员紧急疏散与警戒、医疗救护、工艺处置与泄漏封堵、消防灭火、环境监测评估、后期洗消等关键环节，有效检验应急预案的科学性、实用性和可操作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baseline"/>
        <w:rPr>
          <w:rFonts w:ascii="Times New Roman" w:hAnsi="黑体" w:eastAsia="黑体"/>
          <w:bCs/>
          <w:color w:val="auto"/>
          <w:kern w:val="0"/>
          <w:sz w:val="32"/>
          <w:szCs w:val="32"/>
        </w:rPr>
      </w:pPr>
      <w:r>
        <w:rPr>
          <w:rFonts w:hint="eastAsia" w:ascii="Times New Roman" w:hAnsi="黑体" w:eastAsia="黑体"/>
          <w:bCs/>
          <w:color w:val="auto"/>
          <w:kern w:val="0"/>
          <w:sz w:val="32"/>
          <w:szCs w:val="32"/>
          <w:lang w:eastAsia="zh-CN"/>
        </w:rPr>
        <w:t>十四、区</w:t>
      </w:r>
      <w:r>
        <w:rPr>
          <w:rFonts w:ascii="Times New Roman" w:hAnsi="黑体" w:eastAsia="黑体"/>
          <w:bCs/>
          <w:color w:val="auto"/>
          <w:kern w:val="0"/>
          <w:sz w:val="32"/>
          <w:szCs w:val="32"/>
        </w:rPr>
        <w:t>水务局开展的活动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color w:val="auto"/>
          <w:sz w:val="32"/>
          <w:szCs w:val="32"/>
          <w:u w:val="none"/>
          <w:vertAlign w:val="baseline"/>
          <w:lang w:val="en-US" w:eastAsia="zh-CN"/>
        </w:rPr>
      </w:pPr>
      <w:r>
        <w:rPr>
          <w:rFonts w:hint="eastAsia" w:ascii="Times New Roman" w:hAnsi="Times New Roman" w:eastAsia="仿宋_GB2312" w:cs="Times New Roman"/>
          <w:color w:val="auto"/>
          <w:sz w:val="32"/>
          <w:szCs w:val="32"/>
          <w:u w:val="none"/>
          <w:vertAlign w:val="baseline"/>
          <w:lang w:val="en-US" w:eastAsia="zh-CN"/>
        </w:rPr>
        <w:t>41.开展水利工程建设质量培训。组织在建水利工程项目法人、监理、施工等工程参建单位开展建设质量培训，内容涵盖新发布的水利行业规范、标准、指导手册等，指导参建单位精准掌握要求，有效组织实施。开展水利工程建设标准化工地观摩，促进在建项目提升施工现场质量管理水平。</w:t>
      </w:r>
    </w:p>
    <w:p>
      <w:pPr>
        <w:pStyle w:val="17"/>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Chars="0" w:firstLine="640" w:firstLineChars="200"/>
        <w:jc w:val="both"/>
        <w:rPr>
          <w:rFonts w:hint="eastAsia" w:ascii="Times New Roman" w:hAnsi="黑体" w:eastAsia="黑体"/>
          <w:bCs/>
          <w:color w:val="auto"/>
          <w:kern w:val="0"/>
          <w:sz w:val="32"/>
          <w:szCs w:val="32"/>
          <w:lang w:eastAsia="zh-CN"/>
        </w:rPr>
      </w:pPr>
      <w:r>
        <w:rPr>
          <w:rFonts w:hint="eastAsia" w:ascii="Times New Roman" w:hAnsi="黑体" w:eastAsia="黑体" w:cs="Times New Roman"/>
          <w:bCs/>
          <w:color w:val="auto"/>
          <w:kern w:val="0"/>
          <w:sz w:val="32"/>
          <w:szCs w:val="32"/>
          <w:lang w:val="en-US" w:eastAsia="zh-CN" w:bidi="ar-SA"/>
        </w:rPr>
        <w:t>十五</w:t>
      </w:r>
      <w:r>
        <w:rPr>
          <w:rFonts w:hint="default" w:ascii="Times New Roman" w:hAnsi="黑体" w:eastAsia="黑体" w:cs="Times New Roman"/>
          <w:bCs/>
          <w:color w:val="auto"/>
          <w:kern w:val="0"/>
          <w:sz w:val="32"/>
          <w:szCs w:val="32"/>
          <w:lang w:eastAsia="zh-CN" w:bidi="ar-SA"/>
        </w:rPr>
        <w:t>、区</w:t>
      </w:r>
      <w:r>
        <w:rPr>
          <w:rFonts w:hint="eastAsia" w:ascii="Times New Roman" w:hAnsi="黑体" w:eastAsia="黑体" w:cs="Times New Roman"/>
          <w:bCs/>
          <w:color w:val="auto"/>
          <w:kern w:val="0"/>
          <w:sz w:val="32"/>
          <w:szCs w:val="32"/>
          <w:lang w:val="en-US" w:eastAsia="zh-CN" w:bidi="ar-SA"/>
        </w:rPr>
        <w:t>财政局</w:t>
      </w:r>
      <w:r>
        <w:rPr>
          <w:rFonts w:hint="eastAsia" w:ascii="Times New Roman" w:hAnsi="黑体" w:eastAsia="黑体"/>
          <w:bCs/>
          <w:color w:val="auto"/>
          <w:kern w:val="0"/>
          <w:sz w:val="32"/>
          <w:szCs w:val="32"/>
          <w:lang w:eastAsia="zh-CN"/>
        </w:rPr>
        <w:t>开展的活动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配合市金融局、市工信局等部门，联合区工信局组织辖区专精特新企业参加“天津市区域股权市场专精特新专板工作机制”路演活动。</w:t>
      </w:r>
    </w:p>
    <w:p>
      <w:pPr>
        <w:pStyle w:val="17"/>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Chars="0" w:firstLine="640" w:firstLineChars="200"/>
        <w:jc w:val="both"/>
        <w:rPr>
          <w:rFonts w:hint="eastAsia" w:ascii="Times New Roman" w:hAnsi="黑体" w:eastAsia="黑体"/>
          <w:bCs/>
          <w:color w:val="auto"/>
          <w:kern w:val="0"/>
          <w:sz w:val="32"/>
          <w:szCs w:val="32"/>
          <w:lang w:eastAsia="zh-CN"/>
        </w:rPr>
      </w:pPr>
      <w:r>
        <w:rPr>
          <w:rFonts w:hint="eastAsia" w:ascii="Times New Roman" w:hAnsi="黑体" w:eastAsia="黑体" w:cs="Times New Roman"/>
          <w:bCs/>
          <w:color w:val="auto"/>
          <w:kern w:val="0"/>
          <w:sz w:val="32"/>
          <w:szCs w:val="32"/>
          <w:lang w:val="en-US" w:eastAsia="zh-CN" w:bidi="ar-SA"/>
        </w:rPr>
        <w:t>十六</w:t>
      </w:r>
      <w:r>
        <w:rPr>
          <w:rFonts w:hint="default" w:ascii="Times New Roman" w:hAnsi="黑体" w:eastAsia="黑体" w:cs="Times New Roman"/>
          <w:bCs/>
          <w:color w:val="auto"/>
          <w:kern w:val="0"/>
          <w:sz w:val="32"/>
          <w:szCs w:val="32"/>
          <w:lang w:eastAsia="zh-CN" w:bidi="ar-SA"/>
        </w:rPr>
        <w:t>、区</w:t>
      </w:r>
      <w:r>
        <w:rPr>
          <w:rFonts w:hint="eastAsia" w:ascii="Times New Roman" w:hAnsi="黑体" w:eastAsia="黑体" w:cs="Times New Roman"/>
          <w:bCs/>
          <w:color w:val="auto"/>
          <w:kern w:val="0"/>
          <w:sz w:val="32"/>
          <w:szCs w:val="32"/>
          <w:lang w:val="en-US" w:eastAsia="zh-CN" w:bidi="ar-SA"/>
        </w:rPr>
        <w:t>供销</w:t>
      </w:r>
      <w:r>
        <w:rPr>
          <w:rFonts w:hint="default" w:ascii="Times New Roman" w:hAnsi="黑体" w:eastAsia="黑体" w:cs="Times New Roman"/>
          <w:bCs/>
          <w:color w:val="auto"/>
          <w:kern w:val="0"/>
          <w:sz w:val="32"/>
          <w:szCs w:val="32"/>
          <w:lang w:eastAsia="zh-CN" w:bidi="ar-SA"/>
        </w:rPr>
        <w:t>合作</w:t>
      </w:r>
      <w:r>
        <w:rPr>
          <w:rFonts w:hint="eastAsia" w:ascii="Times New Roman" w:hAnsi="黑体" w:eastAsia="黑体" w:cs="Times New Roman"/>
          <w:bCs/>
          <w:color w:val="auto"/>
          <w:kern w:val="0"/>
          <w:sz w:val="32"/>
          <w:szCs w:val="32"/>
          <w:lang w:val="en-US" w:eastAsia="zh-CN" w:bidi="ar-SA"/>
        </w:rPr>
        <w:t>社</w:t>
      </w:r>
      <w:r>
        <w:rPr>
          <w:rFonts w:hint="eastAsia" w:ascii="Times New Roman" w:hAnsi="黑体" w:eastAsia="黑体"/>
          <w:bCs/>
          <w:color w:val="auto"/>
          <w:kern w:val="0"/>
          <w:sz w:val="32"/>
          <w:szCs w:val="32"/>
          <w:lang w:eastAsia="zh-CN"/>
        </w:rPr>
        <w:t>开展的活动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color w:val="auto"/>
          <w:sz w:val="32"/>
          <w:szCs w:val="32"/>
          <w:u w:val="none"/>
          <w:vertAlign w:val="baseline"/>
          <w:lang w:val="en-US" w:eastAsia="zh-CN"/>
        </w:rPr>
      </w:pPr>
      <w:r>
        <w:rPr>
          <w:rFonts w:hint="eastAsia" w:ascii="Times New Roman" w:hAnsi="Times New Roman" w:eastAsia="仿宋_GB2312" w:cs="Times New Roman"/>
          <w:color w:val="auto"/>
          <w:sz w:val="32"/>
          <w:szCs w:val="32"/>
          <w:u w:val="none"/>
          <w:vertAlign w:val="baseline"/>
          <w:lang w:val="en-US" w:eastAsia="zh-CN"/>
        </w:rPr>
        <w:t>42</w:t>
      </w:r>
      <w:r>
        <w:rPr>
          <w:rFonts w:hint="default" w:ascii="Times New Roman" w:hAnsi="Times New Roman" w:eastAsia="仿宋_GB2312" w:cs="Times New Roman"/>
          <w:color w:val="auto"/>
          <w:sz w:val="32"/>
          <w:szCs w:val="32"/>
          <w:u w:val="none"/>
          <w:vertAlign w:val="baseline"/>
          <w:lang w:val="en-US" w:eastAsia="zh-CN"/>
        </w:rPr>
        <w:t>.</w:t>
      </w:r>
      <w:r>
        <w:rPr>
          <w:rFonts w:hint="eastAsia" w:ascii="Times New Roman" w:hAnsi="Times New Roman" w:eastAsia="仿宋_GB2312" w:cs="Times New Roman"/>
          <w:color w:val="auto"/>
          <w:sz w:val="32"/>
          <w:szCs w:val="32"/>
          <w:u w:val="none"/>
          <w:vertAlign w:val="baseline"/>
          <w:lang w:val="en-US" w:eastAsia="zh-CN"/>
        </w:rPr>
        <w:t>开展质量宣传活动</w:t>
      </w:r>
      <w:r>
        <w:rPr>
          <w:rFonts w:hint="default" w:ascii="Times New Roman" w:hAnsi="Times New Roman" w:eastAsia="仿宋_GB2312" w:cs="Times New Roman"/>
          <w:color w:val="auto"/>
          <w:sz w:val="32"/>
          <w:szCs w:val="32"/>
          <w:u w:val="none"/>
          <w:vertAlign w:val="baseline"/>
          <w:lang w:val="en-US" w:eastAsia="zh-CN"/>
        </w:rPr>
        <w:t>。</w:t>
      </w:r>
      <w:r>
        <w:rPr>
          <w:rFonts w:hint="eastAsia" w:ascii="Times New Roman" w:hAnsi="Times New Roman" w:eastAsia="仿宋_GB2312" w:cs="Times New Roman"/>
          <w:color w:val="auto"/>
          <w:sz w:val="32"/>
          <w:szCs w:val="32"/>
          <w:u w:val="none"/>
          <w:vertAlign w:val="baseline"/>
          <w:lang w:val="en-US" w:eastAsia="zh-CN"/>
        </w:rPr>
        <w:t>组织通过张贴宣传标语、发放宣传单等方式，在各菜市场、社区店进行质量知识宣传，营造浓厚氛围，提高居民群众质量意识和素养，树立良好的供销形象。</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color w:val="auto"/>
          <w:sz w:val="32"/>
          <w:szCs w:val="32"/>
          <w:u w:val="none"/>
          <w:vertAlign w:val="baseline"/>
          <w:lang w:val="en-US" w:eastAsia="zh-CN"/>
        </w:rPr>
      </w:pPr>
      <w:r>
        <w:rPr>
          <w:rFonts w:hint="eastAsia" w:ascii="Times New Roman" w:hAnsi="Times New Roman" w:eastAsia="仿宋_GB2312" w:cs="Times New Roman"/>
          <w:color w:val="auto"/>
          <w:sz w:val="32"/>
          <w:szCs w:val="32"/>
          <w:u w:val="none"/>
          <w:vertAlign w:val="baseline"/>
          <w:lang w:val="en-US" w:eastAsia="zh-CN"/>
        </w:rPr>
        <w:t>43</w:t>
      </w:r>
      <w:r>
        <w:rPr>
          <w:rFonts w:hint="default" w:ascii="Times New Roman" w:hAnsi="Times New Roman" w:eastAsia="仿宋_GB2312" w:cs="Times New Roman"/>
          <w:color w:val="auto"/>
          <w:sz w:val="32"/>
          <w:szCs w:val="32"/>
          <w:u w:val="none"/>
          <w:vertAlign w:val="baseline"/>
          <w:lang w:val="en-US" w:eastAsia="zh-CN"/>
        </w:rPr>
        <w:t>.</w:t>
      </w:r>
      <w:r>
        <w:rPr>
          <w:rFonts w:hint="eastAsia" w:ascii="Times New Roman" w:hAnsi="Times New Roman" w:eastAsia="仿宋_GB2312" w:cs="Times New Roman"/>
          <w:color w:val="auto"/>
          <w:sz w:val="32"/>
          <w:szCs w:val="32"/>
          <w:u w:val="none"/>
          <w:vertAlign w:val="baseline"/>
          <w:lang w:val="en-US" w:eastAsia="zh-CN"/>
        </w:rPr>
        <w:t>加强金仓供应链公司、金才园生活广场、农资公司、供销万家菜市场及各社区店的质量监督管控</w:t>
      </w:r>
      <w:r>
        <w:rPr>
          <w:rFonts w:hint="default" w:ascii="Times New Roman" w:hAnsi="Times New Roman" w:eastAsia="仿宋_GB2312" w:cs="Times New Roman"/>
          <w:color w:val="auto"/>
          <w:sz w:val="32"/>
          <w:szCs w:val="32"/>
          <w:u w:val="none"/>
          <w:vertAlign w:val="baseline"/>
          <w:lang w:val="en-US" w:eastAsia="zh-CN"/>
        </w:rPr>
        <w:t>。</w:t>
      </w:r>
      <w:r>
        <w:rPr>
          <w:rFonts w:hint="eastAsia" w:ascii="Times New Roman" w:hAnsi="Times New Roman" w:eastAsia="仿宋_GB2312" w:cs="Times New Roman"/>
          <w:color w:val="auto"/>
          <w:sz w:val="32"/>
          <w:szCs w:val="32"/>
          <w:u w:val="none"/>
          <w:vertAlign w:val="baseline"/>
          <w:lang w:val="en-US" w:eastAsia="zh-CN"/>
        </w:rPr>
        <w:t>在各食品经营网点按要求配备专兼职食品安全管理人员，确保经营过程持续合规并建立完善食品安全追溯体系，保障全链条全过程食品质量安全。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color w:val="auto"/>
          <w:sz w:val="32"/>
          <w:szCs w:val="32"/>
          <w:u w:val="none"/>
          <w:vertAlign w:val="baseline"/>
          <w:lang w:val="en-US" w:eastAsia="zh-CN"/>
        </w:rPr>
      </w:pPr>
      <w:r>
        <w:rPr>
          <w:rFonts w:hint="eastAsia" w:ascii="Times New Roman" w:hAnsi="Times New Roman" w:eastAsia="仿宋_GB2312" w:cs="Times New Roman"/>
          <w:color w:val="auto"/>
          <w:sz w:val="32"/>
          <w:szCs w:val="32"/>
          <w:u w:val="none"/>
          <w:vertAlign w:val="baseline"/>
          <w:lang w:val="en-US" w:eastAsia="zh-CN"/>
        </w:rPr>
        <w:t>44</w:t>
      </w:r>
      <w:r>
        <w:rPr>
          <w:rFonts w:hint="default" w:ascii="Times New Roman" w:hAnsi="Times New Roman" w:eastAsia="仿宋_GB2312" w:cs="Times New Roman"/>
          <w:color w:val="auto"/>
          <w:sz w:val="32"/>
          <w:szCs w:val="32"/>
          <w:u w:val="none"/>
          <w:vertAlign w:val="baseline"/>
          <w:lang w:val="en-US" w:eastAsia="zh-CN"/>
        </w:rPr>
        <w:t>.</w:t>
      </w:r>
      <w:r>
        <w:rPr>
          <w:rFonts w:hint="eastAsia" w:ascii="Times New Roman" w:hAnsi="Times New Roman" w:eastAsia="仿宋_GB2312" w:cs="Times New Roman"/>
          <w:color w:val="auto"/>
          <w:sz w:val="32"/>
          <w:szCs w:val="32"/>
          <w:u w:val="none"/>
          <w:vertAlign w:val="baseline"/>
          <w:lang w:val="en-US" w:eastAsia="zh-CN"/>
        </w:rPr>
        <w:t>组织开展社区系统内食品安全培训活动</w:t>
      </w:r>
      <w:r>
        <w:rPr>
          <w:rFonts w:hint="default" w:ascii="Times New Roman" w:hAnsi="Times New Roman" w:eastAsia="仿宋_GB2312" w:cs="Times New Roman"/>
          <w:color w:val="auto"/>
          <w:sz w:val="32"/>
          <w:szCs w:val="32"/>
          <w:u w:val="none"/>
          <w:vertAlign w:val="baseline"/>
          <w:lang w:val="en-US" w:eastAsia="zh-CN"/>
        </w:rPr>
        <w:t>。</w:t>
      </w:r>
      <w:r>
        <w:rPr>
          <w:rFonts w:hint="eastAsia" w:ascii="Times New Roman" w:hAnsi="Times New Roman" w:eastAsia="仿宋_GB2312" w:cs="Times New Roman"/>
          <w:color w:val="auto"/>
          <w:sz w:val="32"/>
          <w:szCs w:val="32"/>
          <w:u w:val="none"/>
          <w:vertAlign w:val="baseline"/>
          <w:lang w:val="en-US" w:eastAsia="zh-CN"/>
        </w:rPr>
        <w:t>加强食品安全意识、质量监督意识，切实履行食品安全质量管理、质量监管等主体责任，杜绝食品经营风险隐患和食品安全事故的发生，提升质量管控能力。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rPr>
          <w:rFonts w:hint="eastAsia" w:ascii="Times New Roman" w:hAnsi="黑体" w:eastAsia="黑体" w:cs="Times New Roman"/>
          <w:bCs/>
          <w:color w:val="auto"/>
          <w:kern w:val="0"/>
          <w:sz w:val="32"/>
          <w:szCs w:val="32"/>
          <w:lang w:val="en-US" w:eastAsia="zh-CN" w:bidi="ar-SA"/>
        </w:rPr>
      </w:pPr>
      <w:r>
        <w:rPr>
          <w:rFonts w:hint="eastAsia" w:ascii="Times New Roman" w:hAnsi="黑体" w:eastAsia="黑体" w:cs="Times New Roman"/>
          <w:bCs/>
          <w:color w:val="auto"/>
          <w:kern w:val="0"/>
          <w:sz w:val="32"/>
          <w:szCs w:val="32"/>
          <w:lang w:val="en-US" w:eastAsia="zh-CN" w:bidi="ar-SA"/>
        </w:rPr>
        <w:t>十七</w:t>
      </w:r>
      <w:r>
        <w:rPr>
          <w:rFonts w:hint="default" w:ascii="Times New Roman" w:hAnsi="黑体" w:eastAsia="黑体" w:cs="Times New Roman"/>
          <w:bCs/>
          <w:color w:val="auto"/>
          <w:kern w:val="0"/>
          <w:sz w:val="32"/>
          <w:szCs w:val="32"/>
          <w:lang w:eastAsia="zh-CN" w:bidi="ar-SA"/>
        </w:rPr>
        <w:t>、区</w:t>
      </w:r>
      <w:r>
        <w:rPr>
          <w:rFonts w:hint="eastAsia" w:ascii="Times New Roman" w:hAnsi="黑体" w:eastAsia="黑体" w:cs="Times New Roman"/>
          <w:bCs/>
          <w:color w:val="auto"/>
          <w:kern w:val="0"/>
          <w:sz w:val="32"/>
          <w:szCs w:val="32"/>
          <w:lang w:val="en-US" w:eastAsia="zh-CN" w:bidi="ar-SA"/>
        </w:rPr>
        <w:t>工商联开展的活动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color w:val="auto"/>
          <w:sz w:val="32"/>
          <w:szCs w:val="32"/>
          <w:u w:val="none"/>
          <w:vertAlign w:val="baseline"/>
          <w:lang w:val="en" w:eastAsia="zh-CN"/>
        </w:rPr>
      </w:pPr>
      <w:r>
        <w:rPr>
          <w:rFonts w:hint="eastAsia" w:ascii="Times New Roman" w:hAnsi="Times New Roman" w:eastAsia="仿宋_GB2312" w:cs="Times New Roman"/>
          <w:color w:val="auto"/>
          <w:sz w:val="32"/>
          <w:szCs w:val="32"/>
          <w:u w:val="none"/>
          <w:vertAlign w:val="baseline"/>
          <w:lang w:val="en-US" w:eastAsia="zh-CN"/>
        </w:rPr>
        <w:t>45</w:t>
      </w:r>
      <w:r>
        <w:rPr>
          <w:rFonts w:hint="default" w:ascii="Times New Roman" w:hAnsi="Times New Roman" w:eastAsia="仿宋_GB2312" w:cs="Times New Roman"/>
          <w:color w:val="auto"/>
          <w:sz w:val="32"/>
          <w:szCs w:val="32"/>
          <w:u w:val="none"/>
          <w:vertAlign w:val="baseline"/>
          <w:lang w:val="en" w:eastAsia="zh-CN"/>
        </w:rPr>
        <w:t>.</w:t>
      </w:r>
      <w:r>
        <w:rPr>
          <w:rFonts w:hint="eastAsia" w:ascii="Times New Roman" w:hAnsi="Times New Roman" w:eastAsia="仿宋_GB2312" w:cs="Times New Roman"/>
          <w:color w:val="auto"/>
          <w:sz w:val="32"/>
          <w:szCs w:val="32"/>
          <w:u w:val="none"/>
          <w:vertAlign w:val="baseline"/>
          <w:lang w:val="en" w:eastAsia="zh-CN"/>
        </w:rPr>
        <w:t>组织</w:t>
      </w:r>
      <w:r>
        <w:rPr>
          <w:rFonts w:hint="default" w:ascii="Times New Roman" w:hAnsi="Times New Roman" w:eastAsia="仿宋_GB2312" w:cs="Times New Roman"/>
          <w:color w:val="auto"/>
          <w:sz w:val="32"/>
          <w:szCs w:val="32"/>
          <w:u w:val="none"/>
          <w:vertAlign w:val="baseline"/>
          <w:lang w:val="en-US" w:eastAsia="zh-CN"/>
        </w:rPr>
        <w:t>辖区</w:t>
      </w:r>
      <w:r>
        <w:rPr>
          <w:rFonts w:hint="eastAsia" w:ascii="Times New Roman" w:hAnsi="Times New Roman" w:eastAsia="仿宋_GB2312" w:cs="Times New Roman"/>
          <w:color w:val="auto"/>
          <w:sz w:val="32"/>
          <w:szCs w:val="32"/>
          <w:u w:val="none"/>
          <w:vertAlign w:val="baseline"/>
          <w:lang w:val="en" w:eastAsia="zh-CN"/>
        </w:rPr>
        <w:t>商会、民营企业积极参与市级部门举办的</w:t>
      </w:r>
      <w:r>
        <w:rPr>
          <w:rFonts w:hint="eastAsia" w:ascii="Times New Roman" w:hAnsi="Times New Roman" w:eastAsia="仿宋_GB2312" w:cs="Times New Roman"/>
          <w:color w:val="auto"/>
          <w:sz w:val="32"/>
          <w:szCs w:val="32"/>
          <w:u w:val="none"/>
          <w:vertAlign w:val="baseline"/>
          <w:lang w:val="en-US" w:eastAsia="zh-CN"/>
        </w:rPr>
        <w:t>2025年民营经济标准创新周天津专场活动。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color w:val="auto"/>
          <w:sz w:val="32"/>
          <w:szCs w:val="32"/>
          <w:u w:val="none"/>
          <w:vertAlign w:val="baseline"/>
          <w:lang w:val="en-US" w:eastAsia="zh-CN"/>
        </w:rPr>
      </w:pPr>
      <w:r>
        <w:rPr>
          <w:rFonts w:hint="eastAsia" w:ascii="Times New Roman" w:hAnsi="Times New Roman" w:eastAsia="仿宋_GB2312" w:cs="Times New Roman"/>
          <w:color w:val="auto"/>
          <w:sz w:val="32"/>
          <w:szCs w:val="32"/>
          <w:u w:val="none"/>
          <w:vertAlign w:val="baseline"/>
          <w:lang w:val="en-US" w:eastAsia="zh-CN"/>
        </w:rPr>
        <w:t>46.开展质量标准政策宣传进企业活动，线上线下相结合，在微信公众平台发布质量标准相关政策解读文章，进行实地走访宣传，推动企业提升质量管理水平。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rPr>
          <w:rFonts w:hint="eastAsia" w:ascii="Times New Roman" w:hAnsi="Times New Roman" w:eastAsia="仿宋_GB2312" w:cs="Times New Roman"/>
          <w:color w:val="auto"/>
          <w:sz w:val="32"/>
          <w:szCs w:val="32"/>
          <w:u w:val="none"/>
          <w:vertAlign w:val="baseline"/>
          <w:lang w:val="en-US" w:eastAsia="zh-CN"/>
        </w:rPr>
      </w:pPr>
      <w:r>
        <w:rPr>
          <w:rFonts w:hint="eastAsia" w:ascii="Times New Roman" w:hAnsi="黑体" w:eastAsia="黑体" w:cs="Times New Roman"/>
          <w:bCs/>
          <w:color w:val="auto"/>
          <w:kern w:val="0"/>
          <w:sz w:val="32"/>
          <w:szCs w:val="32"/>
          <w:lang w:val="en-US" w:eastAsia="zh-CN" w:bidi="ar-SA"/>
        </w:rPr>
        <w:t>十八、区</w:t>
      </w:r>
      <w:r>
        <w:rPr>
          <w:rFonts w:hint="eastAsia" w:ascii="Times New Roman" w:hAnsi="黑体" w:eastAsia="黑体"/>
          <w:bCs/>
          <w:color w:val="auto"/>
          <w:kern w:val="0"/>
          <w:sz w:val="32"/>
          <w:szCs w:val="32"/>
          <w:lang w:eastAsia="zh-CN"/>
        </w:rPr>
        <w:t>消协开展的活动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color w:val="auto"/>
          <w:sz w:val="32"/>
          <w:szCs w:val="32"/>
          <w:u w:val="none"/>
          <w:vertAlign w:val="baseline"/>
          <w:lang w:val="en-US" w:eastAsia="zh-CN"/>
        </w:rPr>
      </w:pPr>
      <w:r>
        <w:rPr>
          <w:rFonts w:hint="eastAsia" w:ascii="Times New Roman" w:hAnsi="Times New Roman" w:eastAsia="仿宋_GB2312" w:cs="Times New Roman"/>
          <w:color w:val="auto"/>
          <w:sz w:val="32"/>
          <w:szCs w:val="32"/>
          <w:u w:val="none"/>
          <w:vertAlign w:val="baseline"/>
          <w:lang w:val="en-US" w:eastAsia="zh-CN"/>
        </w:rPr>
        <w:t>47.开展“3.15金秋购物节”公益活动。在重点商圈、特色街区、专业卖场、商业综合体、线下无理由退货商家、商场门店（柜台）等线下场所开展推广活动。推动经营者落实质量主体责任，为消费者创造放心暖心的消费环境，推出好产品、好服务，更好地满足消费者多样化、高品质的消费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rPr>
          <w:rFonts w:hint="eastAsia" w:ascii="Times New Roman" w:hAnsi="黑体" w:eastAsia="黑体"/>
          <w:bCs/>
          <w:color w:val="auto"/>
          <w:kern w:val="0"/>
          <w:sz w:val="32"/>
          <w:szCs w:val="32"/>
        </w:rPr>
      </w:pPr>
      <w:r>
        <w:rPr>
          <w:rFonts w:hint="eastAsia" w:ascii="Times New Roman" w:hAnsi="黑体" w:eastAsia="黑体" w:cs="Times New Roman"/>
          <w:bCs/>
          <w:color w:val="auto"/>
          <w:kern w:val="0"/>
          <w:sz w:val="32"/>
          <w:szCs w:val="32"/>
          <w:lang w:val="en-US" w:eastAsia="zh-CN" w:bidi="ar-SA"/>
        </w:rPr>
        <w:t>十九、</w:t>
      </w:r>
      <w:r>
        <w:rPr>
          <w:rFonts w:hint="eastAsia" w:ascii="Times New Roman" w:hAnsi="黑体" w:eastAsia="黑体"/>
          <w:bCs/>
          <w:color w:val="auto"/>
          <w:kern w:val="0"/>
          <w:sz w:val="32"/>
          <w:szCs w:val="32"/>
        </w:rPr>
        <w:t>团</w:t>
      </w:r>
      <w:r>
        <w:rPr>
          <w:rFonts w:hint="eastAsia" w:ascii="Times New Roman" w:hAnsi="黑体" w:eastAsia="黑体"/>
          <w:bCs/>
          <w:color w:val="auto"/>
          <w:kern w:val="0"/>
          <w:sz w:val="32"/>
          <w:szCs w:val="32"/>
          <w:lang w:eastAsia="zh-CN"/>
        </w:rPr>
        <w:t>区</w:t>
      </w:r>
      <w:r>
        <w:rPr>
          <w:rFonts w:hint="eastAsia" w:ascii="Times New Roman" w:hAnsi="黑体" w:eastAsia="黑体"/>
          <w:bCs/>
          <w:color w:val="auto"/>
          <w:kern w:val="0"/>
          <w:sz w:val="32"/>
          <w:szCs w:val="32"/>
        </w:rPr>
        <w:t>委开展的活动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color w:val="auto"/>
          <w:sz w:val="32"/>
          <w:szCs w:val="32"/>
          <w:u w:val="none"/>
          <w:vertAlign w:val="baseline"/>
          <w:lang w:val="en-US" w:eastAsia="zh-CN"/>
        </w:rPr>
      </w:pPr>
      <w:r>
        <w:rPr>
          <w:rFonts w:hint="eastAsia" w:ascii="Times New Roman" w:hAnsi="Times New Roman" w:eastAsia="仿宋_GB2312" w:cs="Times New Roman"/>
          <w:color w:val="auto"/>
          <w:sz w:val="32"/>
          <w:szCs w:val="32"/>
          <w:u w:val="none"/>
          <w:vertAlign w:val="baseline"/>
          <w:lang w:val="en-US" w:eastAsia="zh-CN"/>
        </w:rPr>
        <w:t>48.组织部分区级青年文明号创建集体开展交流活动，积极引导青年集体在质量改进、质量创新、质量提升等方面发挥青年力量。</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rPr>
          <w:rFonts w:hint="default" w:ascii="Times New Roman" w:hAnsi="Times New Roman" w:eastAsia="黑体" w:cs="Times New Roman"/>
          <w:bCs/>
          <w:color w:val="auto"/>
          <w:kern w:val="0"/>
          <w:sz w:val="32"/>
          <w:szCs w:val="32"/>
        </w:rPr>
      </w:pPr>
      <w:r>
        <w:rPr>
          <w:rFonts w:hint="eastAsia" w:ascii="Times New Roman" w:hAnsi="Times New Roman" w:eastAsia="黑体" w:cs="Times New Roman"/>
          <w:bCs/>
          <w:color w:val="auto"/>
          <w:kern w:val="0"/>
          <w:sz w:val="32"/>
          <w:szCs w:val="32"/>
          <w:lang w:eastAsia="zh-CN"/>
        </w:rPr>
        <w:t>二十、经济开发区、农业园区，</w:t>
      </w:r>
      <w:r>
        <w:rPr>
          <w:rFonts w:hint="default" w:ascii="Times New Roman" w:hAnsi="Times New Roman" w:eastAsia="黑体" w:cs="Times New Roman"/>
          <w:bCs/>
          <w:color w:val="auto"/>
          <w:kern w:val="0"/>
          <w:sz w:val="32"/>
          <w:szCs w:val="32"/>
        </w:rPr>
        <w:t>各</w:t>
      </w:r>
      <w:r>
        <w:rPr>
          <w:rFonts w:hint="default" w:ascii="Times New Roman" w:hAnsi="Times New Roman" w:eastAsia="黑体" w:cs="Times New Roman"/>
          <w:bCs/>
          <w:color w:val="auto"/>
          <w:kern w:val="0"/>
          <w:sz w:val="32"/>
          <w:szCs w:val="32"/>
          <w:lang w:eastAsia="zh-CN"/>
        </w:rPr>
        <w:t>街、镇、办事处</w:t>
      </w:r>
      <w:r>
        <w:rPr>
          <w:rFonts w:hint="default" w:ascii="Times New Roman" w:hAnsi="Times New Roman" w:eastAsia="黑体" w:cs="Times New Roman"/>
          <w:bCs/>
          <w:color w:val="auto"/>
          <w:kern w:val="0"/>
          <w:sz w:val="32"/>
          <w:szCs w:val="32"/>
        </w:rPr>
        <w:t>开展的活动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vertAlign w:val="baseline"/>
          <w:lang w:val="en-US" w:eastAsia="zh-CN"/>
        </w:rPr>
      </w:pPr>
      <w:r>
        <w:rPr>
          <w:rFonts w:hint="eastAsia" w:ascii="Times New Roman" w:hAnsi="Times New Roman" w:eastAsia="仿宋_GB2312" w:cs="Times New Roman"/>
          <w:color w:val="auto"/>
          <w:sz w:val="32"/>
          <w:szCs w:val="32"/>
          <w:u w:val="none"/>
          <w:vertAlign w:val="baseline"/>
          <w:lang w:val="en-US" w:eastAsia="zh-CN"/>
        </w:rPr>
        <w:t>49.</w:t>
      </w:r>
      <w:r>
        <w:rPr>
          <w:rFonts w:hint="default" w:ascii="Times New Roman" w:hAnsi="Times New Roman" w:eastAsia="仿宋_GB2312" w:cs="Times New Roman"/>
          <w:color w:val="auto"/>
          <w:sz w:val="32"/>
          <w:szCs w:val="32"/>
          <w:u w:val="none"/>
          <w:vertAlign w:val="baseline"/>
          <w:lang w:val="en" w:eastAsia="zh-CN"/>
        </w:rPr>
        <w:t>开展质量安全宣传活动。宣传贯彻《质量强国建设纲要》，普及质量安全知识，增强质量意识，营造人人重视质量、共建质量的良好氛围。</w:t>
      </w:r>
    </w:p>
    <w:bookmarkEnd w:id="0"/>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黑体" w:eastAsia="仿宋_GB2312" w:cs="Times New Roman"/>
          <w:color w:val="auto"/>
          <w:kern w:val="2"/>
          <w:sz w:val="32"/>
          <w:szCs w:val="32"/>
          <w:u w:val="none"/>
          <w:vertAlign w:val="baseline"/>
          <w:lang w:val="en-US" w:eastAsia="zh-CN" w:bidi="ar-SA"/>
        </w:rPr>
      </w:pPr>
    </w:p>
    <w:sectPr>
      <w:footerReference r:id="rId3" w:type="default"/>
      <w:pgSz w:w="11906" w:h="16838"/>
      <w:pgMar w:top="2041" w:right="1559" w:bottom="2041" w:left="1559" w:header="851" w:footer="164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BB7"/>
    <w:rsid w:val="000066F7"/>
    <w:rsid w:val="00011696"/>
    <w:rsid w:val="00012B72"/>
    <w:rsid w:val="000138D1"/>
    <w:rsid w:val="000144E0"/>
    <w:rsid w:val="00014F1D"/>
    <w:rsid w:val="00020FDD"/>
    <w:rsid w:val="000210F9"/>
    <w:rsid w:val="00022662"/>
    <w:rsid w:val="00024810"/>
    <w:rsid w:val="00027631"/>
    <w:rsid w:val="00030FDE"/>
    <w:rsid w:val="00032133"/>
    <w:rsid w:val="00033A88"/>
    <w:rsid w:val="00040760"/>
    <w:rsid w:val="00054489"/>
    <w:rsid w:val="00057243"/>
    <w:rsid w:val="00062B79"/>
    <w:rsid w:val="00066132"/>
    <w:rsid w:val="00082431"/>
    <w:rsid w:val="00082D8A"/>
    <w:rsid w:val="000846BF"/>
    <w:rsid w:val="000924D7"/>
    <w:rsid w:val="0009298A"/>
    <w:rsid w:val="00095B51"/>
    <w:rsid w:val="00097176"/>
    <w:rsid w:val="00097426"/>
    <w:rsid w:val="000A7772"/>
    <w:rsid w:val="000B081E"/>
    <w:rsid w:val="000B2BF9"/>
    <w:rsid w:val="000B4E08"/>
    <w:rsid w:val="000B64D0"/>
    <w:rsid w:val="000B7536"/>
    <w:rsid w:val="000C16E0"/>
    <w:rsid w:val="000C71EE"/>
    <w:rsid w:val="000C7D81"/>
    <w:rsid w:val="000D5A38"/>
    <w:rsid w:val="000E1B7E"/>
    <w:rsid w:val="000F04B3"/>
    <w:rsid w:val="000F077C"/>
    <w:rsid w:val="001026D8"/>
    <w:rsid w:val="00104766"/>
    <w:rsid w:val="00105839"/>
    <w:rsid w:val="00107868"/>
    <w:rsid w:val="0011580E"/>
    <w:rsid w:val="00123B48"/>
    <w:rsid w:val="00132B42"/>
    <w:rsid w:val="001403F1"/>
    <w:rsid w:val="00143DBD"/>
    <w:rsid w:val="001448F1"/>
    <w:rsid w:val="00144D51"/>
    <w:rsid w:val="0015746C"/>
    <w:rsid w:val="00162E72"/>
    <w:rsid w:val="0016779C"/>
    <w:rsid w:val="00172A16"/>
    <w:rsid w:val="001741AD"/>
    <w:rsid w:val="0017468F"/>
    <w:rsid w:val="00177835"/>
    <w:rsid w:val="00177AAB"/>
    <w:rsid w:val="001878C1"/>
    <w:rsid w:val="00191BFD"/>
    <w:rsid w:val="00195AE1"/>
    <w:rsid w:val="00197E4C"/>
    <w:rsid w:val="001A4065"/>
    <w:rsid w:val="001A5158"/>
    <w:rsid w:val="001A5BF4"/>
    <w:rsid w:val="001B397C"/>
    <w:rsid w:val="001B4925"/>
    <w:rsid w:val="001C2706"/>
    <w:rsid w:val="001D300A"/>
    <w:rsid w:val="001D6A38"/>
    <w:rsid w:val="001E5DD0"/>
    <w:rsid w:val="001E5FC6"/>
    <w:rsid w:val="001E6A49"/>
    <w:rsid w:val="001E7FF4"/>
    <w:rsid w:val="001F2D3C"/>
    <w:rsid w:val="001F48B9"/>
    <w:rsid w:val="001F60D8"/>
    <w:rsid w:val="001F74D9"/>
    <w:rsid w:val="002037BB"/>
    <w:rsid w:val="00203E0F"/>
    <w:rsid w:val="00207E20"/>
    <w:rsid w:val="00210A78"/>
    <w:rsid w:val="00213B78"/>
    <w:rsid w:val="002242E4"/>
    <w:rsid w:val="002256D7"/>
    <w:rsid w:val="002301AB"/>
    <w:rsid w:val="00230FCC"/>
    <w:rsid w:val="0023608C"/>
    <w:rsid w:val="00256480"/>
    <w:rsid w:val="00261F40"/>
    <w:rsid w:val="0026436E"/>
    <w:rsid w:val="002651C1"/>
    <w:rsid w:val="00273B53"/>
    <w:rsid w:val="0027455B"/>
    <w:rsid w:val="002766CF"/>
    <w:rsid w:val="00281978"/>
    <w:rsid w:val="002833BC"/>
    <w:rsid w:val="0028534E"/>
    <w:rsid w:val="002909C2"/>
    <w:rsid w:val="002928CB"/>
    <w:rsid w:val="002930CB"/>
    <w:rsid w:val="00293232"/>
    <w:rsid w:val="00293245"/>
    <w:rsid w:val="00293780"/>
    <w:rsid w:val="00297DDA"/>
    <w:rsid w:val="002A06D2"/>
    <w:rsid w:val="002A351C"/>
    <w:rsid w:val="002A4463"/>
    <w:rsid w:val="002A453F"/>
    <w:rsid w:val="002A7F72"/>
    <w:rsid w:val="002B6D40"/>
    <w:rsid w:val="002B7109"/>
    <w:rsid w:val="002C6380"/>
    <w:rsid w:val="002E07B5"/>
    <w:rsid w:val="002E5398"/>
    <w:rsid w:val="002F3A26"/>
    <w:rsid w:val="002F4558"/>
    <w:rsid w:val="002F5107"/>
    <w:rsid w:val="002F7A19"/>
    <w:rsid w:val="00301D0F"/>
    <w:rsid w:val="00324BE8"/>
    <w:rsid w:val="0032557B"/>
    <w:rsid w:val="00327D90"/>
    <w:rsid w:val="003324D3"/>
    <w:rsid w:val="00343E2C"/>
    <w:rsid w:val="00344200"/>
    <w:rsid w:val="00345236"/>
    <w:rsid w:val="00347259"/>
    <w:rsid w:val="00351C3D"/>
    <w:rsid w:val="0036161A"/>
    <w:rsid w:val="00362758"/>
    <w:rsid w:val="003644A3"/>
    <w:rsid w:val="0037229F"/>
    <w:rsid w:val="003761CB"/>
    <w:rsid w:val="00386052"/>
    <w:rsid w:val="00391008"/>
    <w:rsid w:val="00396F07"/>
    <w:rsid w:val="003A0171"/>
    <w:rsid w:val="003A51CF"/>
    <w:rsid w:val="003A53AE"/>
    <w:rsid w:val="003B5B12"/>
    <w:rsid w:val="003C1FDB"/>
    <w:rsid w:val="003D5E7E"/>
    <w:rsid w:val="003E248B"/>
    <w:rsid w:val="003E4A9D"/>
    <w:rsid w:val="003E7600"/>
    <w:rsid w:val="003F6AE7"/>
    <w:rsid w:val="003F7537"/>
    <w:rsid w:val="003F7972"/>
    <w:rsid w:val="00400268"/>
    <w:rsid w:val="00400AEE"/>
    <w:rsid w:val="0040224E"/>
    <w:rsid w:val="00402B8A"/>
    <w:rsid w:val="00404A85"/>
    <w:rsid w:val="004064D5"/>
    <w:rsid w:val="00420432"/>
    <w:rsid w:val="004207EA"/>
    <w:rsid w:val="00421941"/>
    <w:rsid w:val="004222DF"/>
    <w:rsid w:val="00423167"/>
    <w:rsid w:val="0042553A"/>
    <w:rsid w:val="00431023"/>
    <w:rsid w:val="00432A5E"/>
    <w:rsid w:val="00435155"/>
    <w:rsid w:val="00435D10"/>
    <w:rsid w:val="004363A3"/>
    <w:rsid w:val="00436A1D"/>
    <w:rsid w:val="00444B3A"/>
    <w:rsid w:val="004517A5"/>
    <w:rsid w:val="00453CBB"/>
    <w:rsid w:val="004563EF"/>
    <w:rsid w:val="0046040A"/>
    <w:rsid w:val="00463E43"/>
    <w:rsid w:val="00466441"/>
    <w:rsid w:val="00466810"/>
    <w:rsid w:val="00473B48"/>
    <w:rsid w:val="00480E3F"/>
    <w:rsid w:val="004826B6"/>
    <w:rsid w:val="00490F0D"/>
    <w:rsid w:val="0049752F"/>
    <w:rsid w:val="004A0EC0"/>
    <w:rsid w:val="004A3D6E"/>
    <w:rsid w:val="004A6546"/>
    <w:rsid w:val="004A6EA9"/>
    <w:rsid w:val="004B1749"/>
    <w:rsid w:val="004B6945"/>
    <w:rsid w:val="004C0CAA"/>
    <w:rsid w:val="004C30B3"/>
    <w:rsid w:val="004C3930"/>
    <w:rsid w:val="004C63BA"/>
    <w:rsid w:val="004C7A9F"/>
    <w:rsid w:val="004D14E2"/>
    <w:rsid w:val="004D2E07"/>
    <w:rsid w:val="004E3194"/>
    <w:rsid w:val="004E459E"/>
    <w:rsid w:val="004E59DC"/>
    <w:rsid w:val="004F168D"/>
    <w:rsid w:val="004F6B4A"/>
    <w:rsid w:val="00507065"/>
    <w:rsid w:val="0051362E"/>
    <w:rsid w:val="00515868"/>
    <w:rsid w:val="00516D0C"/>
    <w:rsid w:val="0052007D"/>
    <w:rsid w:val="00520DAD"/>
    <w:rsid w:val="00522113"/>
    <w:rsid w:val="00527A3D"/>
    <w:rsid w:val="0053188E"/>
    <w:rsid w:val="005343AE"/>
    <w:rsid w:val="00534858"/>
    <w:rsid w:val="00535E05"/>
    <w:rsid w:val="00535EF7"/>
    <w:rsid w:val="00537912"/>
    <w:rsid w:val="00541DC7"/>
    <w:rsid w:val="00542154"/>
    <w:rsid w:val="00556E48"/>
    <w:rsid w:val="00566E9D"/>
    <w:rsid w:val="0058285E"/>
    <w:rsid w:val="00587DE0"/>
    <w:rsid w:val="005A0236"/>
    <w:rsid w:val="005A5720"/>
    <w:rsid w:val="005B5908"/>
    <w:rsid w:val="005B6DB5"/>
    <w:rsid w:val="005B6E2D"/>
    <w:rsid w:val="005B7004"/>
    <w:rsid w:val="005C14F8"/>
    <w:rsid w:val="005C238F"/>
    <w:rsid w:val="005C28FF"/>
    <w:rsid w:val="005C541B"/>
    <w:rsid w:val="005C6384"/>
    <w:rsid w:val="005C77CA"/>
    <w:rsid w:val="005D7920"/>
    <w:rsid w:val="005E4AFA"/>
    <w:rsid w:val="005E693C"/>
    <w:rsid w:val="005F010A"/>
    <w:rsid w:val="005F0EC0"/>
    <w:rsid w:val="005F353C"/>
    <w:rsid w:val="005F713E"/>
    <w:rsid w:val="006017F7"/>
    <w:rsid w:val="006064DC"/>
    <w:rsid w:val="00606628"/>
    <w:rsid w:val="006134D1"/>
    <w:rsid w:val="00623C32"/>
    <w:rsid w:val="006257D1"/>
    <w:rsid w:val="00634109"/>
    <w:rsid w:val="0063651A"/>
    <w:rsid w:val="00645AD8"/>
    <w:rsid w:val="00645C6A"/>
    <w:rsid w:val="00646A3B"/>
    <w:rsid w:val="00652453"/>
    <w:rsid w:val="00653BCC"/>
    <w:rsid w:val="006551E6"/>
    <w:rsid w:val="00656E83"/>
    <w:rsid w:val="00664611"/>
    <w:rsid w:val="00664729"/>
    <w:rsid w:val="00666B50"/>
    <w:rsid w:val="006729F4"/>
    <w:rsid w:val="00676824"/>
    <w:rsid w:val="00677159"/>
    <w:rsid w:val="0067781C"/>
    <w:rsid w:val="00680853"/>
    <w:rsid w:val="00692810"/>
    <w:rsid w:val="00692FB2"/>
    <w:rsid w:val="006955D6"/>
    <w:rsid w:val="00697BE9"/>
    <w:rsid w:val="006A0F1E"/>
    <w:rsid w:val="006A1A1F"/>
    <w:rsid w:val="006A526F"/>
    <w:rsid w:val="006B0A5B"/>
    <w:rsid w:val="006C1FA6"/>
    <w:rsid w:val="006C2479"/>
    <w:rsid w:val="006C4485"/>
    <w:rsid w:val="006C5E92"/>
    <w:rsid w:val="006D3710"/>
    <w:rsid w:val="006D3C34"/>
    <w:rsid w:val="006E6A46"/>
    <w:rsid w:val="006F1CB8"/>
    <w:rsid w:val="006F4517"/>
    <w:rsid w:val="007008D9"/>
    <w:rsid w:val="0070398A"/>
    <w:rsid w:val="00704713"/>
    <w:rsid w:val="0070724A"/>
    <w:rsid w:val="00713A46"/>
    <w:rsid w:val="007152AA"/>
    <w:rsid w:val="0072111B"/>
    <w:rsid w:val="007219C7"/>
    <w:rsid w:val="00723AB7"/>
    <w:rsid w:val="00723D64"/>
    <w:rsid w:val="00725B01"/>
    <w:rsid w:val="00725D38"/>
    <w:rsid w:val="007264F5"/>
    <w:rsid w:val="007268EF"/>
    <w:rsid w:val="00726C31"/>
    <w:rsid w:val="00733E17"/>
    <w:rsid w:val="00734321"/>
    <w:rsid w:val="00746C11"/>
    <w:rsid w:val="007572EC"/>
    <w:rsid w:val="00760161"/>
    <w:rsid w:val="00761445"/>
    <w:rsid w:val="0076445C"/>
    <w:rsid w:val="00765892"/>
    <w:rsid w:val="00766D6A"/>
    <w:rsid w:val="00771572"/>
    <w:rsid w:val="00775949"/>
    <w:rsid w:val="007826C8"/>
    <w:rsid w:val="00783B98"/>
    <w:rsid w:val="007866A3"/>
    <w:rsid w:val="00793D7B"/>
    <w:rsid w:val="007943AD"/>
    <w:rsid w:val="007A5FE5"/>
    <w:rsid w:val="007B20A4"/>
    <w:rsid w:val="007B26C8"/>
    <w:rsid w:val="007B4CDF"/>
    <w:rsid w:val="007C1DE5"/>
    <w:rsid w:val="007C493D"/>
    <w:rsid w:val="007C7758"/>
    <w:rsid w:val="007D2885"/>
    <w:rsid w:val="007D4C00"/>
    <w:rsid w:val="007D4DEC"/>
    <w:rsid w:val="007E2F7F"/>
    <w:rsid w:val="007E6249"/>
    <w:rsid w:val="007E6B3C"/>
    <w:rsid w:val="007F0F36"/>
    <w:rsid w:val="007F3A2B"/>
    <w:rsid w:val="007F5277"/>
    <w:rsid w:val="007F6BB7"/>
    <w:rsid w:val="008018A8"/>
    <w:rsid w:val="0080416F"/>
    <w:rsid w:val="00805817"/>
    <w:rsid w:val="00806C09"/>
    <w:rsid w:val="00827614"/>
    <w:rsid w:val="0083057C"/>
    <w:rsid w:val="008416B8"/>
    <w:rsid w:val="00846C13"/>
    <w:rsid w:val="00850872"/>
    <w:rsid w:val="008615A8"/>
    <w:rsid w:val="0086291D"/>
    <w:rsid w:val="0086296B"/>
    <w:rsid w:val="00866D50"/>
    <w:rsid w:val="008866BD"/>
    <w:rsid w:val="00893DC5"/>
    <w:rsid w:val="008A08D5"/>
    <w:rsid w:val="008A4E30"/>
    <w:rsid w:val="008A5F97"/>
    <w:rsid w:val="008A73BE"/>
    <w:rsid w:val="008B2638"/>
    <w:rsid w:val="008B698E"/>
    <w:rsid w:val="008B6DCF"/>
    <w:rsid w:val="008C4C3E"/>
    <w:rsid w:val="008C5853"/>
    <w:rsid w:val="008D2075"/>
    <w:rsid w:val="008D2FB0"/>
    <w:rsid w:val="008D6D9F"/>
    <w:rsid w:val="008E4419"/>
    <w:rsid w:val="008E476A"/>
    <w:rsid w:val="008E4F5E"/>
    <w:rsid w:val="008E713E"/>
    <w:rsid w:val="008F37D1"/>
    <w:rsid w:val="008F4628"/>
    <w:rsid w:val="009026E0"/>
    <w:rsid w:val="00903CA3"/>
    <w:rsid w:val="0090536D"/>
    <w:rsid w:val="0091010F"/>
    <w:rsid w:val="00910ACA"/>
    <w:rsid w:val="00911311"/>
    <w:rsid w:val="00915DE3"/>
    <w:rsid w:val="009162A1"/>
    <w:rsid w:val="0091686F"/>
    <w:rsid w:val="0091742A"/>
    <w:rsid w:val="00921991"/>
    <w:rsid w:val="009228E4"/>
    <w:rsid w:val="00925C54"/>
    <w:rsid w:val="00941BE4"/>
    <w:rsid w:val="009546AE"/>
    <w:rsid w:val="0097109C"/>
    <w:rsid w:val="00972C14"/>
    <w:rsid w:val="00975C64"/>
    <w:rsid w:val="00976480"/>
    <w:rsid w:val="00976D12"/>
    <w:rsid w:val="00976D24"/>
    <w:rsid w:val="00980C01"/>
    <w:rsid w:val="0098245A"/>
    <w:rsid w:val="00996832"/>
    <w:rsid w:val="0099747E"/>
    <w:rsid w:val="009A0C7F"/>
    <w:rsid w:val="009A453D"/>
    <w:rsid w:val="009A573B"/>
    <w:rsid w:val="009A5B42"/>
    <w:rsid w:val="009B20E0"/>
    <w:rsid w:val="009B2551"/>
    <w:rsid w:val="009B552B"/>
    <w:rsid w:val="009B5D12"/>
    <w:rsid w:val="009C2503"/>
    <w:rsid w:val="009C4627"/>
    <w:rsid w:val="009C7A76"/>
    <w:rsid w:val="009D4C67"/>
    <w:rsid w:val="009E24B6"/>
    <w:rsid w:val="009E4256"/>
    <w:rsid w:val="009E786E"/>
    <w:rsid w:val="009F6F8F"/>
    <w:rsid w:val="009F7DFC"/>
    <w:rsid w:val="00A10CAE"/>
    <w:rsid w:val="00A129E1"/>
    <w:rsid w:val="00A14F53"/>
    <w:rsid w:val="00A17157"/>
    <w:rsid w:val="00A22AE9"/>
    <w:rsid w:val="00A402F8"/>
    <w:rsid w:val="00A4093A"/>
    <w:rsid w:val="00A40B11"/>
    <w:rsid w:val="00A426F1"/>
    <w:rsid w:val="00A45463"/>
    <w:rsid w:val="00A50674"/>
    <w:rsid w:val="00A508B0"/>
    <w:rsid w:val="00A53183"/>
    <w:rsid w:val="00A56355"/>
    <w:rsid w:val="00A6449C"/>
    <w:rsid w:val="00A72AA0"/>
    <w:rsid w:val="00A74DB9"/>
    <w:rsid w:val="00A767BF"/>
    <w:rsid w:val="00A76B81"/>
    <w:rsid w:val="00A8071C"/>
    <w:rsid w:val="00A919F1"/>
    <w:rsid w:val="00A92E7A"/>
    <w:rsid w:val="00A92ED0"/>
    <w:rsid w:val="00A9534D"/>
    <w:rsid w:val="00A969B9"/>
    <w:rsid w:val="00A97535"/>
    <w:rsid w:val="00AA3E15"/>
    <w:rsid w:val="00AA4EB8"/>
    <w:rsid w:val="00AB0B78"/>
    <w:rsid w:val="00AB1B1A"/>
    <w:rsid w:val="00AB4CC8"/>
    <w:rsid w:val="00AC3B77"/>
    <w:rsid w:val="00AC46A5"/>
    <w:rsid w:val="00AC4F0E"/>
    <w:rsid w:val="00AD63DA"/>
    <w:rsid w:val="00AE0F57"/>
    <w:rsid w:val="00AE2118"/>
    <w:rsid w:val="00AF2665"/>
    <w:rsid w:val="00AF39C1"/>
    <w:rsid w:val="00AF4605"/>
    <w:rsid w:val="00B00B9A"/>
    <w:rsid w:val="00B11A9D"/>
    <w:rsid w:val="00B2214A"/>
    <w:rsid w:val="00B24396"/>
    <w:rsid w:val="00B26402"/>
    <w:rsid w:val="00B2752B"/>
    <w:rsid w:val="00B27931"/>
    <w:rsid w:val="00B320D4"/>
    <w:rsid w:val="00B35AC1"/>
    <w:rsid w:val="00B41297"/>
    <w:rsid w:val="00B41504"/>
    <w:rsid w:val="00B43442"/>
    <w:rsid w:val="00B53E3C"/>
    <w:rsid w:val="00B55245"/>
    <w:rsid w:val="00B5719B"/>
    <w:rsid w:val="00B702C1"/>
    <w:rsid w:val="00B70EA7"/>
    <w:rsid w:val="00B771D0"/>
    <w:rsid w:val="00B818FC"/>
    <w:rsid w:val="00B81F7D"/>
    <w:rsid w:val="00B84DAD"/>
    <w:rsid w:val="00B9204D"/>
    <w:rsid w:val="00B96E55"/>
    <w:rsid w:val="00BB04F6"/>
    <w:rsid w:val="00BB6377"/>
    <w:rsid w:val="00BB66B0"/>
    <w:rsid w:val="00BC09C0"/>
    <w:rsid w:val="00BD3C3D"/>
    <w:rsid w:val="00BD3F5F"/>
    <w:rsid w:val="00BE3376"/>
    <w:rsid w:val="00BE4263"/>
    <w:rsid w:val="00BF5741"/>
    <w:rsid w:val="00C03D09"/>
    <w:rsid w:val="00C05519"/>
    <w:rsid w:val="00C074B4"/>
    <w:rsid w:val="00C135ED"/>
    <w:rsid w:val="00C34B40"/>
    <w:rsid w:val="00C365A7"/>
    <w:rsid w:val="00C40F46"/>
    <w:rsid w:val="00C41B4C"/>
    <w:rsid w:val="00C50175"/>
    <w:rsid w:val="00C5268C"/>
    <w:rsid w:val="00C54A18"/>
    <w:rsid w:val="00C565A1"/>
    <w:rsid w:val="00C56992"/>
    <w:rsid w:val="00C61219"/>
    <w:rsid w:val="00C617A2"/>
    <w:rsid w:val="00C6364B"/>
    <w:rsid w:val="00C66BA9"/>
    <w:rsid w:val="00C670A3"/>
    <w:rsid w:val="00C67E51"/>
    <w:rsid w:val="00C7145A"/>
    <w:rsid w:val="00C74C4C"/>
    <w:rsid w:val="00C75675"/>
    <w:rsid w:val="00C75E44"/>
    <w:rsid w:val="00C801F6"/>
    <w:rsid w:val="00C86F7B"/>
    <w:rsid w:val="00C8706B"/>
    <w:rsid w:val="00C966FC"/>
    <w:rsid w:val="00CA13EF"/>
    <w:rsid w:val="00CA1C55"/>
    <w:rsid w:val="00CA3DB0"/>
    <w:rsid w:val="00CB7597"/>
    <w:rsid w:val="00CC19F1"/>
    <w:rsid w:val="00CC1AC7"/>
    <w:rsid w:val="00CC5714"/>
    <w:rsid w:val="00CC70AB"/>
    <w:rsid w:val="00CD3284"/>
    <w:rsid w:val="00CE2480"/>
    <w:rsid w:val="00CE295F"/>
    <w:rsid w:val="00CF64E1"/>
    <w:rsid w:val="00CF7652"/>
    <w:rsid w:val="00D00A8F"/>
    <w:rsid w:val="00D03EC0"/>
    <w:rsid w:val="00D12006"/>
    <w:rsid w:val="00D16385"/>
    <w:rsid w:val="00D20265"/>
    <w:rsid w:val="00D23A2F"/>
    <w:rsid w:val="00D24787"/>
    <w:rsid w:val="00D262EC"/>
    <w:rsid w:val="00D31041"/>
    <w:rsid w:val="00D3113F"/>
    <w:rsid w:val="00D42B12"/>
    <w:rsid w:val="00D44F5D"/>
    <w:rsid w:val="00D46917"/>
    <w:rsid w:val="00D4700B"/>
    <w:rsid w:val="00D518D7"/>
    <w:rsid w:val="00D5326C"/>
    <w:rsid w:val="00D54D0A"/>
    <w:rsid w:val="00D643DC"/>
    <w:rsid w:val="00D675D3"/>
    <w:rsid w:val="00D707C2"/>
    <w:rsid w:val="00D72C71"/>
    <w:rsid w:val="00D74604"/>
    <w:rsid w:val="00D7655A"/>
    <w:rsid w:val="00D816D1"/>
    <w:rsid w:val="00D85260"/>
    <w:rsid w:val="00D85A1E"/>
    <w:rsid w:val="00D85E99"/>
    <w:rsid w:val="00D86FD9"/>
    <w:rsid w:val="00D90AAC"/>
    <w:rsid w:val="00D90C3C"/>
    <w:rsid w:val="00D9220D"/>
    <w:rsid w:val="00D92D55"/>
    <w:rsid w:val="00D94D7A"/>
    <w:rsid w:val="00D95AED"/>
    <w:rsid w:val="00D96242"/>
    <w:rsid w:val="00DA050F"/>
    <w:rsid w:val="00DA5FCF"/>
    <w:rsid w:val="00DB1E18"/>
    <w:rsid w:val="00DB2AED"/>
    <w:rsid w:val="00DC3C9C"/>
    <w:rsid w:val="00DC5EFA"/>
    <w:rsid w:val="00DD0887"/>
    <w:rsid w:val="00DD2F6C"/>
    <w:rsid w:val="00DD5BF4"/>
    <w:rsid w:val="00DD6B7C"/>
    <w:rsid w:val="00DE296E"/>
    <w:rsid w:val="00DE4037"/>
    <w:rsid w:val="00DF0B59"/>
    <w:rsid w:val="00DF6E9F"/>
    <w:rsid w:val="00E01893"/>
    <w:rsid w:val="00E01D3C"/>
    <w:rsid w:val="00E06237"/>
    <w:rsid w:val="00E105C0"/>
    <w:rsid w:val="00E22EF2"/>
    <w:rsid w:val="00E27760"/>
    <w:rsid w:val="00E35E57"/>
    <w:rsid w:val="00E41245"/>
    <w:rsid w:val="00E47485"/>
    <w:rsid w:val="00E53C1C"/>
    <w:rsid w:val="00E55D5F"/>
    <w:rsid w:val="00E578BA"/>
    <w:rsid w:val="00E662BA"/>
    <w:rsid w:val="00E66441"/>
    <w:rsid w:val="00E70823"/>
    <w:rsid w:val="00E73971"/>
    <w:rsid w:val="00E76BDA"/>
    <w:rsid w:val="00E77BCA"/>
    <w:rsid w:val="00E82B2B"/>
    <w:rsid w:val="00E8675A"/>
    <w:rsid w:val="00E875B2"/>
    <w:rsid w:val="00E952AB"/>
    <w:rsid w:val="00E95913"/>
    <w:rsid w:val="00E96182"/>
    <w:rsid w:val="00E963A0"/>
    <w:rsid w:val="00EA3C4A"/>
    <w:rsid w:val="00EA49B9"/>
    <w:rsid w:val="00EA552E"/>
    <w:rsid w:val="00EA7575"/>
    <w:rsid w:val="00EB05D3"/>
    <w:rsid w:val="00EB0E33"/>
    <w:rsid w:val="00EB2969"/>
    <w:rsid w:val="00EB4D01"/>
    <w:rsid w:val="00EB5A93"/>
    <w:rsid w:val="00EC5E71"/>
    <w:rsid w:val="00ED0765"/>
    <w:rsid w:val="00ED33F2"/>
    <w:rsid w:val="00EE2621"/>
    <w:rsid w:val="00EE7C50"/>
    <w:rsid w:val="00EF0124"/>
    <w:rsid w:val="00EF3FA9"/>
    <w:rsid w:val="00F004EB"/>
    <w:rsid w:val="00F02DC9"/>
    <w:rsid w:val="00F03161"/>
    <w:rsid w:val="00F03179"/>
    <w:rsid w:val="00F063A4"/>
    <w:rsid w:val="00F072D4"/>
    <w:rsid w:val="00F07817"/>
    <w:rsid w:val="00F07EF5"/>
    <w:rsid w:val="00F13DAD"/>
    <w:rsid w:val="00F13F2B"/>
    <w:rsid w:val="00F156B2"/>
    <w:rsid w:val="00F15770"/>
    <w:rsid w:val="00F30580"/>
    <w:rsid w:val="00F30824"/>
    <w:rsid w:val="00F30F90"/>
    <w:rsid w:val="00F33BEF"/>
    <w:rsid w:val="00F34C18"/>
    <w:rsid w:val="00F369C2"/>
    <w:rsid w:val="00F4143A"/>
    <w:rsid w:val="00F4766E"/>
    <w:rsid w:val="00F505BB"/>
    <w:rsid w:val="00F505F4"/>
    <w:rsid w:val="00F52274"/>
    <w:rsid w:val="00F5390D"/>
    <w:rsid w:val="00F546AB"/>
    <w:rsid w:val="00F654AA"/>
    <w:rsid w:val="00F66984"/>
    <w:rsid w:val="00F74E8D"/>
    <w:rsid w:val="00F7531C"/>
    <w:rsid w:val="00F76E4A"/>
    <w:rsid w:val="00F7749E"/>
    <w:rsid w:val="00F85E81"/>
    <w:rsid w:val="00F9072E"/>
    <w:rsid w:val="00FA29AE"/>
    <w:rsid w:val="00FA51DC"/>
    <w:rsid w:val="00FB336B"/>
    <w:rsid w:val="00FB3CCE"/>
    <w:rsid w:val="00FD56D5"/>
    <w:rsid w:val="00FD6102"/>
    <w:rsid w:val="00FE1EB2"/>
    <w:rsid w:val="00FE5192"/>
    <w:rsid w:val="00FE6B13"/>
    <w:rsid w:val="00FF1F68"/>
    <w:rsid w:val="00FF2358"/>
    <w:rsid w:val="00FF71A8"/>
    <w:rsid w:val="0E1DC9AF"/>
    <w:rsid w:val="0F3DCB5E"/>
    <w:rsid w:val="157DCC26"/>
    <w:rsid w:val="1E7A1E64"/>
    <w:rsid w:val="1F7E7611"/>
    <w:rsid w:val="1FBF56DE"/>
    <w:rsid w:val="255C0492"/>
    <w:rsid w:val="258B83F4"/>
    <w:rsid w:val="25FD7DC4"/>
    <w:rsid w:val="26FD2404"/>
    <w:rsid w:val="27B93CB8"/>
    <w:rsid w:val="2ABF16A4"/>
    <w:rsid w:val="2BEB4876"/>
    <w:rsid w:val="2CF3EC46"/>
    <w:rsid w:val="2EF80B37"/>
    <w:rsid w:val="2FFFB71C"/>
    <w:rsid w:val="35DFEC09"/>
    <w:rsid w:val="373F1C4C"/>
    <w:rsid w:val="377DD104"/>
    <w:rsid w:val="37AF4D88"/>
    <w:rsid w:val="39CF7840"/>
    <w:rsid w:val="39EDD68C"/>
    <w:rsid w:val="39F5E7B6"/>
    <w:rsid w:val="39F9A9AB"/>
    <w:rsid w:val="3ADE385B"/>
    <w:rsid w:val="3BF5D189"/>
    <w:rsid w:val="3D6F68AD"/>
    <w:rsid w:val="3D77AED6"/>
    <w:rsid w:val="3DAB57DB"/>
    <w:rsid w:val="3DCD2A94"/>
    <w:rsid w:val="3DF77A71"/>
    <w:rsid w:val="3E3C4911"/>
    <w:rsid w:val="3E6E8444"/>
    <w:rsid w:val="3E7F8A2B"/>
    <w:rsid w:val="3EDFA672"/>
    <w:rsid w:val="3F1757FB"/>
    <w:rsid w:val="3F5FF567"/>
    <w:rsid w:val="3FD1AF3E"/>
    <w:rsid w:val="3FDBB4E2"/>
    <w:rsid w:val="3FE87E08"/>
    <w:rsid w:val="3FEF8389"/>
    <w:rsid w:val="3FF66453"/>
    <w:rsid w:val="3FF6C543"/>
    <w:rsid w:val="436F720E"/>
    <w:rsid w:val="44F18DFF"/>
    <w:rsid w:val="46FD11CC"/>
    <w:rsid w:val="4AEF8ED1"/>
    <w:rsid w:val="4B1FF6AF"/>
    <w:rsid w:val="4BFFE7D3"/>
    <w:rsid w:val="4DF74379"/>
    <w:rsid w:val="4EFF768F"/>
    <w:rsid w:val="4F7AEE4B"/>
    <w:rsid w:val="4FDE0B16"/>
    <w:rsid w:val="4FDF51A6"/>
    <w:rsid w:val="52B79B21"/>
    <w:rsid w:val="53CFEACE"/>
    <w:rsid w:val="579B7E3E"/>
    <w:rsid w:val="57FF4583"/>
    <w:rsid w:val="58BF5520"/>
    <w:rsid w:val="59EFEFA2"/>
    <w:rsid w:val="59FF56DF"/>
    <w:rsid w:val="5AE3B53B"/>
    <w:rsid w:val="5AF7443D"/>
    <w:rsid w:val="5BF12DE2"/>
    <w:rsid w:val="5BF3DD37"/>
    <w:rsid w:val="5BF778FE"/>
    <w:rsid w:val="5C5F5890"/>
    <w:rsid w:val="5CE8F234"/>
    <w:rsid w:val="5D6EC182"/>
    <w:rsid w:val="5DAA33F6"/>
    <w:rsid w:val="5DADB093"/>
    <w:rsid w:val="5DBCF329"/>
    <w:rsid w:val="5DEB340D"/>
    <w:rsid w:val="5DFFC5A7"/>
    <w:rsid w:val="5DFFC9F8"/>
    <w:rsid w:val="5EF21826"/>
    <w:rsid w:val="5F1F3F96"/>
    <w:rsid w:val="5F5B1767"/>
    <w:rsid w:val="5F6797D7"/>
    <w:rsid w:val="5F93C541"/>
    <w:rsid w:val="5F9BA1A0"/>
    <w:rsid w:val="5FCC73EE"/>
    <w:rsid w:val="5FEE09A9"/>
    <w:rsid w:val="5FF3CF6B"/>
    <w:rsid w:val="5FF6ADD0"/>
    <w:rsid w:val="5FFB0FE0"/>
    <w:rsid w:val="5FFBC025"/>
    <w:rsid w:val="5FFDA6E7"/>
    <w:rsid w:val="5FFE3BDF"/>
    <w:rsid w:val="5FFE7EF9"/>
    <w:rsid w:val="5FFF61A2"/>
    <w:rsid w:val="62CEDFB6"/>
    <w:rsid w:val="63DF3303"/>
    <w:rsid w:val="63DF4FC0"/>
    <w:rsid w:val="63F5EE8C"/>
    <w:rsid w:val="65D7BF94"/>
    <w:rsid w:val="65FFF496"/>
    <w:rsid w:val="66FB414A"/>
    <w:rsid w:val="66FB469B"/>
    <w:rsid w:val="67D509BF"/>
    <w:rsid w:val="67DEE038"/>
    <w:rsid w:val="67EA949F"/>
    <w:rsid w:val="67F2825D"/>
    <w:rsid w:val="69BFED3F"/>
    <w:rsid w:val="69F95AD6"/>
    <w:rsid w:val="69FB1FDD"/>
    <w:rsid w:val="6A761BA5"/>
    <w:rsid w:val="6B6DCA39"/>
    <w:rsid w:val="6BB78F79"/>
    <w:rsid w:val="6BD709A5"/>
    <w:rsid w:val="6BF71482"/>
    <w:rsid w:val="6BFB8898"/>
    <w:rsid w:val="6BFF39F1"/>
    <w:rsid w:val="6BFFCEF9"/>
    <w:rsid w:val="6CEF94E1"/>
    <w:rsid w:val="6D7FF588"/>
    <w:rsid w:val="6DF55745"/>
    <w:rsid w:val="6DFF6B22"/>
    <w:rsid w:val="6DFF7C37"/>
    <w:rsid w:val="6E7B99AE"/>
    <w:rsid w:val="6E7EA421"/>
    <w:rsid w:val="6EDBA0D2"/>
    <w:rsid w:val="6EF72A69"/>
    <w:rsid w:val="6EFE0D0E"/>
    <w:rsid w:val="6F2F5AE0"/>
    <w:rsid w:val="6F376413"/>
    <w:rsid w:val="6F3D5ED3"/>
    <w:rsid w:val="6F7F7998"/>
    <w:rsid w:val="6F7FC37D"/>
    <w:rsid w:val="6FAE7D96"/>
    <w:rsid w:val="6FBE5849"/>
    <w:rsid w:val="6FEECD5F"/>
    <w:rsid w:val="6FF6CE6B"/>
    <w:rsid w:val="6FF7768A"/>
    <w:rsid w:val="6FFE5124"/>
    <w:rsid w:val="6FFF1662"/>
    <w:rsid w:val="6FFFE189"/>
    <w:rsid w:val="71FDBD61"/>
    <w:rsid w:val="725D58F5"/>
    <w:rsid w:val="735BBEED"/>
    <w:rsid w:val="737F04E1"/>
    <w:rsid w:val="73BB23C6"/>
    <w:rsid w:val="73DAF7F6"/>
    <w:rsid w:val="73DB08C0"/>
    <w:rsid w:val="73F9F6CD"/>
    <w:rsid w:val="74B1DD4A"/>
    <w:rsid w:val="74DF7193"/>
    <w:rsid w:val="74FE6A6B"/>
    <w:rsid w:val="75AAA760"/>
    <w:rsid w:val="75F719FF"/>
    <w:rsid w:val="75FC49F6"/>
    <w:rsid w:val="75FD59F8"/>
    <w:rsid w:val="7623BE45"/>
    <w:rsid w:val="764E0E6E"/>
    <w:rsid w:val="76691869"/>
    <w:rsid w:val="766D0AAE"/>
    <w:rsid w:val="76754F86"/>
    <w:rsid w:val="767F4FB9"/>
    <w:rsid w:val="769F655E"/>
    <w:rsid w:val="76AB9ACD"/>
    <w:rsid w:val="76BF511C"/>
    <w:rsid w:val="76BF5473"/>
    <w:rsid w:val="76DF7967"/>
    <w:rsid w:val="777B48DF"/>
    <w:rsid w:val="777BAB84"/>
    <w:rsid w:val="777C4353"/>
    <w:rsid w:val="779AF860"/>
    <w:rsid w:val="77B6982A"/>
    <w:rsid w:val="77BD0F3F"/>
    <w:rsid w:val="77DA8D39"/>
    <w:rsid w:val="77DF4A3E"/>
    <w:rsid w:val="786A168A"/>
    <w:rsid w:val="78DBBCD0"/>
    <w:rsid w:val="791AB4B6"/>
    <w:rsid w:val="791E24C7"/>
    <w:rsid w:val="797E1B76"/>
    <w:rsid w:val="79BF2D96"/>
    <w:rsid w:val="79F630CA"/>
    <w:rsid w:val="79F7F73B"/>
    <w:rsid w:val="79FC4FCF"/>
    <w:rsid w:val="79FF3899"/>
    <w:rsid w:val="7A7919D0"/>
    <w:rsid w:val="7AAEC55B"/>
    <w:rsid w:val="7AAF5C9B"/>
    <w:rsid w:val="7AB2F6D8"/>
    <w:rsid w:val="7ABF9347"/>
    <w:rsid w:val="7B364C9C"/>
    <w:rsid w:val="7B5D5CC8"/>
    <w:rsid w:val="7B5E7244"/>
    <w:rsid w:val="7B913357"/>
    <w:rsid w:val="7BBB23B3"/>
    <w:rsid w:val="7BBC8317"/>
    <w:rsid w:val="7BCAABA8"/>
    <w:rsid w:val="7BCB8814"/>
    <w:rsid w:val="7BCE7DB6"/>
    <w:rsid w:val="7BF5B9CB"/>
    <w:rsid w:val="7BFB5593"/>
    <w:rsid w:val="7BFDC92A"/>
    <w:rsid w:val="7CB67D8D"/>
    <w:rsid w:val="7CF68D68"/>
    <w:rsid w:val="7CF76626"/>
    <w:rsid w:val="7CFD6F1F"/>
    <w:rsid w:val="7CFF963D"/>
    <w:rsid w:val="7D332676"/>
    <w:rsid w:val="7D3ADFCD"/>
    <w:rsid w:val="7D5E5989"/>
    <w:rsid w:val="7D5F9F8F"/>
    <w:rsid w:val="7DBF759A"/>
    <w:rsid w:val="7DC54613"/>
    <w:rsid w:val="7DDF7484"/>
    <w:rsid w:val="7DFF3354"/>
    <w:rsid w:val="7DFFE75E"/>
    <w:rsid w:val="7E3FCBBB"/>
    <w:rsid w:val="7E6CDC9A"/>
    <w:rsid w:val="7E7E7C6B"/>
    <w:rsid w:val="7ECD46A1"/>
    <w:rsid w:val="7EEDEFAA"/>
    <w:rsid w:val="7EEEC685"/>
    <w:rsid w:val="7EF06A93"/>
    <w:rsid w:val="7EF30C2E"/>
    <w:rsid w:val="7EFBBA4B"/>
    <w:rsid w:val="7EFF0879"/>
    <w:rsid w:val="7EFFE564"/>
    <w:rsid w:val="7F1B1B2E"/>
    <w:rsid w:val="7F3E30BF"/>
    <w:rsid w:val="7F9FEEEA"/>
    <w:rsid w:val="7FA6123E"/>
    <w:rsid w:val="7FB77EC3"/>
    <w:rsid w:val="7FBA1A1C"/>
    <w:rsid w:val="7FBB4B0B"/>
    <w:rsid w:val="7FCB7E12"/>
    <w:rsid w:val="7FD3CB70"/>
    <w:rsid w:val="7FD62472"/>
    <w:rsid w:val="7FE77BCD"/>
    <w:rsid w:val="7FF7235C"/>
    <w:rsid w:val="7FF7C3C9"/>
    <w:rsid w:val="7FF90415"/>
    <w:rsid w:val="7FFF5CBC"/>
    <w:rsid w:val="7FFF7E18"/>
    <w:rsid w:val="7FFFB1BB"/>
    <w:rsid w:val="8DDE1FD4"/>
    <w:rsid w:val="8DFF1BAC"/>
    <w:rsid w:val="8FEF4089"/>
    <w:rsid w:val="92F45E2F"/>
    <w:rsid w:val="93FF382F"/>
    <w:rsid w:val="97D7CB0F"/>
    <w:rsid w:val="97FDA697"/>
    <w:rsid w:val="99BF0412"/>
    <w:rsid w:val="9BFFC818"/>
    <w:rsid w:val="9CBB6F38"/>
    <w:rsid w:val="9DEF24AE"/>
    <w:rsid w:val="9FBD3266"/>
    <w:rsid w:val="9FF745A8"/>
    <w:rsid w:val="9FFEB7F2"/>
    <w:rsid w:val="9FFFBAE5"/>
    <w:rsid w:val="9FFFE5C6"/>
    <w:rsid w:val="A5FF8567"/>
    <w:rsid w:val="A5FF9925"/>
    <w:rsid w:val="A7774774"/>
    <w:rsid w:val="A7E70C72"/>
    <w:rsid w:val="AD1F9D2D"/>
    <w:rsid w:val="ADDF10BE"/>
    <w:rsid w:val="ADF2B4F5"/>
    <w:rsid w:val="ADF9357A"/>
    <w:rsid w:val="AEFFA12F"/>
    <w:rsid w:val="B36B1C16"/>
    <w:rsid w:val="B39E4905"/>
    <w:rsid w:val="B55F1142"/>
    <w:rsid w:val="B5756AEC"/>
    <w:rsid w:val="B5DCFA98"/>
    <w:rsid w:val="B5F56719"/>
    <w:rsid w:val="B693A396"/>
    <w:rsid w:val="B6D6E10A"/>
    <w:rsid w:val="B747B022"/>
    <w:rsid w:val="B7EFD7E5"/>
    <w:rsid w:val="B7F7A1E6"/>
    <w:rsid w:val="B7FFBDAF"/>
    <w:rsid w:val="B7FFEA16"/>
    <w:rsid w:val="BA7B23C6"/>
    <w:rsid w:val="BADFEE8E"/>
    <w:rsid w:val="BAF8622D"/>
    <w:rsid w:val="BBB75050"/>
    <w:rsid w:val="BBB7942E"/>
    <w:rsid w:val="BBC7B870"/>
    <w:rsid w:val="BBCDBA85"/>
    <w:rsid w:val="BBED3CF8"/>
    <w:rsid w:val="BBFC0BDA"/>
    <w:rsid w:val="BBFF3FC0"/>
    <w:rsid w:val="BD4D6D0F"/>
    <w:rsid w:val="BD7A8B65"/>
    <w:rsid w:val="BDEDBA50"/>
    <w:rsid w:val="BDFB7292"/>
    <w:rsid w:val="BEDA3E2F"/>
    <w:rsid w:val="BEDEC2CF"/>
    <w:rsid w:val="BEFF1E3E"/>
    <w:rsid w:val="BF074FEE"/>
    <w:rsid w:val="BF7B2B04"/>
    <w:rsid w:val="BF9FA081"/>
    <w:rsid w:val="BF9FDEC5"/>
    <w:rsid w:val="BFAFB849"/>
    <w:rsid w:val="BFBBFA1A"/>
    <w:rsid w:val="BFEBB5D0"/>
    <w:rsid w:val="BFF3AE8A"/>
    <w:rsid w:val="BFF70CEF"/>
    <w:rsid w:val="BFF7DB5A"/>
    <w:rsid w:val="C22F9C90"/>
    <w:rsid w:val="C3BFBCD9"/>
    <w:rsid w:val="C6A31593"/>
    <w:rsid w:val="C6EFA143"/>
    <w:rsid w:val="C7F97FA0"/>
    <w:rsid w:val="CB973D1E"/>
    <w:rsid w:val="CE77CAEC"/>
    <w:rsid w:val="CF526448"/>
    <w:rsid w:val="CF5F4EDE"/>
    <w:rsid w:val="CF5F7BFD"/>
    <w:rsid w:val="CF7F96BB"/>
    <w:rsid w:val="CF7FF9D9"/>
    <w:rsid w:val="CFFF95EE"/>
    <w:rsid w:val="D057A0D5"/>
    <w:rsid w:val="D1F91C28"/>
    <w:rsid w:val="D3FF3B7B"/>
    <w:rsid w:val="D5FB1FEA"/>
    <w:rsid w:val="D65FC1A2"/>
    <w:rsid w:val="D6D3F53A"/>
    <w:rsid w:val="D6EB7627"/>
    <w:rsid w:val="D77B97CB"/>
    <w:rsid w:val="D7DA1FD0"/>
    <w:rsid w:val="D7EF7D4B"/>
    <w:rsid w:val="D8DBC4E7"/>
    <w:rsid w:val="D97E96EB"/>
    <w:rsid w:val="DA343913"/>
    <w:rsid w:val="DAAFC868"/>
    <w:rsid w:val="DAEF7F9D"/>
    <w:rsid w:val="DBE74F35"/>
    <w:rsid w:val="DBF71582"/>
    <w:rsid w:val="DC1203E5"/>
    <w:rsid w:val="DD3B7AD3"/>
    <w:rsid w:val="DDC96E41"/>
    <w:rsid w:val="DDCBE542"/>
    <w:rsid w:val="DDEE9D56"/>
    <w:rsid w:val="DDEF4D0F"/>
    <w:rsid w:val="DE7FF0B9"/>
    <w:rsid w:val="DEBF2072"/>
    <w:rsid w:val="DEEFF670"/>
    <w:rsid w:val="DEFB30E8"/>
    <w:rsid w:val="DEFFE569"/>
    <w:rsid w:val="DF521E04"/>
    <w:rsid w:val="DF66F174"/>
    <w:rsid w:val="DF6FEF84"/>
    <w:rsid w:val="DF87E5EB"/>
    <w:rsid w:val="DFBF2E08"/>
    <w:rsid w:val="DFC5547F"/>
    <w:rsid w:val="DFD775E3"/>
    <w:rsid w:val="DFF584E8"/>
    <w:rsid w:val="DFFBBD67"/>
    <w:rsid w:val="DFFBD0F9"/>
    <w:rsid w:val="DFFFBF50"/>
    <w:rsid w:val="E1A85D42"/>
    <w:rsid w:val="E1FFFC62"/>
    <w:rsid w:val="E277CC35"/>
    <w:rsid w:val="E2D3620C"/>
    <w:rsid w:val="E2DCFE22"/>
    <w:rsid w:val="E3EE3B53"/>
    <w:rsid w:val="E5DFF662"/>
    <w:rsid w:val="E6FE591D"/>
    <w:rsid w:val="E77E5403"/>
    <w:rsid w:val="E7A5E7E1"/>
    <w:rsid w:val="E7F5CE9B"/>
    <w:rsid w:val="E7FFE435"/>
    <w:rsid w:val="E9B6DC7D"/>
    <w:rsid w:val="E9DE123C"/>
    <w:rsid w:val="E9DF07C4"/>
    <w:rsid w:val="EB777C89"/>
    <w:rsid w:val="EBB06C2A"/>
    <w:rsid w:val="EBBF87C6"/>
    <w:rsid w:val="EBDB4142"/>
    <w:rsid w:val="EC6FA55D"/>
    <w:rsid w:val="ECAB1330"/>
    <w:rsid w:val="ECC957A0"/>
    <w:rsid w:val="EDFF6ED3"/>
    <w:rsid w:val="EE7F8BDE"/>
    <w:rsid w:val="EED9C6C1"/>
    <w:rsid w:val="EEEB72A8"/>
    <w:rsid w:val="EEFD100F"/>
    <w:rsid w:val="EEFF7763"/>
    <w:rsid w:val="EF3BC7E6"/>
    <w:rsid w:val="EF3FAECF"/>
    <w:rsid w:val="EF3FCF50"/>
    <w:rsid w:val="EF6EC0E0"/>
    <w:rsid w:val="EFAFEDBE"/>
    <w:rsid w:val="EFBB41B5"/>
    <w:rsid w:val="EFBEB91D"/>
    <w:rsid w:val="EFDFE6A2"/>
    <w:rsid w:val="EFE06F21"/>
    <w:rsid w:val="EFF183D0"/>
    <w:rsid w:val="EFFEA188"/>
    <w:rsid w:val="EFFFCDF5"/>
    <w:rsid w:val="F2FFC7FD"/>
    <w:rsid w:val="F3369699"/>
    <w:rsid w:val="F3A9AACF"/>
    <w:rsid w:val="F3E7E70A"/>
    <w:rsid w:val="F3FF50E6"/>
    <w:rsid w:val="F40F8163"/>
    <w:rsid w:val="F4B7B96E"/>
    <w:rsid w:val="F4FEE427"/>
    <w:rsid w:val="F59FB38F"/>
    <w:rsid w:val="F5BC82B7"/>
    <w:rsid w:val="F5CDBAFF"/>
    <w:rsid w:val="F5CF06F1"/>
    <w:rsid w:val="F5CF2C4E"/>
    <w:rsid w:val="F5EFB9F3"/>
    <w:rsid w:val="F5F5B3EF"/>
    <w:rsid w:val="F5F676A8"/>
    <w:rsid w:val="F5FA24ED"/>
    <w:rsid w:val="F5FBB02B"/>
    <w:rsid w:val="F65606B3"/>
    <w:rsid w:val="F6F7B4E8"/>
    <w:rsid w:val="F6F7DF2A"/>
    <w:rsid w:val="F727EF12"/>
    <w:rsid w:val="F73F40A7"/>
    <w:rsid w:val="F73FB305"/>
    <w:rsid w:val="F757BA86"/>
    <w:rsid w:val="F76F49E6"/>
    <w:rsid w:val="F7DF35D1"/>
    <w:rsid w:val="F7E9CE68"/>
    <w:rsid w:val="F7EB8CA9"/>
    <w:rsid w:val="F7FE490B"/>
    <w:rsid w:val="F7FF1592"/>
    <w:rsid w:val="F8FBBE8B"/>
    <w:rsid w:val="F8FDFE52"/>
    <w:rsid w:val="F94D826E"/>
    <w:rsid w:val="F9D50986"/>
    <w:rsid w:val="F9D5AA49"/>
    <w:rsid w:val="F9E077D4"/>
    <w:rsid w:val="F9EF7AF4"/>
    <w:rsid w:val="F9FF85F1"/>
    <w:rsid w:val="FAD95B7B"/>
    <w:rsid w:val="FAFF1B7E"/>
    <w:rsid w:val="FAFFAB64"/>
    <w:rsid w:val="FB0F1DDE"/>
    <w:rsid w:val="FB173E8E"/>
    <w:rsid w:val="FB57899C"/>
    <w:rsid w:val="FB67CE3A"/>
    <w:rsid w:val="FB93763E"/>
    <w:rsid w:val="FBCB521F"/>
    <w:rsid w:val="FBDD34E1"/>
    <w:rsid w:val="FBDFEECB"/>
    <w:rsid w:val="FBE79631"/>
    <w:rsid w:val="FBEFB008"/>
    <w:rsid w:val="FBF31EB2"/>
    <w:rsid w:val="FBFE59D3"/>
    <w:rsid w:val="FBFE6064"/>
    <w:rsid w:val="FBFF374D"/>
    <w:rsid w:val="FCDBF359"/>
    <w:rsid w:val="FCDE44E4"/>
    <w:rsid w:val="FCFE185F"/>
    <w:rsid w:val="FD2536DB"/>
    <w:rsid w:val="FD3F985C"/>
    <w:rsid w:val="FD3FACAE"/>
    <w:rsid w:val="FD7D9908"/>
    <w:rsid w:val="FD7E9CDA"/>
    <w:rsid w:val="FDAFA291"/>
    <w:rsid w:val="FDBFC920"/>
    <w:rsid w:val="FDED8A14"/>
    <w:rsid w:val="FDF7BFE0"/>
    <w:rsid w:val="FDFB09C1"/>
    <w:rsid w:val="FDFD397E"/>
    <w:rsid w:val="FDFEBF70"/>
    <w:rsid w:val="FDFF73A9"/>
    <w:rsid w:val="FE2F3010"/>
    <w:rsid w:val="FE5F6890"/>
    <w:rsid w:val="FE710EA0"/>
    <w:rsid w:val="FE7E82C9"/>
    <w:rsid w:val="FEBB2DD1"/>
    <w:rsid w:val="FEDE054C"/>
    <w:rsid w:val="FEE1D0D6"/>
    <w:rsid w:val="FEEFF844"/>
    <w:rsid w:val="FEF3267E"/>
    <w:rsid w:val="FEF6CBFD"/>
    <w:rsid w:val="FEF7AFAD"/>
    <w:rsid w:val="FEF7C3B5"/>
    <w:rsid w:val="FEFF2769"/>
    <w:rsid w:val="FEFF85A3"/>
    <w:rsid w:val="FEFFEF86"/>
    <w:rsid w:val="FF13A4AB"/>
    <w:rsid w:val="FF31009C"/>
    <w:rsid w:val="FF5F391E"/>
    <w:rsid w:val="FF5FA486"/>
    <w:rsid w:val="FF77EBFD"/>
    <w:rsid w:val="FF7E074D"/>
    <w:rsid w:val="FF7FD16B"/>
    <w:rsid w:val="FFAC9514"/>
    <w:rsid w:val="FFAF61B1"/>
    <w:rsid w:val="FFBA70E5"/>
    <w:rsid w:val="FFD71B99"/>
    <w:rsid w:val="FFDB595D"/>
    <w:rsid w:val="FFDC0107"/>
    <w:rsid w:val="FFDE3661"/>
    <w:rsid w:val="FFDF2A26"/>
    <w:rsid w:val="FFDFBD3D"/>
    <w:rsid w:val="FFE77229"/>
    <w:rsid w:val="FFEB3977"/>
    <w:rsid w:val="FFEF3CE6"/>
    <w:rsid w:val="FFEFB122"/>
    <w:rsid w:val="FFF5286E"/>
    <w:rsid w:val="FFFA1A54"/>
    <w:rsid w:val="FFFB177D"/>
    <w:rsid w:val="FFFDB6C6"/>
    <w:rsid w:val="FFFDE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1"/>
    <w:pPr>
      <w:ind w:left="1621"/>
      <w:outlineLvl w:val="1"/>
    </w:pPr>
    <w:rPr>
      <w:rFonts w:ascii="宋体" w:hAnsi="宋体" w:eastAsia="宋体"/>
      <w:sz w:val="32"/>
      <w:szCs w:val="32"/>
    </w:rPr>
  </w:style>
  <w:style w:type="paragraph" w:styleId="4">
    <w:name w:val="heading 3"/>
    <w:basedOn w:val="1"/>
    <w:next w:val="1"/>
    <w:qFormat/>
    <w:uiPriority w:val="0"/>
    <w:pPr>
      <w:keepNext/>
      <w:keepLines/>
      <w:spacing w:beforeLines="0" w:beforeAutospacing="0" w:afterLines="0" w:afterAutospacing="0" w:line="560" w:lineRule="exact"/>
      <w:ind w:firstLine="632" w:firstLineChars="200"/>
      <w:outlineLvl w:val="2"/>
    </w:pPr>
    <w:rPr>
      <w:rFonts w:ascii="Times New Roman" w:hAnsi="Times New Roman" w:eastAsia="楷体_GB231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Plain Text"/>
    <w:next w:val="1"/>
    <w:unhideWhenUsed/>
    <w:qFormat/>
    <w:uiPriority w:val="99"/>
    <w:pPr>
      <w:widowControl w:val="0"/>
      <w:jc w:val="both"/>
    </w:pPr>
    <w:rPr>
      <w:rFonts w:ascii="宋体" w:hAnsi="Courier New" w:eastAsia="宋体" w:cs="Times New Roman"/>
      <w:kern w:val="2"/>
      <w:sz w:val="21"/>
      <w:szCs w:val="21"/>
      <w:lang w:val="en-US" w:eastAsia="zh-CN" w:bidi="ar-SA"/>
    </w:rPr>
  </w:style>
  <w:style w:type="paragraph" w:styleId="5">
    <w:name w:val="Normal Indent"/>
    <w:basedOn w:val="1"/>
    <w:next w:val="6"/>
    <w:qFormat/>
    <w:uiPriority w:val="0"/>
    <w:rPr>
      <w:rFonts w:ascii="Calibri" w:hAnsi="Calibri" w:eastAsia="宋体" w:cs="Times New Roman"/>
    </w:rPr>
  </w:style>
  <w:style w:type="paragraph" w:styleId="6">
    <w:name w:val="header"/>
    <w:basedOn w:val="1"/>
    <w:next w:val="5"/>
    <w:link w:val="2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index 5"/>
    <w:basedOn w:val="1"/>
    <w:next w:val="1"/>
    <w:qFormat/>
    <w:uiPriority w:val="0"/>
    <w:pPr>
      <w:ind w:left="1680"/>
    </w:pPr>
  </w:style>
  <w:style w:type="paragraph" w:styleId="8">
    <w:name w:val="annotation text"/>
    <w:basedOn w:val="1"/>
    <w:unhideWhenUsed/>
    <w:qFormat/>
    <w:uiPriority w:val="99"/>
    <w:pPr>
      <w:jc w:val="left"/>
    </w:pPr>
    <w:rPr>
      <w:rFonts w:ascii="Calibri" w:hAnsi="Calibri" w:eastAsia="宋体" w:cs="Times New Roman"/>
      <w:szCs w:val="24"/>
    </w:rPr>
  </w:style>
  <w:style w:type="paragraph" w:styleId="9">
    <w:name w:val="Body Text"/>
    <w:basedOn w:val="1"/>
    <w:next w:val="1"/>
    <w:link w:val="27"/>
    <w:unhideWhenUsed/>
    <w:qFormat/>
    <w:uiPriority w:val="0"/>
    <w:pPr>
      <w:spacing w:after="120"/>
    </w:pPr>
    <w:rPr>
      <w:kern w:val="0"/>
      <w:sz w:val="20"/>
      <w:szCs w:val="20"/>
      <w:lang w:val="zh-CN" w:eastAsia="zh-CN"/>
    </w:rPr>
  </w:style>
  <w:style w:type="paragraph" w:styleId="10">
    <w:name w:val="Body Text Indent"/>
    <w:basedOn w:val="1"/>
    <w:qFormat/>
    <w:uiPriority w:val="0"/>
    <w:pPr>
      <w:ind w:firstLine="630"/>
    </w:pPr>
    <w:rPr>
      <w:rFonts w:ascii="仿宋_GB2312" w:hAnsi="Times New Roman" w:eastAsia="仿宋_GB2312"/>
      <w:sz w:val="32"/>
      <w:szCs w:val="24"/>
    </w:rPr>
  </w:style>
  <w:style w:type="paragraph" w:styleId="11">
    <w:name w:val="Date"/>
    <w:basedOn w:val="1"/>
    <w:next w:val="1"/>
    <w:qFormat/>
    <w:uiPriority w:val="99"/>
    <w:pPr>
      <w:ind w:left="100" w:leftChars="2500"/>
    </w:pPr>
  </w:style>
  <w:style w:type="paragraph" w:styleId="12">
    <w:name w:val="Body Text Indent 2"/>
    <w:basedOn w:val="1"/>
    <w:qFormat/>
    <w:uiPriority w:val="0"/>
    <w:pPr>
      <w:ind w:firstLine="720" w:firstLineChars="200"/>
    </w:pPr>
    <w:rPr>
      <w:rFonts w:cs="Times New Roman"/>
      <w:kern w:val="0"/>
      <w:sz w:val="24"/>
      <w:szCs w:val="24"/>
    </w:rPr>
  </w:style>
  <w:style w:type="paragraph" w:styleId="13">
    <w:name w:val="Balloon Text"/>
    <w:basedOn w:val="1"/>
    <w:qFormat/>
    <w:uiPriority w:val="0"/>
    <w:rPr>
      <w:sz w:val="18"/>
      <w:szCs w:val="18"/>
    </w:rPr>
  </w:style>
  <w:style w:type="paragraph" w:styleId="14">
    <w:name w:val="footer"/>
    <w:basedOn w:val="1"/>
    <w:next w:val="1"/>
    <w:link w:val="2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6">
    <w:name w:val="Title"/>
    <w:basedOn w:val="1"/>
    <w:next w:val="1"/>
    <w:qFormat/>
    <w:uiPriority w:val="0"/>
    <w:pPr>
      <w:spacing w:line="640" w:lineRule="exact"/>
      <w:jc w:val="center"/>
    </w:pPr>
    <w:rPr>
      <w:rFonts w:eastAsia="方正小标宋简体"/>
      <w:bCs/>
      <w:sz w:val="44"/>
      <w:szCs w:val="32"/>
    </w:rPr>
  </w:style>
  <w:style w:type="paragraph" w:styleId="17">
    <w:name w:val="Body Text First Indent"/>
    <w:basedOn w:val="9"/>
    <w:next w:val="9"/>
    <w:qFormat/>
    <w:uiPriority w:val="0"/>
    <w:pPr>
      <w:ind w:firstLine="720"/>
    </w:pPr>
  </w:style>
  <w:style w:type="paragraph" w:styleId="18">
    <w:name w:val="Body Text First Indent 2"/>
    <w:basedOn w:val="1"/>
    <w:next w:val="11"/>
    <w:unhideWhenUsed/>
    <w:qFormat/>
    <w:uiPriority w:val="99"/>
    <w:pPr>
      <w:ind w:firstLine="420" w:firstLineChars="200"/>
    </w:pPr>
  </w:style>
  <w:style w:type="table" w:styleId="20">
    <w:name w:val="Table Grid"/>
    <w:basedOn w:val="19"/>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bCs/>
    </w:rPr>
  </w:style>
  <w:style w:type="character" w:styleId="23">
    <w:name w:val="Emphasis"/>
    <w:basedOn w:val="21"/>
    <w:qFormat/>
    <w:uiPriority w:val="0"/>
    <w:rPr>
      <w:i/>
    </w:rPr>
  </w:style>
  <w:style w:type="paragraph" w:customStyle="1" w:styleId="24">
    <w:name w:val="Normal Indent1"/>
    <w:basedOn w:val="1"/>
    <w:next w:val="1"/>
    <w:qFormat/>
    <w:uiPriority w:val="0"/>
    <w:pPr>
      <w:spacing w:line="660" w:lineRule="exact"/>
      <w:ind w:firstLine="720" w:firstLineChars="200"/>
    </w:pPr>
    <w:rPr>
      <w:rFonts w:eastAsia="楷体_GB2312"/>
      <w:sz w:val="36"/>
      <w:szCs w:val="36"/>
    </w:rPr>
  </w:style>
  <w:style w:type="character" w:customStyle="1" w:styleId="25">
    <w:name w:val="页眉 Char"/>
    <w:basedOn w:val="21"/>
    <w:link w:val="6"/>
    <w:qFormat/>
    <w:uiPriority w:val="99"/>
    <w:rPr>
      <w:sz w:val="18"/>
      <w:szCs w:val="18"/>
    </w:rPr>
  </w:style>
  <w:style w:type="character" w:customStyle="1" w:styleId="26">
    <w:name w:val="页脚 Char"/>
    <w:basedOn w:val="21"/>
    <w:link w:val="14"/>
    <w:qFormat/>
    <w:uiPriority w:val="99"/>
    <w:rPr>
      <w:sz w:val="18"/>
      <w:szCs w:val="18"/>
    </w:rPr>
  </w:style>
  <w:style w:type="character" w:customStyle="1" w:styleId="27">
    <w:name w:val="正文文本 Char"/>
    <w:basedOn w:val="21"/>
    <w:link w:val="9"/>
    <w:qFormat/>
    <w:uiPriority w:val="0"/>
    <w:rPr>
      <w:rFonts w:ascii="Calibri" w:hAnsi="Calibri" w:eastAsia="宋体" w:cs="Times New Roman"/>
      <w:kern w:val="0"/>
      <w:sz w:val="20"/>
      <w:szCs w:val="20"/>
      <w:lang w:val="zh-CN" w:eastAsia="zh-CN"/>
    </w:rPr>
  </w:style>
  <w:style w:type="paragraph" w:customStyle="1" w:styleId="28">
    <w:name w:val="p0"/>
    <w:basedOn w:val="1"/>
    <w:qFormat/>
    <w:uiPriority w:val="0"/>
    <w:pPr>
      <w:widowControl/>
    </w:pPr>
    <w:rPr>
      <w:rFonts w:ascii="Times New Roman" w:hAnsi="Times New Roman"/>
      <w:kern w:val="0"/>
      <w:szCs w:val="21"/>
    </w:rPr>
  </w:style>
  <w:style w:type="paragraph" w:styleId="29">
    <w:name w:val="List Paragraph"/>
    <w:basedOn w:val="1"/>
    <w:qFormat/>
    <w:uiPriority w:val="34"/>
    <w:pPr>
      <w:ind w:firstLine="420" w:firstLineChars="200"/>
    </w:pPr>
  </w:style>
  <w:style w:type="character" w:customStyle="1" w:styleId="30">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1032</Words>
  <Characters>5885</Characters>
  <Lines>49</Lines>
  <Paragraphs>13</Paragraphs>
  <TotalTime>3</TotalTime>
  <ScaleCrop>false</ScaleCrop>
  <LinksUpToDate>false</LinksUpToDate>
  <CharactersWithSpaces>6904</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2021-09-24T17:55:00Z</dcterms:created>
  <dc:creator>OA运维23345600</dc:creator>
  <cp:lastModifiedBy>窦莉薇(行政收文)</cp:lastModifiedBy>
  <dcterms:modified xsi:type="dcterms:W3CDTF">2025-09-04T17:12:39Z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