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5" w:lineRule="atLeast"/>
        <w:ind w:firstLine="645"/>
        <w:jc w:val="center"/>
        <w:rPr>
          <w:rFonts w:hint="eastAsia" w:ascii="仿宋_GB2312" w:hAnsi="微软雅黑" w:eastAsia="仿宋_GB2312" w:cs="宋体"/>
          <w:color w:val="333333"/>
          <w:kern w:val="0"/>
          <w:sz w:val="32"/>
          <w:szCs w:val="32"/>
        </w:rPr>
      </w:pPr>
      <w:r>
        <w:rPr>
          <w:rFonts w:hint="eastAsia" w:ascii="微软雅黑" w:hAnsi="微软雅黑" w:eastAsia="微软雅黑"/>
          <w:b/>
          <w:bCs/>
          <w:color w:val="333333"/>
          <w:sz w:val="33"/>
          <w:szCs w:val="33"/>
          <w:shd w:val="clear" w:color="auto" w:fill="FFFFFF"/>
        </w:rPr>
        <w:t>双林街政府信息公开工作年度报告</w:t>
      </w:r>
    </w:p>
    <w:p>
      <w:pPr>
        <w:widowControl/>
        <w:shd w:val="clear" w:color="auto" w:fill="FFFFFF"/>
        <w:spacing w:line="585" w:lineRule="atLeast"/>
        <w:ind w:firstLine="645"/>
        <w:jc w:val="lef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根据《中华人民共和国政府信息公开条例》，双林街按照本年度政府信息工作情况，制定</w:t>
      </w:r>
      <w:r>
        <w:rPr>
          <w:rFonts w:hint="eastAsia" w:ascii="仿宋_GB2312" w:hAnsi="微软雅黑" w:eastAsia="仿宋_GB2312" w:cs="宋体"/>
          <w:color w:val="333333"/>
          <w:kern w:val="0"/>
          <w:sz w:val="32"/>
          <w:szCs w:val="32"/>
          <w:lang w:val="en-US" w:eastAsia="zh-CN"/>
        </w:rPr>
        <w:t>2020</w:t>
      </w:r>
      <w:r>
        <w:rPr>
          <w:rFonts w:hint="eastAsia" w:ascii="仿宋_GB2312" w:hAnsi="微软雅黑" w:eastAsia="仿宋_GB2312" w:cs="宋体"/>
          <w:color w:val="333333"/>
          <w:kern w:val="0"/>
          <w:sz w:val="32"/>
          <w:szCs w:val="32"/>
        </w:rPr>
        <w:t>年度信息公开年度报告。本报告由总体情况，主动公开政府信息情况，收到和处理政府信息公开申请情况和因政府信息公开工作被申请行政复议、提起行政诉讼情况，政府信息公开工作存在的主要问题及改进情况等四个部分组成。</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黑体" w:hAnsi="黑体" w:eastAsia="黑体" w:cs="宋体"/>
          <w:color w:val="333333"/>
          <w:kern w:val="0"/>
          <w:sz w:val="32"/>
          <w:szCs w:val="32"/>
        </w:rPr>
        <w:t>一、总体情况</w:t>
      </w: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双林街严格按照“公正、公平、便民”的总体原则及“及时、准确”的总体要求，按照区政府具体工作安排，认真贯彻落实《中华人民共和国政府信息公开条例》，并把政府信息公开工作作为建设服务政府、透明政府、阳光政府的重要举措，切实推进了全街信息公开工作。</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（一）加强组织领导，健全工作机制。</w:t>
      </w:r>
      <w:r>
        <w:rPr>
          <w:rFonts w:hint="eastAsia" w:ascii="仿宋_GB2312" w:hAnsi="微软雅黑" w:eastAsia="仿宋_GB2312" w:cs="宋体"/>
          <w:color w:val="333333"/>
          <w:kern w:val="0"/>
          <w:sz w:val="32"/>
          <w:szCs w:val="32"/>
        </w:rPr>
        <w:t>双林街高度重视政务信息公开工作，同时根据人员变动，及时对相关负责人员进行调整。健全领导机制，确保我街政府信息工作顺利开展。</w:t>
      </w: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楷体" w:hAnsi="楷体" w:eastAsia="楷体" w:cs="宋体"/>
          <w:color w:val="333333"/>
          <w:kern w:val="0"/>
          <w:sz w:val="32"/>
          <w:szCs w:val="32"/>
        </w:rPr>
        <w:t>（二）建立健全相关制度，进一步规范政府信息公开工作。</w:t>
      </w:r>
      <w:r>
        <w:rPr>
          <w:rFonts w:hint="eastAsia" w:ascii="仿宋_GB2312" w:hAnsi="微软雅黑" w:eastAsia="仿宋_GB2312" w:cs="宋体"/>
          <w:color w:val="333333"/>
          <w:kern w:val="0"/>
          <w:sz w:val="32"/>
          <w:szCs w:val="32"/>
        </w:rPr>
        <w:t>我街注重加强和完善政府信息公开制度建设工作，根据《中华人民共和国政府信息公开条例》要求，结合我街工作实际，规范政府信息公开工作，进一步保障双林街信息公开内容的全面性、安全性。</w:t>
      </w: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（三）规范内容，提高政务信息质量。</w:t>
      </w:r>
      <w:r>
        <w:rPr>
          <w:rFonts w:hint="eastAsia" w:ascii="仿宋_GB2312" w:hAnsi="微软雅黑" w:eastAsia="仿宋_GB2312" w:cs="宋体"/>
          <w:color w:val="333333"/>
          <w:kern w:val="0"/>
          <w:sz w:val="32"/>
          <w:szCs w:val="32"/>
        </w:rPr>
        <w:t>为进一步规范政府信息公开内容，提升双林街政府信息公开工作水平，我街认真学习《中华人民共和国政府信息公开条例》，对政务信息公开的范围、政务信息公开的内容、政务信息公开的形式、政务信息公开的制度等作了进一步的明确，按照政务信息公开要求,做好主动公开及依申请公开工作，及时对信息公开发布。针对公开项目的不同情况，确定公开时间，做到常规性工作定期公开，临时性工作随时公开，固定性工作长期公开。通过政府信息公开网站及时公开单位信息。</w:t>
      </w: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二、主动公开政府信息情况</w:t>
      </w:r>
    </w:p>
    <w:tbl>
      <w:tblPr>
        <w:tblStyle w:val="5"/>
        <w:tblW w:w="8145" w:type="dxa"/>
        <w:jc w:val="center"/>
        <w:tblCellSpacing w:w="0" w:type="dxa"/>
        <w:tblLayout w:type="autofit"/>
        <w:tblCellMar>
          <w:top w:w="0" w:type="dxa"/>
          <w:left w:w="0" w:type="dxa"/>
          <w:bottom w:w="0" w:type="dxa"/>
          <w:right w:w="0" w:type="dxa"/>
        </w:tblCellMar>
      </w:tblPr>
      <w:tblGrid>
        <w:gridCol w:w="3120"/>
        <w:gridCol w:w="1875"/>
        <w:gridCol w:w="1171"/>
        <w:gridCol w:w="1979"/>
      </w:tblGrid>
      <w:tr>
        <w:tblPrEx>
          <w:tblCellMar>
            <w:top w:w="0" w:type="dxa"/>
            <w:left w:w="0" w:type="dxa"/>
            <w:bottom w:w="0" w:type="dxa"/>
            <w:right w:w="0" w:type="dxa"/>
          </w:tblCellMar>
        </w:tblPrEx>
        <w:trPr>
          <w:trHeight w:val="495"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第二十条第（一）项</w:t>
            </w:r>
          </w:p>
        </w:tc>
      </w:tr>
      <w:tr>
        <w:tblPrEx>
          <w:tblCellMar>
            <w:top w:w="0" w:type="dxa"/>
            <w:left w:w="0" w:type="dxa"/>
            <w:bottom w:w="0" w:type="dxa"/>
            <w:right w:w="0" w:type="dxa"/>
          </w:tblCellMar>
        </w:tblPrEx>
        <w:trPr>
          <w:trHeight w:val="88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本年新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制作数量</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本年新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公开数量</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对外公开总数量</w:t>
            </w:r>
          </w:p>
        </w:tc>
      </w:tr>
      <w:tr>
        <w:tblPrEx>
          <w:tblCellMar>
            <w:top w:w="0" w:type="dxa"/>
            <w:left w:w="0" w:type="dxa"/>
            <w:bottom w:w="0" w:type="dxa"/>
            <w:right w:w="0" w:type="dxa"/>
          </w:tblCellMar>
        </w:tblPrEx>
        <w:trPr>
          <w:trHeight w:val="52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规章</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0</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0</w:t>
            </w:r>
            <w:bookmarkStart w:id="0" w:name="_GoBack"/>
            <w:bookmarkEnd w:id="0"/>
          </w:p>
        </w:tc>
      </w:tr>
      <w:tr>
        <w:tblPrEx>
          <w:tblCellMar>
            <w:top w:w="0" w:type="dxa"/>
            <w:left w:w="0" w:type="dxa"/>
            <w:bottom w:w="0" w:type="dxa"/>
            <w:right w:w="0" w:type="dxa"/>
          </w:tblCellMar>
        </w:tblPrEx>
        <w:trPr>
          <w:trHeight w:val="46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规范性文件</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3</w:t>
            </w:r>
          </w:p>
        </w:tc>
      </w:tr>
      <w:tr>
        <w:tblPrEx>
          <w:tblCellMar>
            <w:top w:w="0" w:type="dxa"/>
            <w:left w:w="0" w:type="dxa"/>
            <w:bottom w:w="0" w:type="dxa"/>
            <w:right w:w="0" w:type="dxa"/>
          </w:tblCellMar>
        </w:tblPrEx>
        <w:trPr>
          <w:trHeight w:val="480"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第二十条第（五）项</w:t>
            </w:r>
          </w:p>
        </w:tc>
      </w:tr>
      <w:tr>
        <w:trPr>
          <w:trHeight w:val="630"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本年增/减</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处理决定数量</w:t>
            </w:r>
          </w:p>
        </w:tc>
      </w:tr>
      <w:tr>
        <w:tblPrEx>
          <w:tblCellMar>
            <w:top w:w="0" w:type="dxa"/>
            <w:left w:w="0" w:type="dxa"/>
            <w:bottom w:w="0" w:type="dxa"/>
            <w:right w:w="0" w:type="dxa"/>
          </w:tblCellMar>
        </w:tblPrEx>
        <w:trPr>
          <w:trHeight w:val="52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行政许可</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55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其他对外管理服务事项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05"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第二十条第（六）项</w:t>
            </w:r>
          </w:p>
        </w:tc>
      </w:tr>
      <w:tr>
        <w:tblPrEx>
          <w:tblCellMar>
            <w:top w:w="0" w:type="dxa"/>
            <w:left w:w="0" w:type="dxa"/>
            <w:bottom w:w="0" w:type="dxa"/>
            <w:right w:w="0" w:type="dxa"/>
          </w:tblCellMar>
        </w:tblPrEx>
        <w:trPr>
          <w:trHeight w:val="630"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本年增/减</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处理决定数量</w:t>
            </w:r>
          </w:p>
        </w:tc>
      </w:tr>
      <w:tr>
        <w:tblPrEx>
          <w:tblCellMar>
            <w:top w:w="0" w:type="dxa"/>
            <w:left w:w="0" w:type="dxa"/>
            <w:bottom w:w="0" w:type="dxa"/>
            <w:right w:w="0" w:type="dxa"/>
          </w:tblCellMar>
        </w:tblPrEx>
        <w:trPr>
          <w:trHeight w:val="43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行政处罚</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1</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32</w:t>
            </w:r>
          </w:p>
        </w:tc>
      </w:tr>
      <w:tr>
        <w:tblPrEx>
          <w:tblCellMar>
            <w:top w:w="0" w:type="dxa"/>
            <w:left w:w="0" w:type="dxa"/>
            <w:bottom w:w="0" w:type="dxa"/>
            <w:right w:w="0" w:type="dxa"/>
          </w:tblCellMar>
        </w:tblPrEx>
        <w:trPr>
          <w:trHeight w:val="40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行政强制</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17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19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80"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第二十条第（八）项</w:t>
            </w:r>
          </w:p>
        </w:tc>
      </w:tr>
      <w:tr>
        <w:trPr>
          <w:trHeight w:val="270"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上一年项目数量</w:t>
            </w:r>
          </w:p>
        </w:tc>
        <w:tc>
          <w:tcPr>
            <w:tcW w:w="3150" w:type="dxa"/>
            <w:gridSpan w:val="2"/>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本年增/减</w:t>
            </w:r>
          </w:p>
        </w:tc>
      </w:tr>
      <w:tr>
        <w:tblPrEx>
          <w:tblCellMar>
            <w:top w:w="0" w:type="dxa"/>
            <w:left w:w="0" w:type="dxa"/>
            <w:bottom w:w="0" w:type="dxa"/>
            <w:right w:w="0" w:type="dxa"/>
          </w:tblCellMar>
        </w:tblPrEx>
        <w:trPr>
          <w:trHeight w:val="55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行政事业性收费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3150" w:type="dxa"/>
            <w:gridSpan w:val="2"/>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80" w:hRule="atLeast"/>
          <w:tblCellSpacing w:w="0" w:type="dxa"/>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第二十条第（九）项</w:t>
            </w:r>
          </w:p>
        </w:tc>
      </w:tr>
      <w:tr>
        <w:tblPrEx>
          <w:tblCellMar>
            <w:top w:w="0" w:type="dxa"/>
            <w:left w:w="0" w:type="dxa"/>
            <w:bottom w:w="0" w:type="dxa"/>
            <w:right w:w="0" w:type="dxa"/>
          </w:tblCellMar>
        </w:tblPrEx>
        <w:trPr>
          <w:trHeight w:val="585"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信息内容</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采购项目数量</w:t>
            </w:r>
          </w:p>
        </w:tc>
        <w:tc>
          <w:tcPr>
            <w:tcW w:w="3150" w:type="dxa"/>
            <w:gridSpan w:val="2"/>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采购总金额</w:t>
            </w:r>
          </w:p>
        </w:tc>
      </w:tr>
      <w:tr>
        <w:tblPrEx>
          <w:tblCellMar>
            <w:top w:w="0" w:type="dxa"/>
            <w:left w:w="0" w:type="dxa"/>
            <w:bottom w:w="0" w:type="dxa"/>
            <w:right w:w="0" w:type="dxa"/>
          </w:tblCellMar>
        </w:tblPrEx>
        <w:trPr>
          <w:trHeight w:val="540" w:hRule="atLeast"/>
          <w:tblCellSpacing w:w="0" w:type="dxa"/>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政府集中采购</w:t>
            </w:r>
          </w:p>
        </w:tc>
        <w:tc>
          <w:tcPr>
            <w:tcW w:w="18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150" w:type="dxa"/>
            <w:gridSpan w:val="2"/>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0万</w:t>
            </w:r>
          </w:p>
        </w:tc>
      </w:tr>
    </w:tbl>
    <w:p>
      <w:pPr>
        <w:widowControl/>
        <w:shd w:val="clear" w:color="auto" w:fill="FFFFFF"/>
        <w:spacing w:line="585" w:lineRule="atLeast"/>
        <w:jc w:val="left"/>
        <w:rPr>
          <w:rFonts w:hint="eastAsia" w:ascii="微软雅黑" w:hAnsi="微软雅黑" w:eastAsia="微软雅黑" w:cs="宋体"/>
          <w:color w:val="333333"/>
          <w:kern w:val="0"/>
          <w:szCs w:val="21"/>
        </w:rPr>
      </w:pPr>
      <w:r>
        <w:rPr>
          <w:rFonts w:hint="eastAsia" w:ascii="MS Mincho" w:hAnsi="MS Mincho" w:eastAsia="MS Mincho" w:cs="MS Mincho"/>
          <w:color w:val="333333"/>
          <w:kern w:val="0"/>
          <w:sz w:val="32"/>
          <w:szCs w:val="32"/>
        </w:rPr>
        <w:t> </w:t>
      </w:r>
    </w:p>
    <w:p>
      <w:pPr>
        <w:widowControl/>
        <w:shd w:val="clear" w:color="auto" w:fill="FFFFFF"/>
        <w:ind w:firstLine="645"/>
        <w:jc w:val="left"/>
        <w:rPr>
          <w:rFonts w:hint="eastAsia" w:ascii="微软雅黑" w:hAnsi="微软雅黑" w:eastAsia="微软雅黑" w:cs="宋体"/>
          <w:color w:val="333333"/>
          <w:kern w:val="0"/>
          <w:szCs w:val="21"/>
        </w:rPr>
      </w:pPr>
      <w:r>
        <w:rPr>
          <w:rFonts w:hint="eastAsia" w:ascii="黑体" w:hAnsi="黑体" w:eastAsia="黑体" w:cs="宋体"/>
          <w:color w:val="333333"/>
          <w:kern w:val="0"/>
          <w:sz w:val="32"/>
          <w:szCs w:val="32"/>
        </w:rPr>
        <w:t>三、收到和处理政府信息公开申请情况</w:t>
      </w:r>
    </w:p>
    <w:tbl>
      <w:tblPr>
        <w:tblStyle w:val="5"/>
        <w:tblW w:w="9075" w:type="dxa"/>
        <w:jc w:val="center"/>
        <w:tblCellSpacing w:w="0" w:type="dxa"/>
        <w:tblLayout w:type="autofit"/>
        <w:tblCellMar>
          <w:top w:w="0" w:type="dxa"/>
          <w:left w:w="0" w:type="dxa"/>
          <w:bottom w:w="0" w:type="dxa"/>
          <w:right w:w="0" w:type="dxa"/>
        </w:tblCellMar>
      </w:tblPr>
      <w:tblGrid>
        <w:gridCol w:w="640"/>
        <w:gridCol w:w="855"/>
        <w:gridCol w:w="2070"/>
        <w:gridCol w:w="806"/>
        <w:gridCol w:w="747"/>
        <w:gridCol w:w="747"/>
        <w:gridCol w:w="806"/>
        <w:gridCol w:w="970"/>
        <w:gridCol w:w="717"/>
        <w:gridCol w:w="717"/>
      </w:tblGrid>
      <w:tr>
        <w:tblPrEx>
          <w:tblCellMar>
            <w:top w:w="0" w:type="dxa"/>
            <w:left w:w="0" w:type="dxa"/>
            <w:bottom w:w="0" w:type="dxa"/>
            <w:right w:w="0" w:type="dxa"/>
          </w:tblCellMar>
        </w:tblPrEx>
        <w:trPr>
          <w:tblCellSpacing w:w="0" w:type="dxa"/>
          <w:jc w:val="center"/>
        </w:trPr>
        <w:tc>
          <w:tcPr>
            <w:tcW w:w="3555" w:type="dxa"/>
            <w:gridSpan w:val="3"/>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20" w:type="dxa"/>
            <w:gridSpan w:val="7"/>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rPr>
          <w:tblCellSpacing w:w="0" w:type="dxa"/>
          <w:jc w:val="center"/>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1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5"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rPr>
          <w:tblCellSpacing w:w="0" w:type="dxa"/>
          <w:jc w:val="center"/>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blCellSpacing w:w="0" w:type="dxa"/>
          <w:jc w:val="center"/>
        </w:trPr>
        <w:tc>
          <w:tcPr>
            <w:tcW w:w="355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355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rPr>
          <w:tblCellSpacing w:w="0" w:type="dxa"/>
          <w:jc w:val="center"/>
        </w:trPr>
        <w:tc>
          <w:tcPr>
            <w:tcW w:w="61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94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0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94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294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r>
        <w:trPr>
          <w:tblCellSpacing w:w="0" w:type="dxa"/>
          <w:jc w:val="center"/>
        </w:trPr>
        <w:tc>
          <w:tcPr>
            <w:tcW w:w="355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8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70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r>
    </w:tbl>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黑体" w:hAnsi="黑体" w:eastAsia="黑体" w:cs="宋体"/>
          <w:color w:val="333333"/>
          <w:kern w:val="0"/>
          <w:sz w:val="32"/>
          <w:szCs w:val="32"/>
        </w:rPr>
        <w:t>四、政府信息公开行政复议、行政诉讼情况</w:t>
      </w:r>
    </w:p>
    <w:tbl>
      <w:tblPr>
        <w:tblStyle w:val="5"/>
        <w:tblW w:w="9075" w:type="dxa"/>
        <w:jc w:val="center"/>
        <w:tblCellSpacing w:w="0" w:type="dxa"/>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CellMar>
            <w:top w:w="0" w:type="dxa"/>
            <w:left w:w="0" w:type="dxa"/>
            <w:bottom w:w="0" w:type="dxa"/>
            <w:right w:w="0" w:type="dxa"/>
          </w:tblCellMar>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000" w:type="dxa"/>
            <w:gridSpan w:val="10"/>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rPr>
          <w:tblCellSpacing w:w="0" w:type="dxa"/>
          <w:jc w:val="center"/>
        </w:trPr>
        <w:tc>
          <w:tcPr>
            <w:tcW w:w="60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6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tblCellSpacing w:w="0" w:type="dxa"/>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5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blCellSpacing w:w="0" w:type="dxa"/>
          <w:jc w:val="center"/>
        </w:trPr>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ascii="Calibri" w:hAnsi="Calibri" w:eastAsia="宋体" w:cs="宋体"/>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kern w:val="0"/>
                <w:sz w:val="20"/>
                <w:szCs w:val="20"/>
              </w:rPr>
              <w:t>0</w:t>
            </w:r>
          </w:p>
        </w:tc>
        <w:tc>
          <w:tcPr>
            <w:tcW w:w="5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hint="eastAsia" w:ascii="MS Mincho" w:hAnsi="MS Mincho" w:eastAsia="MS Mincho" w:cs="MS Mincho"/>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hint="eastAsia" w:ascii="MS Mincho" w:hAnsi="MS Mincho" w:eastAsia="MS Mincho" w:cs="MS Mincho"/>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MS Mincho" w:hAnsi="MS Mincho" w:eastAsia="MS Mincho" w:cs="MS Mincho"/>
                <w:kern w:val="0"/>
                <w:sz w:val="20"/>
                <w:szCs w:val="20"/>
              </w:rPr>
              <w:t> </w:t>
            </w:r>
            <w:r>
              <w:rPr>
                <w:rFonts w:hint="eastAsia" w:ascii="宋体" w:hAnsi="宋体" w:eastAsia="宋体" w:cs="宋体"/>
                <w:kern w:val="0"/>
                <w:sz w:val="20"/>
                <w:szCs w:val="20"/>
              </w:rPr>
              <w:t>0</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hint="eastAsia" w:ascii="MS Mincho" w:hAnsi="MS Mincho" w:eastAsia="MS Mincho" w:cs="MS Mincho"/>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MS Mincho" w:hAnsi="MS Mincho" w:eastAsia="MS Mincho" w:cs="MS Mincho"/>
                <w:kern w:val="0"/>
                <w:sz w:val="20"/>
                <w:szCs w:val="20"/>
              </w:rPr>
              <w:t> </w:t>
            </w:r>
            <w:r>
              <w:rPr>
                <w:rFonts w:hint="eastAsia" w:ascii="宋体" w:hAnsi="宋体" w:eastAsia="宋体" w:cs="宋体"/>
                <w:kern w:val="0"/>
                <w:sz w:val="20"/>
                <w:szCs w:val="20"/>
              </w:rPr>
              <w:t>0</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MS Mincho" w:hAnsi="MS Mincho" w:eastAsia="MS Mincho" w:cs="MS Mincho"/>
                <w:kern w:val="0"/>
                <w:sz w:val="20"/>
                <w:szCs w:val="20"/>
              </w:rPr>
              <w:t> </w:t>
            </w:r>
            <w:r>
              <w:rPr>
                <w:rFonts w:hint="eastAsia" w:ascii="宋体" w:hAnsi="宋体" w:eastAsia="宋体" w:cs="宋体"/>
                <w:kern w:val="0"/>
                <w:sz w:val="20"/>
                <w:szCs w:val="20"/>
              </w:rPr>
              <w:t>0</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MS Mincho" w:hAnsi="MS Mincho" w:eastAsia="MS Mincho" w:cs="MS Mincho"/>
                <w:kern w:val="0"/>
                <w:sz w:val="20"/>
                <w:szCs w:val="20"/>
              </w:rPr>
              <w:t> </w:t>
            </w:r>
            <w:r>
              <w:rPr>
                <w:rFonts w:hint="eastAsia" w:ascii="宋体" w:hAnsi="宋体" w:eastAsia="宋体" w:cs="宋体"/>
                <w:kern w:val="0"/>
                <w:sz w:val="20"/>
                <w:szCs w:val="20"/>
              </w:rPr>
              <w:t>0</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hint="eastAsia" w:ascii="MS Mincho" w:hAnsi="MS Mincho" w:eastAsia="MS Mincho" w:cs="MS Mincho"/>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r>
              <w:rPr>
                <w:rFonts w:hint="eastAsia" w:ascii="MS Mincho" w:hAnsi="MS Mincho" w:eastAsia="MS Mincho" w:cs="MS Mincho"/>
                <w:kern w:val="0"/>
                <w:sz w:val="20"/>
                <w:szCs w:val="20"/>
              </w:rPr>
              <w:t> </w:t>
            </w:r>
          </w:p>
        </w:tc>
        <w:tc>
          <w:tcPr>
            <w:tcW w:w="6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spacing w:line="585" w:lineRule="atLeast"/>
        <w:jc w:val="left"/>
        <w:rPr>
          <w:rFonts w:hint="eastAsia" w:ascii="微软雅黑" w:hAnsi="微软雅黑" w:eastAsia="微软雅黑" w:cs="宋体"/>
          <w:color w:val="333333"/>
          <w:kern w:val="0"/>
          <w:szCs w:val="21"/>
        </w:rPr>
      </w:pP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MS Mincho" w:hAnsi="MS Mincho" w:eastAsia="MS Mincho" w:cs="MS Mincho"/>
          <w:color w:val="333333"/>
          <w:kern w:val="0"/>
          <w:sz w:val="32"/>
          <w:szCs w:val="32"/>
        </w:rPr>
        <w:t> </w:t>
      </w:r>
      <w:r>
        <w:rPr>
          <w:rFonts w:hint="eastAsia" w:ascii="黑体" w:hAnsi="黑体" w:eastAsia="黑体" w:cs="宋体"/>
          <w:color w:val="333333"/>
          <w:kern w:val="0"/>
          <w:sz w:val="32"/>
          <w:szCs w:val="32"/>
        </w:rPr>
        <w:t>五、政府信息公开工作存在的主要问题及改进措施</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MS Mincho" w:hAnsi="MS Mincho" w:eastAsia="MS Mincho" w:cs="MS Mincho"/>
          <w:color w:val="333333"/>
          <w:kern w:val="0"/>
          <w:sz w:val="32"/>
          <w:szCs w:val="32"/>
        </w:rPr>
        <w:t> </w:t>
      </w:r>
      <w:r>
        <w:rPr>
          <w:rFonts w:hint="eastAsia" w:ascii="楷体_GB2312" w:hAnsi="微软雅黑" w:eastAsia="楷体_GB2312" w:cs="宋体"/>
          <w:color w:val="333333"/>
          <w:kern w:val="0"/>
          <w:sz w:val="32"/>
          <w:szCs w:val="32"/>
        </w:rPr>
        <w:t>（一）存在问题</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双林街政府信息公开工作在上级主管部门的正确领导下，认真完成政务信息公开工作，</w:t>
      </w:r>
      <w:r>
        <w:rPr>
          <w:rFonts w:hint="eastAsia" w:ascii="仿宋_GB2312" w:hAnsi="宋体" w:eastAsia="仿宋_GB2312" w:cs="宋体"/>
          <w:kern w:val="0"/>
          <w:sz w:val="32"/>
          <w:szCs w:val="32"/>
        </w:rPr>
        <w:t>一是机关各部门对于政府信息公开意识有待进一步提高，二是政府信息公开培训工作还有待加强，政府信息公开整体工作水平仍需提升</w:t>
      </w:r>
      <w:r>
        <w:rPr>
          <w:rFonts w:hint="eastAsia" w:ascii="仿宋_GB2312" w:hAnsi="微软雅黑" w:eastAsia="仿宋_GB2312" w:cs="宋体"/>
          <w:color w:val="333333"/>
          <w:kern w:val="0"/>
          <w:sz w:val="32"/>
          <w:szCs w:val="32"/>
        </w:rPr>
        <w:t>。</w:t>
      </w: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楷体_GB2312" w:hAnsi="微软雅黑" w:eastAsia="楷体_GB2312" w:cs="宋体"/>
          <w:color w:val="333333"/>
          <w:kern w:val="0"/>
          <w:sz w:val="32"/>
          <w:szCs w:val="32"/>
        </w:rPr>
      </w:pPr>
      <w:r>
        <w:rPr>
          <w:rFonts w:hint="eastAsia" w:ascii="MS Mincho" w:hAnsi="MS Mincho" w:eastAsia="MS Mincho" w:cs="MS Mincho"/>
          <w:color w:val="333333"/>
          <w:kern w:val="0"/>
          <w:sz w:val="32"/>
          <w:szCs w:val="32"/>
        </w:rPr>
        <w:t>  </w:t>
      </w:r>
      <w:r>
        <w:rPr>
          <w:rFonts w:hint="eastAsia" w:ascii="楷体_GB2312" w:hAnsi="微软雅黑" w:eastAsia="楷体_GB2312" w:cs="宋体"/>
          <w:color w:val="333333"/>
          <w:kern w:val="0"/>
          <w:sz w:val="32"/>
          <w:szCs w:val="32"/>
        </w:rPr>
        <w:t>（二）改进措施</w:t>
      </w:r>
    </w:p>
    <w:p>
      <w:pPr>
        <w:widowControl/>
        <w:shd w:val="clear" w:color="auto" w:fill="FFFFFF"/>
        <w:spacing w:line="585" w:lineRule="atLeast"/>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一是提高认识。通过群众申请政府信息，有利于政府了解民情以便于更好地为人民服务。我街应加强管理，提高全体工作人员对政务公开工作的认识，了解政务公开的重要性。</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二是进一步强化组织领导。调整优化领导机构名称和职能，明确职责分工，完善工作机制，不断创新工作方式方法，突出重点，注重实效，加强信息报送工作力度。</w:t>
      </w:r>
      <w:r>
        <w:rPr>
          <w:rFonts w:hint="eastAsia" w:ascii="MS Mincho" w:hAnsi="MS Mincho" w:eastAsia="MS Mincho" w:cs="MS Mincho"/>
          <w:color w:val="333333"/>
          <w:kern w:val="0"/>
          <w:sz w:val="32"/>
          <w:szCs w:val="32"/>
        </w:rPr>
        <w:t> </w:t>
      </w:r>
    </w:p>
    <w:p>
      <w:pPr>
        <w:widowControl/>
        <w:shd w:val="clear" w:color="auto" w:fill="FFFFFF"/>
        <w:spacing w:line="585" w:lineRule="atLeast"/>
        <w:ind w:firstLine="645"/>
        <w:jc w:val="left"/>
        <w:rPr>
          <w:rFonts w:hint="eastAsia"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三是进一步拓宽信息公开途径。通过网络、微信公众平台等多种方式加大我街信息的宣传力度，进一步细化信息公开工作流程，拓宽公开渠道。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MS Mincho">
    <w:altName w:val="Droid Sans Japanese"/>
    <w:panose1 w:val="02020609040205080304"/>
    <w:charset w:val="80"/>
    <w:family w:val="modern"/>
    <w:pitch w:val="default"/>
    <w:sig w:usb0="00000000" w:usb1="00000000" w:usb2="00000012" w:usb3="00000000" w:csb0="0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2ADA"/>
    <w:rsid w:val="0052247C"/>
    <w:rsid w:val="00E22ADA"/>
    <w:rsid w:val="7BBF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377</Words>
  <Characters>2149</Characters>
  <Lines>17</Lines>
  <Paragraphs>5</Paragraphs>
  <TotalTime>10</TotalTime>
  <ScaleCrop>false</ScaleCrop>
  <LinksUpToDate>false</LinksUpToDate>
  <CharactersWithSpaces>2521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2020-12-28T08:45:00Z</dcterms:created>
  <dc:creator>未定义</dc:creator>
  <cp:lastModifiedBy>greatwall</cp:lastModifiedBy>
  <dcterms:modified xsi:type="dcterms:W3CDTF">2021-02-05T11:21:45Z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