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sz w:val="44"/>
          <w:szCs w:val="44"/>
        </w:rPr>
      </w:pPr>
      <w:r>
        <w:rPr>
          <w:rFonts w:ascii="方正小标宋简体" w:hAnsi="方正小标宋简体"/>
          <w:sz w:val="44"/>
          <w:szCs w:val="44"/>
        </w:rPr>
        <w:t xml:space="preserve"> </w:t>
      </w:r>
      <w:r>
        <w:rPr>
          <w:rFonts w:ascii="方正小标宋简体" w:hAnsi="方正小标宋简体"/>
          <w:b/>
          <w:bCs/>
          <w:sz w:val="44"/>
          <w:szCs w:val="44"/>
        </w:rPr>
        <w:t xml:space="preserve"> </w:t>
      </w:r>
      <w:r>
        <w:rPr>
          <w:rFonts w:hint="eastAsia" w:ascii="方正小标宋简体" w:hAnsi="方正小标宋简体"/>
          <w:b/>
          <w:bCs/>
          <w:sz w:val="44"/>
          <w:szCs w:val="44"/>
          <w:lang w:eastAsia="zh-CN"/>
        </w:rPr>
        <w:t>津南区</w:t>
      </w:r>
      <w:r>
        <w:rPr>
          <w:rFonts w:ascii="方正小标宋简体" w:hAnsi="方正小标宋简体"/>
          <w:b/>
          <w:bCs/>
          <w:sz w:val="44"/>
          <w:szCs w:val="44"/>
        </w:rPr>
        <w:t>农业行政处罚案件信息公开表</w:t>
      </w:r>
    </w:p>
    <w:p>
      <w:pPr>
        <w:rPr>
          <w:rFonts w:ascii="仿宋" w:hAnsi="仿宋" w:eastAsia="仿宋"/>
          <w:sz w:val="30"/>
          <w:szCs w:val="30"/>
        </w:rPr>
      </w:pPr>
      <w:r>
        <w:rPr>
          <w:rFonts w:hint="eastAsia" w:ascii="宋体" w:hAnsi="宋体"/>
          <w:b/>
          <w:bCs/>
          <w:sz w:val="30"/>
          <w:szCs w:val="30"/>
        </w:rPr>
        <w:t>公示日期：</w:t>
      </w:r>
      <w:r>
        <w:rPr>
          <w:rFonts w:hint="eastAsia" w:ascii="宋体" w:hAnsi="宋体"/>
          <w:b/>
          <w:bCs/>
          <w:sz w:val="30"/>
          <w:szCs w:val="30"/>
          <w:lang w:val="en-US" w:eastAsia="zh-CN"/>
        </w:rPr>
        <w:t>2025</w:t>
      </w:r>
      <w:r>
        <w:rPr>
          <w:rFonts w:hint="eastAsia" w:ascii="宋体" w:hAnsi="宋体"/>
          <w:b/>
          <w:bCs/>
          <w:sz w:val="30"/>
          <w:szCs w:val="30"/>
        </w:rPr>
        <w:t>年</w:t>
      </w:r>
      <w:r>
        <w:rPr>
          <w:rFonts w:hint="eastAsia" w:ascii="宋体" w:hAnsi="宋体"/>
          <w:b/>
          <w:bCs/>
          <w:sz w:val="30"/>
          <w:szCs w:val="30"/>
          <w:lang w:val="en-US" w:eastAsia="zh-CN"/>
        </w:rPr>
        <w:t>4</w:t>
      </w:r>
      <w:r>
        <w:rPr>
          <w:rFonts w:hint="eastAsia" w:ascii="宋体" w:hAnsi="宋体"/>
          <w:b/>
          <w:bCs/>
          <w:sz w:val="30"/>
          <w:szCs w:val="30"/>
        </w:rPr>
        <w:t>月</w:t>
      </w:r>
      <w:r>
        <w:rPr>
          <w:rFonts w:hint="default" w:ascii="宋体" w:hAnsi="宋体"/>
          <w:b/>
          <w:bCs/>
          <w:sz w:val="30"/>
          <w:szCs w:val="30"/>
          <w:lang w:val="en"/>
        </w:rPr>
        <w:t>10</w:t>
      </w:r>
      <w:bookmarkStart w:id="0" w:name="_GoBack"/>
      <w:bookmarkEnd w:id="0"/>
      <w:r>
        <w:rPr>
          <w:rFonts w:hint="eastAsia" w:ascii="宋体" w:hAnsi="宋体"/>
          <w:b/>
          <w:bCs/>
          <w:sz w:val="30"/>
          <w:szCs w:val="30"/>
          <w:lang w:val="en" w:eastAsia="zh-CN"/>
        </w:rPr>
        <w:t>日</w:t>
      </w:r>
      <w:r>
        <w:rPr>
          <w:rFonts w:hint="eastAsia" w:ascii="宋体" w:hAnsi="宋体"/>
          <w:b/>
          <w:bCs/>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p>
    <w:tbl>
      <w:tblPr>
        <w:tblStyle w:val="2"/>
        <w:tblW w:w="145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95"/>
        <w:gridCol w:w="1860"/>
        <w:gridCol w:w="1275"/>
        <w:gridCol w:w="1440"/>
        <w:gridCol w:w="1410"/>
        <w:gridCol w:w="1800"/>
        <w:gridCol w:w="1800"/>
        <w:gridCol w:w="1200"/>
        <w:gridCol w:w="1447"/>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序号</w:t>
            </w:r>
          </w:p>
        </w:tc>
        <w:tc>
          <w:tcPr>
            <w:tcW w:w="149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行政处罚决定案号</w:t>
            </w:r>
          </w:p>
        </w:tc>
        <w:tc>
          <w:tcPr>
            <w:tcW w:w="18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案件名称</w:t>
            </w:r>
          </w:p>
        </w:tc>
        <w:tc>
          <w:tcPr>
            <w:tcW w:w="127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违法主体名称或姓名</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 w:hAnsi="仿宋" w:eastAsia="仿宋"/>
                <w:b/>
                <w:bCs/>
                <w:lang w:val="en-US" w:eastAsia="zh-CN"/>
              </w:rPr>
            </w:pPr>
            <w:r>
              <w:rPr>
                <w:rFonts w:hint="eastAsia" w:ascii="仿宋" w:hAnsi="仿宋" w:eastAsia="仿宋"/>
                <w:b/>
                <w:bCs/>
              </w:rPr>
              <w:t>违法企业统一社会信用代码</w:t>
            </w:r>
          </w:p>
        </w:tc>
        <w:tc>
          <w:tcPr>
            <w:tcW w:w="141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法定代表人（负责人）</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主要违法事实</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行政处罚种类和依据</w:t>
            </w:r>
          </w:p>
        </w:tc>
        <w:tc>
          <w:tcPr>
            <w:tcW w:w="12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行政处罚履行方式和期限</w:t>
            </w:r>
          </w:p>
        </w:tc>
        <w:tc>
          <w:tcPr>
            <w:tcW w:w="144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作出行政处罚的</w:t>
            </w:r>
          </w:p>
          <w:p>
            <w:pPr>
              <w:adjustRightInd w:val="0"/>
              <w:snapToGrid w:val="0"/>
              <w:jc w:val="center"/>
              <w:rPr>
                <w:rFonts w:ascii="仿宋" w:hAnsi="仿宋" w:eastAsia="仿宋"/>
                <w:b/>
                <w:bCs/>
              </w:rPr>
            </w:pPr>
            <w:r>
              <w:rPr>
                <w:rFonts w:hint="eastAsia" w:ascii="仿宋" w:hAnsi="仿宋" w:eastAsia="仿宋"/>
                <w:b/>
                <w:bCs/>
              </w:rPr>
              <w:t>机关名称和日期</w:t>
            </w:r>
          </w:p>
        </w:tc>
        <w:tc>
          <w:tcPr>
            <w:tcW w:w="43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b/>
                <w:bCs/>
              </w:rPr>
            </w:pPr>
            <w:r>
              <w:rPr>
                <w:rFonts w:hint="eastAsia" w:ascii="仿宋" w:hAnsi="仿宋" w:eastAsia="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2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lang w:val="en-US" w:eastAsia="zh-CN"/>
              </w:rPr>
            </w:pPr>
            <w:r>
              <w:rPr>
                <w:rFonts w:hint="eastAsia" w:ascii="仿宋" w:hAnsi="仿宋" w:eastAsia="仿宋"/>
                <w:lang w:val="en-US" w:eastAsia="zh-CN"/>
              </w:rPr>
              <w:t>1</w:t>
            </w:r>
          </w:p>
        </w:tc>
        <w:tc>
          <w:tcPr>
            <w:tcW w:w="149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rPr>
            </w:pPr>
            <w:r>
              <w:rPr>
                <w:rFonts w:hint="eastAsia" w:ascii="仿宋" w:hAnsi="仿宋" w:eastAsia="仿宋" w:cs="Times New Roman"/>
                <w:lang w:val="en" w:eastAsia="zh-CN"/>
              </w:rPr>
              <w:t>津南农（动防）罚〔</w:t>
            </w:r>
            <w:r>
              <w:rPr>
                <w:rFonts w:hint="eastAsia" w:ascii="仿宋" w:hAnsi="仿宋" w:eastAsia="仿宋" w:cs="Times New Roman"/>
                <w:lang w:val="en-US" w:eastAsia="zh-CN"/>
              </w:rPr>
              <w:t>2025</w:t>
            </w:r>
            <w:r>
              <w:rPr>
                <w:rFonts w:hint="eastAsia" w:ascii="仿宋" w:hAnsi="仿宋" w:eastAsia="仿宋" w:cs="Times New Roman"/>
                <w:lang w:val="en" w:eastAsia="zh-CN"/>
              </w:rPr>
              <w:t>〕</w:t>
            </w:r>
            <w:r>
              <w:rPr>
                <w:rFonts w:hint="eastAsia" w:ascii="仿宋" w:hAnsi="仿宋" w:eastAsia="仿宋" w:cs="Times New Roman"/>
                <w:lang w:val="en-US" w:eastAsia="zh-CN"/>
              </w:rPr>
              <w:t>2</w:t>
            </w:r>
            <w:r>
              <w:rPr>
                <w:rFonts w:hint="eastAsia" w:ascii="仿宋" w:hAnsi="仿宋" w:eastAsia="仿宋" w:cs="Times New Roman"/>
                <w:lang w:val="en" w:eastAsia="zh-CN"/>
              </w:rPr>
              <w:t>号</w:t>
            </w:r>
          </w:p>
        </w:tc>
        <w:tc>
          <w:tcPr>
            <w:tcW w:w="1860"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 w:cs="宋体"/>
                <w:color w:val="000000"/>
                <w:sz w:val="24"/>
                <w:szCs w:val="24"/>
                <w:lang w:eastAsia="zh-CN"/>
              </w:rPr>
            </w:pPr>
            <w:r>
              <w:rPr>
                <w:rFonts w:hint="eastAsia" w:ascii="仿宋" w:hAnsi="仿宋" w:eastAsia="仿宋" w:cs="Times New Roman"/>
                <w:lang w:val="en" w:eastAsia="zh-CN"/>
              </w:rPr>
              <w:t>天津市优格宠物医院有限责任公司未按规定为执业兽医提供处方笺案</w:t>
            </w:r>
          </w:p>
        </w:tc>
        <w:tc>
          <w:tcPr>
            <w:tcW w:w="1275"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rPr>
            </w:pPr>
            <w:r>
              <w:rPr>
                <w:rFonts w:hint="eastAsia" w:ascii="仿宋" w:hAnsi="仿宋" w:eastAsia="仿宋" w:cs="Times New Roman"/>
                <w:lang w:val="en" w:eastAsia="zh-CN"/>
              </w:rPr>
              <w:t>天津市优格宠物医院有限责任公司</w:t>
            </w:r>
          </w:p>
        </w:tc>
        <w:tc>
          <w:tcPr>
            <w:tcW w:w="144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仿宋" w:hAnsi="仿宋" w:eastAsia="仿宋"/>
                <w:lang w:val="en-US" w:eastAsia="zh-CN"/>
              </w:rPr>
            </w:pPr>
            <w:r>
              <w:rPr>
                <w:rFonts w:hint="eastAsia" w:ascii="仿宋" w:hAnsi="仿宋" w:eastAsia="仿宋"/>
                <w:lang w:val="en-US" w:eastAsia="zh-CN"/>
              </w:rPr>
              <w:t>91120112MACJGFP89Y</w:t>
            </w:r>
          </w:p>
        </w:tc>
        <w:tc>
          <w:tcPr>
            <w:tcW w:w="141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仿宋" w:hAnsi="仿宋" w:eastAsia="仿宋"/>
                <w:lang w:val="en-US" w:eastAsia="zh-CN"/>
              </w:rPr>
            </w:pPr>
            <w:r>
              <w:rPr>
                <w:rFonts w:hint="eastAsia" w:ascii="仿宋" w:hAnsi="仿宋" w:eastAsia="仿宋"/>
                <w:lang w:val="en-US" w:eastAsia="zh-CN"/>
              </w:rPr>
              <w:t>王云龙</w:t>
            </w:r>
          </w:p>
        </w:tc>
        <w:tc>
          <w:tcPr>
            <w:tcW w:w="180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cs="Times New Roman"/>
                <w:lang w:val="en" w:eastAsia="zh-CN"/>
              </w:rPr>
              <w:t>天津市优格宠物医院有限责任公司未按规定为执业兽医提供处方笺的</w:t>
            </w:r>
            <w:r>
              <w:rPr>
                <w:rFonts w:hint="eastAsia" w:ascii="仿宋" w:hAnsi="仿宋" w:eastAsia="仿宋" w:cs="Times New Roman"/>
                <w:lang w:val="en-US" w:eastAsia="zh-CN"/>
              </w:rPr>
              <w:t>违法行为</w:t>
            </w:r>
            <w:r>
              <w:rPr>
                <w:rFonts w:hint="eastAsia" w:ascii="仿宋" w:hAnsi="仿宋" w:eastAsia="仿宋" w:cs="Times New Roman"/>
                <w:lang w:val="en" w:eastAsia="zh-CN"/>
              </w:rPr>
              <w:t>，违反了《动物诊疗机构管理办法》第二十三条</w:t>
            </w:r>
            <w:r>
              <w:rPr>
                <w:rFonts w:hint="eastAsia" w:ascii="仿宋" w:hAnsi="仿宋" w:eastAsia="仿宋" w:cs="Times New Roman"/>
                <w:lang w:val="en-US" w:eastAsia="zh-CN"/>
              </w:rPr>
              <w:t>之规定</w:t>
            </w:r>
            <w:r>
              <w:rPr>
                <w:rFonts w:hint="eastAsia" w:ascii="仿宋" w:hAnsi="仿宋" w:eastAsia="仿宋" w:cs="Times New Roman"/>
                <w:lang w:val="en" w:eastAsia="zh-CN"/>
              </w:rPr>
              <w:t>。</w:t>
            </w: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 w:hAnsi="仿宋" w:eastAsia="仿宋"/>
                <w:lang w:val="en" w:eastAsia="zh-CN"/>
              </w:rPr>
            </w:pPr>
            <w:r>
              <w:rPr>
                <w:rFonts w:hint="eastAsia" w:ascii="仿宋" w:hAnsi="仿宋" w:eastAsia="仿宋"/>
              </w:rPr>
              <w:t>罚款</w:t>
            </w:r>
          </w:p>
        </w:tc>
        <w:tc>
          <w:tcPr>
            <w:tcW w:w="12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 w:hAnsi="仿宋" w:eastAsia="仿宋"/>
                <w:lang w:eastAsia="zh-CN"/>
              </w:rPr>
            </w:pPr>
            <w:r>
              <w:rPr>
                <w:rFonts w:hint="eastAsia" w:ascii="仿宋" w:hAnsi="仿宋" w:eastAsia="仿宋" w:cs="仿宋"/>
                <w:bCs/>
                <w:sz w:val="21"/>
                <w:szCs w:val="21"/>
              </w:rPr>
              <w:t>当事人按照指定缴款渠道缴纳罚没款</w:t>
            </w:r>
          </w:p>
        </w:tc>
        <w:tc>
          <w:tcPr>
            <w:tcW w:w="144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 w:hAnsi="仿宋" w:eastAsia="仿宋"/>
              </w:rPr>
            </w:pPr>
            <w:r>
              <w:rPr>
                <w:rFonts w:hint="eastAsia" w:ascii="仿宋" w:hAnsi="仿宋" w:eastAsia="仿宋"/>
              </w:rPr>
              <w:t>天津市津南区农业农村委员会</w:t>
            </w:r>
          </w:p>
        </w:tc>
        <w:tc>
          <w:tcPr>
            <w:tcW w:w="4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1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18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sz w:val="24"/>
                <w:szCs w:val="24"/>
              </w:rPr>
            </w:pPr>
          </w:p>
        </w:tc>
        <w:tc>
          <w:tcPr>
            <w:tcW w:w="127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rPr>
            </w:pPr>
          </w:p>
        </w:tc>
        <w:tc>
          <w:tcPr>
            <w:tcW w:w="14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rPr>
            </w:pPr>
          </w:p>
        </w:tc>
        <w:tc>
          <w:tcPr>
            <w:tcW w:w="141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rPr>
            </w:pPr>
          </w:p>
        </w:tc>
        <w:tc>
          <w:tcPr>
            <w:tcW w:w="18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rPr>
            </w:pPr>
          </w:p>
        </w:tc>
        <w:tc>
          <w:tcPr>
            <w:tcW w:w="18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 w:hAnsi="仿宋" w:eastAsia="仿宋"/>
                <w:lang w:val="en" w:eastAsia="zh-CN"/>
              </w:rPr>
            </w:pPr>
            <w:r>
              <w:rPr>
                <w:rFonts w:hint="eastAsia" w:ascii="仿宋" w:hAnsi="仿宋" w:eastAsia="仿宋"/>
              </w:rPr>
              <w:t>依据《</w:t>
            </w:r>
            <w:r>
              <w:rPr>
                <w:rFonts w:hint="eastAsia" w:ascii="仿宋" w:hAnsi="仿宋" w:eastAsia="仿宋" w:cs="Times New Roman"/>
                <w:lang w:val="en" w:eastAsia="zh-CN"/>
              </w:rPr>
              <w:t>动物诊疗机构管理办法</w:t>
            </w:r>
            <w:r>
              <w:rPr>
                <w:rFonts w:hint="eastAsia" w:ascii="仿宋" w:hAnsi="仿宋" w:eastAsia="仿宋"/>
              </w:rPr>
              <w:t>》第</w:t>
            </w:r>
            <w:r>
              <w:rPr>
                <w:rFonts w:hint="eastAsia" w:ascii="仿宋" w:hAnsi="仿宋" w:eastAsia="仿宋"/>
                <w:lang w:eastAsia="zh-CN"/>
              </w:rPr>
              <w:t>三十</w:t>
            </w:r>
            <w:r>
              <w:rPr>
                <w:rFonts w:hint="eastAsia" w:ascii="仿宋" w:hAnsi="仿宋" w:eastAsia="仿宋"/>
              </w:rPr>
              <w:t>五条第</w:t>
            </w:r>
            <w:r>
              <w:rPr>
                <w:rFonts w:hint="eastAsia" w:ascii="仿宋" w:hAnsi="仿宋" w:eastAsia="仿宋"/>
                <w:lang w:eastAsia="zh-CN"/>
              </w:rPr>
              <w:t>三项</w:t>
            </w:r>
          </w:p>
        </w:tc>
        <w:tc>
          <w:tcPr>
            <w:tcW w:w="120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仿宋" w:hAnsi="仿宋" w:eastAsia="仿宋"/>
                <w:lang w:val="en-US" w:eastAsia="zh-CN"/>
              </w:rPr>
            </w:pPr>
            <w:r>
              <w:rPr>
                <w:rFonts w:hint="eastAsia" w:ascii="仿宋" w:hAnsi="仿宋" w:eastAsia="仿宋" w:cs="仿宋"/>
                <w:bCs/>
                <w:sz w:val="21"/>
                <w:szCs w:val="21"/>
              </w:rPr>
              <w:t>法定期限内</w:t>
            </w:r>
          </w:p>
        </w:tc>
        <w:tc>
          <w:tcPr>
            <w:tcW w:w="144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宋体" w:hAnsi="宋体"/>
                <w:lang w:val="en-US" w:eastAsia="zh-CN"/>
              </w:rPr>
            </w:pPr>
            <w:r>
              <w:rPr>
                <w:rFonts w:hint="default" w:ascii="宋体" w:hAnsi="宋体"/>
                <w:lang w:val="en" w:eastAsia="zh-CN"/>
              </w:rPr>
              <w:t>202</w:t>
            </w:r>
            <w:r>
              <w:rPr>
                <w:rFonts w:hint="eastAsia" w:ascii="宋体" w:hAnsi="宋体"/>
                <w:lang w:val="en-US" w:eastAsia="zh-CN"/>
              </w:rPr>
              <w:t>5</w:t>
            </w:r>
            <w:r>
              <w:rPr>
                <w:rFonts w:hint="default" w:ascii="宋体" w:hAnsi="宋体"/>
                <w:lang w:val="en" w:eastAsia="zh-CN"/>
              </w:rPr>
              <w:t>/</w:t>
            </w:r>
            <w:r>
              <w:rPr>
                <w:rFonts w:hint="eastAsia" w:ascii="宋体" w:hAnsi="宋体"/>
                <w:lang w:val="en-US" w:eastAsia="zh-CN"/>
              </w:rPr>
              <w:t>4</w:t>
            </w:r>
            <w:r>
              <w:rPr>
                <w:rFonts w:hint="default" w:ascii="宋体" w:hAnsi="宋体"/>
                <w:lang w:val="en" w:eastAsia="zh-CN"/>
              </w:rPr>
              <w:t>/</w:t>
            </w:r>
            <w:r>
              <w:rPr>
                <w:rFonts w:hint="eastAsia" w:ascii="宋体" w:hAnsi="宋体"/>
                <w:lang w:val="en-US" w:eastAsia="zh-CN"/>
              </w:rPr>
              <w:t>7</w:t>
            </w:r>
          </w:p>
        </w:tc>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21"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rPr>
            </w:pPr>
          </w:p>
          <w:p>
            <w:pPr>
              <w:widowControl/>
              <w:jc w:val="center"/>
              <w:rPr>
                <w:rFonts w:hint="eastAsia" w:ascii="仿宋" w:hAnsi="仿宋" w:eastAsia="仿宋"/>
                <w:lang w:val="en-US" w:eastAsia="zh-CN"/>
              </w:rPr>
            </w:pPr>
            <w:r>
              <w:rPr>
                <w:rFonts w:hint="eastAsia" w:ascii="仿宋" w:hAnsi="仿宋" w:eastAsia="仿宋"/>
                <w:lang w:val="en-US" w:eastAsia="zh-CN"/>
              </w:rPr>
              <w:t>2</w:t>
            </w:r>
          </w:p>
          <w:p>
            <w:pPr>
              <w:widowControl/>
              <w:jc w:val="center"/>
              <w:rPr>
                <w:rFonts w:ascii="仿宋" w:hAnsi="仿宋" w:eastAsia="仿宋"/>
              </w:rPr>
            </w:pPr>
          </w:p>
          <w:p>
            <w:pPr>
              <w:widowControl/>
              <w:jc w:val="center"/>
              <w:rPr>
                <w:rFonts w:ascii="仿宋" w:hAnsi="仿宋" w:eastAsia="仿宋"/>
              </w:rPr>
            </w:pPr>
          </w:p>
        </w:tc>
        <w:tc>
          <w:tcPr>
            <w:tcW w:w="1495" w:type="dxa"/>
            <w:vMerge w:val="restart"/>
            <w:tcBorders>
              <w:top w:val="single" w:color="auto" w:sz="4" w:space="0"/>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津南农（兽药）罚〔</w:t>
            </w:r>
            <w:r>
              <w:rPr>
                <w:rFonts w:hint="eastAsia" w:ascii="仿宋" w:hAnsi="仿宋" w:eastAsia="仿宋" w:cs="Times New Roman"/>
                <w:lang w:val="en-US" w:eastAsia="zh-CN"/>
              </w:rPr>
              <w:t>2025</w:t>
            </w:r>
            <w:r>
              <w:rPr>
                <w:rFonts w:hint="eastAsia" w:ascii="仿宋" w:hAnsi="仿宋" w:eastAsia="仿宋" w:cs="Times New Roman"/>
                <w:lang w:val="en" w:eastAsia="zh-CN"/>
              </w:rPr>
              <w:t>〕</w:t>
            </w:r>
            <w:r>
              <w:rPr>
                <w:rFonts w:hint="eastAsia" w:ascii="仿宋" w:hAnsi="仿宋" w:eastAsia="仿宋" w:cs="Times New Roman"/>
                <w:lang w:val="en-US" w:eastAsia="zh-CN"/>
              </w:rPr>
              <w:t>1</w:t>
            </w:r>
            <w:r>
              <w:rPr>
                <w:rFonts w:hint="eastAsia" w:ascii="仿宋" w:hAnsi="仿宋" w:eastAsia="仿宋" w:cs="Times New Roman"/>
                <w:lang w:val="en" w:eastAsia="zh-CN"/>
              </w:rPr>
              <w:t>号</w:t>
            </w:r>
          </w:p>
        </w:tc>
        <w:tc>
          <w:tcPr>
            <w:tcW w:w="1860" w:type="dxa"/>
            <w:vMerge w:val="restart"/>
            <w:tcBorders>
              <w:top w:val="single" w:color="auto" w:sz="4" w:space="0"/>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天津市优格宠物医院有限责任公司使用假兽药案</w:t>
            </w:r>
          </w:p>
        </w:tc>
        <w:tc>
          <w:tcPr>
            <w:tcW w:w="1275" w:type="dxa"/>
            <w:vMerge w:val="restart"/>
            <w:tcBorders>
              <w:top w:val="single" w:color="auto" w:sz="4" w:space="0"/>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天津市优格宠物医院有限责任公司</w:t>
            </w:r>
          </w:p>
        </w:tc>
        <w:tc>
          <w:tcPr>
            <w:tcW w:w="1440" w:type="dxa"/>
            <w:vMerge w:val="restart"/>
            <w:tcBorders>
              <w:top w:val="single" w:color="auto" w:sz="4" w:space="0"/>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US" w:eastAsia="zh-CN"/>
              </w:rPr>
              <w:t>91120112MACJGFP89Y</w:t>
            </w:r>
          </w:p>
        </w:tc>
        <w:tc>
          <w:tcPr>
            <w:tcW w:w="1410" w:type="dxa"/>
            <w:vMerge w:val="restart"/>
            <w:tcBorders>
              <w:top w:val="single" w:color="auto" w:sz="4" w:space="0"/>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US" w:eastAsia="zh-CN"/>
              </w:rPr>
              <w:t>王云龙</w:t>
            </w:r>
          </w:p>
        </w:tc>
        <w:tc>
          <w:tcPr>
            <w:tcW w:w="1800" w:type="dxa"/>
            <w:vMerge w:val="restart"/>
            <w:tcBorders>
              <w:top w:val="single" w:color="auto" w:sz="4" w:space="0"/>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天津市优格宠物医院有限责任公司使用假兽药的</w:t>
            </w:r>
            <w:r>
              <w:rPr>
                <w:rFonts w:hint="eastAsia" w:ascii="仿宋" w:hAnsi="仿宋" w:eastAsia="仿宋" w:cs="Times New Roman"/>
                <w:lang w:val="en-US" w:eastAsia="zh-CN"/>
              </w:rPr>
              <w:t>违法行为</w:t>
            </w:r>
            <w:r>
              <w:rPr>
                <w:rFonts w:hint="eastAsia" w:ascii="仿宋" w:hAnsi="仿宋" w:eastAsia="仿宋" w:cs="Times New Roman"/>
                <w:lang w:val="en" w:eastAsia="zh-CN"/>
              </w:rPr>
              <w:t>，违反了《兽药管理条例》第三十九条</w:t>
            </w:r>
          </w:p>
        </w:tc>
        <w:tc>
          <w:tcPr>
            <w:tcW w:w="18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罚款</w:t>
            </w:r>
          </w:p>
        </w:tc>
        <w:tc>
          <w:tcPr>
            <w:tcW w:w="12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仿宋"/>
                <w:bCs/>
                <w:sz w:val="21"/>
                <w:szCs w:val="21"/>
              </w:rPr>
              <w:t>当事人按照指定缴款渠道缴纳罚没款</w:t>
            </w:r>
          </w:p>
        </w:tc>
        <w:tc>
          <w:tcPr>
            <w:tcW w:w="14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Times New Roman"/>
                <w:lang w:val="en" w:eastAsia="zh-CN"/>
              </w:rPr>
            </w:pPr>
            <w:r>
              <w:rPr>
                <w:rFonts w:hint="eastAsia" w:ascii="仿宋" w:hAnsi="仿宋" w:eastAsia="仿宋"/>
              </w:rPr>
              <w:t>天津市津南区农业农村委员会</w:t>
            </w:r>
          </w:p>
        </w:tc>
        <w:tc>
          <w:tcPr>
            <w:tcW w:w="430" w:type="dxa"/>
            <w:vMerge w:val="restart"/>
            <w:tcBorders>
              <w:top w:val="single" w:color="auto" w:sz="4" w:space="0"/>
              <w:left w:val="nil"/>
              <w:right w:val="single" w:color="auto" w:sz="4" w:space="0"/>
            </w:tcBorders>
            <w:noWrap w:val="0"/>
            <w:vAlign w:val="center"/>
          </w:tcPr>
          <w:p>
            <w:pPr>
              <w:widowControl/>
              <w:jc w:val="left"/>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21" w:type="dxa"/>
            <w:vMerge w:val="continue"/>
            <w:tcBorders>
              <w:left w:val="single" w:color="auto" w:sz="4" w:space="0"/>
              <w:right w:val="single" w:color="auto" w:sz="4" w:space="0"/>
            </w:tcBorders>
            <w:noWrap w:val="0"/>
            <w:vAlign w:val="center"/>
          </w:tcPr>
          <w:p>
            <w:pPr>
              <w:widowControl/>
              <w:jc w:val="left"/>
              <w:rPr>
                <w:rFonts w:ascii="仿宋" w:hAnsi="仿宋" w:eastAsia="仿宋"/>
              </w:rPr>
            </w:pPr>
          </w:p>
        </w:tc>
        <w:tc>
          <w:tcPr>
            <w:tcW w:w="1495" w:type="dxa"/>
            <w:vMerge w:val="continue"/>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60" w:type="dxa"/>
            <w:vMerge w:val="continue"/>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275" w:type="dxa"/>
            <w:vMerge w:val="continue"/>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440" w:type="dxa"/>
            <w:vMerge w:val="continue"/>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410" w:type="dxa"/>
            <w:vMerge w:val="continue"/>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00" w:type="dxa"/>
            <w:vMerge w:val="continue"/>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依据《兽药管理条例》第六十二条</w:t>
            </w:r>
          </w:p>
        </w:tc>
        <w:tc>
          <w:tcPr>
            <w:tcW w:w="12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仿宋"/>
                <w:bCs/>
                <w:sz w:val="21"/>
                <w:szCs w:val="21"/>
              </w:rPr>
              <w:t>法定期限内</w:t>
            </w:r>
          </w:p>
        </w:tc>
        <w:tc>
          <w:tcPr>
            <w:tcW w:w="14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 w:hAnsi="仿宋" w:eastAsia="仿宋" w:cs="Times New Roman"/>
                <w:lang w:val="en" w:eastAsia="zh-CN"/>
              </w:rPr>
            </w:pPr>
            <w:r>
              <w:rPr>
                <w:rFonts w:hint="default" w:ascii="宋体" w:hAnsi="宋体"/>
                <w:lang w:val="en" w:eastAsia="zh-CN"/>
              </w:rPr>
              <w:t>202</w:t>
            </w:r>
            <w:r>
              <w:rPr>
                <w:rFonts w:hint="eastAsia" w:ascii="宋体" w:hAnsi="宋体"/>
                <w:lang w:val="en-US" w:eastAsia="zh-CN"/>
              </w:rPr>
              <w:t>5</w:t>
            </w:r>
            <w:r>
              <w:rPr>
                <w:rFonts w:hint="default" w:ascii="宋体" w:hAnsi="宋体"/>
                <w:lang w:val="en" w:eastAsia="zh-CN"/>
              </w:rPr>
              <w:t>/</w:t>
            </w:r>
            <w:r>
              <w:rPr>
                <w:rFonts w:hint="eastAsia" w:ascii="宋体" w:hAnsi="宋体"/>
                <w:lang w:val="en-US" w:eastAsia="zh-CN"/>
              </w:rPr>
              <w:t>4</w:t>
            </w:r>
            <w:r>
              <w:rPr>
                <w:rFonts w:hint="default" w:ascii="宋体" w:hAnsi="宋体"/>
                <w:lang w:val="en" w:eastAsia="zh-CN"/>
              </w:rPr>
              <w:t>/</w:t>
            </w:r>
            <w:r>
              <w:rPr>
                <w:rFonts w:hint="eastAsia" w:ascii="宋体" w:hAnsi="宋体"/>
                <w:lang w:val="en-US" w:eastAsia="zh-CN"/>
              </w:rPr>
              <w:t>7</w:t>
            </w:r>
          </w:p>
        </w:tc>
        <w:tc>
          <w:tcPr>
            <w:tcW w:w="430" w:type="dxa"/>
            <w:vMerge w:val="continue"/>
            <w:tcBorders>
              <w:left w:val="nil"/>
              <w:right w:val="single" w:color="auto" w:sz="4" w:space="0"/>
            </w:tcBorders>
            <w:noWrap w:val="0"/>
            <w:vAlign w:val="center"/>
          </w:tcPr>
          <w:p>
            <w:pPr>
              <w:widowControl/>
              <w:jc w:val="left"/>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21" w:type="dxa"/>
            <w:vMerge w:val="restart"/>
            <w:tcBorders>
              <w:left w:val="single" w:color="auto" w:sz="4" w:space="0"/>
              <w:right w:val="single" w:color="auto" w:sz="4" w:space="0"/>
            </w:tcBorders>
            <w:noWrap w:val="0"/>
            <w:vAlign w:val="center"/>
          </w:tcPr>
          <w:p>
            <w:pPr>
              <w:widowControl/>
              <w:jc w:val="left"/>
              <w:rPr>
                <w:rFonts w:hint="eastAsia" w:ascii="仿宋" w:hAnsi="仿宋" w:eastAsia="仿宋"/>
                <w:lang w:val="en-US" w:eastAsia="zh-CN"/>
              </w:rPr>
            </w:pPr>
            <w:r>
              <w:rPr>
                <w:rFonts w:hint="eastAsia" w:ascii="仿宋" w:hAnsi="仿宋" w:eastAsia="仿宋"/>
                <w:lang w:val="en-US" w:eastAsia="zh-CN"/>
              </w:rPr>
              <w:t>3</w:t>
            </w:r>
          </w:p>
        </w:tc>
        <w:tc>
          <w:tcPr>
            <w:tcW w:w="1495" w:type="dxa"/>
            <w:vMerge w:val="restart"/>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津南农（陆渔）罚〔</w:t>
            </w:r>
            <w:r>
              <w:rPr>
                <w:rFonts w:hint="eastAsia" w:ascii="仿宋" w:hAnsi="仿宋" w:eastAsia="仿宋" w:cs="Times New Roman"/>
                <w:lang w:val="en-US" w:eastAsia="zh-CN"/>
              </w:rPr>
              <w:t>2025</w:t>
            </w:r>
            <w:r>
              <w:rPr>
                <w:rFonts w:hint="eastAsia" w:ascii="仿宋" w:hAnsi="仿宋" w:eastAsia="仿宋" w:cs="Times New Roman"/>
                <w:lang w:val="en" w:eastAsia="zh-CN"/>
              </w:rPr>
              <w:t>〕</w:t>
            </w:r>
            <w:r>
              <w:rPr>
                <w:rFonts w:hint="eastAsia" w:ascii="仿宋" w:hAnsi="仿宋" w:eastAsia="仿宋" w:cs="Times New Roman"/>
                <w:lang w:val="en-US" w:eastAsia="zh-CN"/>
              </w:rPr>
              <w:t>1</w:t>
            </w:r>
            <w:r>
              <w:rPr>
                <w:rFonts w:hint="eastAsia" w:ascii="仿宋" w:hAnsi="仿宋" w:eastAsia="仿宋" w:cs="Times New Roman"/>
                <w:lang w:val="en" w:eastAsia="zh-CN"/>
              </w:rPr>
              <w:t>号</w:t>
            </w:r>
          </w:p>
        </w:tc>
        <w:tc>
          <w:tcPr>
            <w:tcW w:w="1860" w:type="dxa"/>
            <w:vMerge w:val="restart"/>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薛德盛非法电鱼案</w:t>
            </w:r>
          </w:p>
        </w:tc>
        <w:tc>
          <w:tcPr>
            <w:tcW w:w="1275" w:type="dxa"/>
            <w:vMerge w:val="restart"/>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薛德盛</w:t>
            </w:r>
          </w:p>
        </w:tc>
        <w:tc>
          <w:tcPr>
            <w:tcW w:w="1440" w:type="dxa"/>
            <w:vMerge w:val="restart"/>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410" w:type="dxa"/>
            <w:vMerge w:val="restart"/>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00" w:type="dxa"/>
            <w:vMerge w:val="restart"/>
            <w:tcBorders>
              <w:left w:val="nil"/>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薛德盛非法电鱼的违法行为，违反了《中华人民共和国渔业法》第三十条</w:t>
            </w:r>
          </w:p>
        </w:tc>
        <w:tc>
          <w:tcPr>
            <w:tcW w:w="18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罚款；没收渔具</w:t>
            </w:r>
          </w:p>
        </w:tc>
        <w:tc>
          <w:tcPr>
            <w:tcW w:w="12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当事人按照指定缴款渠道缴纳罚没款</w:t>
            </w:r>
          </w:p>
        </w:tc>
        <w:tc>
          <w:tcPr>
            <w:tcW w:w="14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lang w:val="en" w:eastAsia="zh-CN"/>
              </w:rPr>
            </w:pPr>
            <w:r>
              <w:rPr>
                <w:rFonts w:hint="eastAsia" w:ascii="仿宋" w:hAnsi="仿宋" w:eastAsia="仿宋"/>
              </w:rPr>
              <w:t>天津市津南区农业农村委员会</w:t>
            </w:r>
          </w:p>
        </w:tc>
        <w:tc>
          <w:tcPr>
            <w:tcW w:w="430" w:type="dxa"/>
            <w:tcBorders>
              <w:left w:val="nil"/>
              <w:right w:val="single" w:color="auto" w:sz="4" w:space="0"/>
            </w:tcBorders>
            <w:noWrap w:val="0"/>
            <w:vAlign w:val="center"/>
          </w:tcPr>
          <w:p>
            <w:pPr>
              <w:widowControl/>
              <w:jc w:val="left"/>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21"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1495" w:type="dxa"/>
            <w:vMerge w:val="continue"/>
            <w:tcBorders>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60" w:type="dxa"/>
            <w:vMerge w:val="continue"/>
            <w:tcBorders>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275" w:type="dxa"/>
            <w:vMerge w:val="continue"/>
            <w:tcBorders>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440" w:type="dxa"/>
            <w:vMerge w:val="continue"/>
            <w:tcBorders>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410" w:type="dxa"/>
            <w:vMerge w:val="continue"/>
            <w:tcBorders>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00" w:type="dxa"/>
            <w:vMerge w:val="continue"/>
            <w:tcBorders>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p>
        </w:tc>
        <w:tc>
          <w:tcPr>
            <w:tcW w:w="18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lang w:val="en" w:eastAsia="zh-CN"/>
              </w:rPr>
            </w:pPr>
            <w:r>
              <w:rPr>
                <w:rFonts w:hint="eastAsia" w:ascii="仿宋" w:hAnsi="仿宋" w:eastAsia="仿宋" w:cs="Times New Roman"/>
                <w:lang w:val="en" w:eastAsia="zh-CN"/>
              </w:rPr>
              <w:t>依据《中华人民共和国渔业法》第三十八条第一款</w:t>
            </w:r>
          </w:p>
        </w:tc>
        <w:tc>
          <w:tcPr>
            <w:tcW w:w="12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法定期限内</w:t>
            </w:r>
          </w:p>
        </w:tc>
        <w:tc>
          <w:tcPr>
            <w:tcW w:w="144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lang w:val="en" w:eastAsia="zh-CN"/>
              </w:rPr>
            </w:pPr>
            <w:r>
              <w:rPr>
                <w:rFonts w:hint="default" w:ascii="宋体" w:hAnsi="宋体"/>
                <w:lang w:val="en" w:eastAsia="zh-CN"/>
              </w:rPr>
              <w:t>202</w:t>
            </w:r>
            <w:r>
              <w:rPr>
                <w:rFonts w:hint="eastAsia" w:ascii="宋体" w:hAnsi="宋体"/>
                <w:lang w:val="en-US" w:eastAsia="zh-CN"/>
              </w:rPr>
              <w:t>5</w:t>
            </w:r>
            <w:r>
              <w:rPr>
                <w:rFonts w:hint="default" w:ascii="宋体" w:hAnsi="宋体"/>
                <w:lang w:val="en" w:eastAsia="zh-CN"/>
              </w:rPr>
              <w:t>/</w:t>
            </w:r>
            <w:r>
              <w:rPr>
                <w:rFonts w:hint="eastAsia" w:ascii="宋体" w:hAnsi="宋体"/>
                <w:lang w:val="en-US" w:eastAsia="zh-CN"/>
              </w:rPr>
              <w:t>4</w:t>
            </w:r>
            <w:r>
              <w:rPr>
                <w:rFonts w:hint="default" w:ascii="宋体" w:hAnsi="宋体"/>
                <w:lang w:val="en" w:eastAsia="zh-CN"/>
              </w:rPr>
              <w:t>/</w:t>
            </w:r>
            <w:r>
              <w:rPr>
                <w:rFonts w:hint="eastAsia" w:ascii="宋体" w:hAnsi="宋体"/>
                <w:lang w:val="en-US" w:eastAsia="zh-CN"/>
              </w:rPr>
              <w:t>7</w:t>
            </w:r>
          </w:p>
        </w:tc>
        <w:tc>
          <w:tcPr>
            <w:tcW w:w="430" w:type="dxa"/>
            <w:tcBorders>
              <w:left w:val="nil"/>
              <w:bottom w:val="single" w:color="auto" w:sz="4" w:space="0"/>
              <w:right w:val="single" w:color="auto" w:sz="4" w:space="0"/>
            </w:tcBorders>
            <w:noWrap w:val="0"/>
            <w:vAlign w:val="center"/>
          </w:tcPr>
          <w:p>
            <w:pPr>
              <w:widowControl/>
              <w:jc w:val="left"/>
              <w:rPr>
                <w:rFonts w:ascii="仿宋" w:hAnsi="仿宋" w:eastAsia="仿宋"/>
                <w:b/>
                <w:bCs/>
              </w:rPr>
            </w:pPr>
          </w:p>
        </w:tc>
      </w:tr>
    </w:tbl>
    <w:p>
      <w:pPr>
        <w:adjustRightInd w:val="0"/>
        <w:snapToGrid w:val="0"/>
        <w:spacing w:line="300" w:lineRule="exact"/>
        <w:rPr>
          <w:rFonts w:hint="default" w:ascii="仿宋" w:hAnsi="仿宋" w:eastAsia="仿宋"/>
          <w:sz w:val="30"/>
          <w:szCs w:val="30"/>
          <w:lang w:val="en-US" w:eastAsia="zh-CN"/>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D9"/>
    <w:rsid w:val="005D280E"/>
    <w:rsid w:val="005F0FD9"/>
    <w:rsid w:val="00FD567F"/>
    <w:rsid w:val="10A04F3F"/>
    <w:rsid w:val="1ABE4140"/>
    <w:rsid w:val="25BD50D2"/>
    <w:rsid w:val="2FEF79B6"/>
    <w:rsid w:val="3E224342"/>
    <w:rsid w:val="3FDDC6DC"/>
    <w:rsid w:val="4B192DCF"/>
    <w:rsid w:val="537DB986"/>
    <w:rsid w:val="54D866F4"/>
    <w:rsid w:val="57BF7FE1"/>
    <w:rsid w:val="5BE38041"/>
    <w:rsid w:val="662B1028"/>
    <w:rsid w:val="679A203D"/>
    <w:rsid w:val="6BD25FDC"/>
    <w:rsid w:val="77FFC3F0"/>
    <w:rsid w:val="79F5F155"/>
    <w:rsid w:val="79FA0EE5"/>
    <w:rsid w:val="7BDD10F4"/>
    <w:rsid w:val="7BFD8273"/>
    <w:rsid w:val="7CBF0259"/>
    <w:rsid w:val="7DDF87EE"/>
    <w:rsid w:val="7EF55DAE"/>
    <w:rsid w:val="7FBDFD79"/>
    <w:rsid w:val="7FEC8D66"/>
    <w:rsid w:val="7FFF50E8"/>
    <w:rsid w:val="97EB44A3"/>
    <w:rsid w:val="9DEE78D5"/>
    <w:rsid w:val="9FFF8FF5"/>
    <w:rsid w:val="ABCC7DB2"/>
    <w:rsid w:val="BF4E4BDA"/>
    <w:rsid w:val="BFD58D99"/>
    <w:rsid w:val="C33FFC7A"/>
    <w:rsid w:val="D7DB7831"/>
    <w:rsid w:val="DBEBBA61"/>
    <w:rsid w:val="DD9F735B"/>
    <w:rsid w:val="DF8EB60C"/>
    <w:rsid w:val="DFD7ED49"/>
    <w:rsid w:val="E7349242"/>
    <w:rsid w:val="E7755F35"/>
    <w:rsid w:val="EBDFFBC3"/>
    <w:rsid w:val="EFDD7609"/>
    <w:rsid w:val="F3FFF671"/>
    <w:rsid w:val="FBCF0EBE"/>
    <w:rsid w:val="FEAF2307"/>
    <w:rsid w:val="FFE515D7"/>
    <w:rsid w:val="FFEA669E"/>
    <w:rsid w:val="FFEF1880"/>
    <w:rsid w:val="FFFD5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438</Characters>
  <Lines>3</Lines>
  <Paragraphs>1</Paragraphs>
  <TotalTime>5</TotalTime>
  <ScaleCrop>false</ScaleCrop>
  <LinksUpToDate>false</LinksUpToDate>
  <CharactersWithSpaces>513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2020-12-13T19:22:00Z</dcterms:created>
  <dc:creator>t</dc:creator>
  <cp:lastModifiedBy>greatwall</cp:lastModifiedBy>
  <dcterms:modified xsi:type="dcterms:W3CDTF">2025-04-09T15:36:28Z</dcterms:modified>
  <dc:title>  农业行政处罚案件信息公开表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A43DD962EFF24336CC2A2E654050C248</vt:lpwstr>
  </property>
</Properties>
</file>