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uppressAutoHyphens/>
        <w:bidi w:val="0"/>
        <w:spacing w:before="0" w:after="0" w:line="360" w:lineRule="auto"/>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合同一般条款</w:t>
      </w:r>
    </w:p>
    <w:p>
      <w:pPr>
        <w:tabs>
          <w:tab w:val="left" w:pos="0"/>
          <w:tab w:val="left" w:pos="315"/>
        </w:tabs>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p>
    <w:p>
      <w:pPr>
        <w:tabs>
          <w:tab w:val="left" w:pos="0"/>
          <w:tab w:val="left" w:pos="315"/>
        </w:tabs>
        <w:suppressAutoHyphens/>
        <w:bidi w:val="0"/>
        <w:spacing w:before="0" w:after="0" w:line="360" w:lineRule="auto"/>
        <w:ind w:firstLine="420"/>
        <w:rPr>
          <w:rFonts w:hint="default" w:ascii="Times New Roman" w:hAnsi="Times New Roman" w:eastAsia="宋体" w:cs="Times New Roman"/>
          <w:bCs/>
          <w:color w:val="auto"/>
          <w:sz w:val="28"/>
          <w:szCs w:val="28"/>
          <w:highlight w:val="none"/>
          <w:u w:val="single"/>
        </w:rPr>
      </w:pPr>
      <w:r>
        <w:rPr>
          <w:rFonts w:hint="default" w:ascii="Times New Roman" w:hAnsi="Times New Roman" w:eastAsia="宋体" w:cs="Times New Roman"/>
          <w:bCs/>
          <w:color w:val="auto"/>
          <w:sz w:val="28"/>
          <w:szCs w:val="28"/>
          <w:highlight w:val="none"/>
        </w:rPr>
        <w:t>甲方：</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color w:val="auto"/>
          <w:sz w:val="28"/>
          <w:szCs w:val="28"/>
          <w:highlight w:val="none"/>
          <w:u w:val="single"/>
          <w:lang w:val="en-US" w:eastAsia="zh-CN"/>
        </w:rPr>
        <w:t>天津市津南区农业农村委员会</w:t>
      </w:r>
      <w:r>
        <w:rPr>
          <w:rFonts w:hint="default" w:ascii="Times New Roman" w:hAnsi="Times New Roman" w:eastAsia="宋体" w:cs="Times New Roman"/>
          <w:bCs/>
          <w:color w:val="auto"/>
          <w:sz w:val="28"/>
          <w:szCs w:val="28"/>
          <w:highlight w:val="none"/>
          <w:u w:val="single"/>
        </w:rPr>
        <w:t xml:space="preserve">     </w:t>
      </w:r>
    </w:p>
    <w:p>
      <w:pPr>
        <w:tabs>
          <w:tab w:val="left" w:pos="0"/>
          <w:tab w:val="left" w:pos="315"/>
        </w:tabs>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乙方：</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u w:val="single"/>
          <w:lang w:eastAsia="zh-CN"/>
        </w:rPr>
        <w:t>中优乳检测技术（天津）有限公司</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 xml:space="preserve"> </w:t>
      </w:r>
    </w:p>
    <w:p>
      <w:pPr>
        <w:pageBreakBefore w:val="0"/>
        <w:kinsoku/>
        <w:wordWrap/>
        <w:overflowPunct/>
        <w:topLinePunct w:val="0"/>
        <w:autoSpaceDE w:val="0"/>
        <w:autoSpaceDN w:val="0"/>
        <w:bidi w:val="0"/>
        <w:adjustRightInd w:val="0"/>
        <w:spacing w:line="360" w:lineRule="auto"/>
        <w:ind w:left="0" w:leftChars="0" w:right="0" w:firstLine="560" w:firstLineChars="200"/>
        <w:textAlignment w:val="auto"/>
        <w:outlineLvl w:val="9"/>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甲、乙双方根据</w:t>
      </w:r>
      <w:r>
        <w:rPr>
          <w:rFonts w:hint="eastAsia" w:ascii="Times New Roman" w:hAnsi="Times New Roman" w:eastAsia="宋体" w:cs="Times New Roman"/>
          <w:bCs/>
          <w:color w:val="auto"/>
          <w:sz w:val="28"/>
          <w:szCs w:val="28"/>
          <w:highlight w:val="none"/>
          <w:u w:val="single"/>
          <w:lang w:val="en-US" w:eastAsia="zh-CN"/>
        </w:rPr>
        <w:t xml:space="preserve"> 津南区2025-2026年度农产品质量安全检测项目</w:t>
      </w:r>
      <w:r>
        <w:rPr>
          <w:rFonts w:hint="default" w:ascii="Times New Roman" w:hAnsi="Times New Roman" w:eastAsia="宋体" w:cs="Times New Roman"/>
          <w:bCs/>
          <w:color w:val="auto"/>
          <w:sz w:val="28"/>
          <w:szCs w:val="28"/>
          <w:highlight w:val="none"/>
          <w:u w:val="single"/>
          <w:lang w:val="en-US" w:eastAsia="zh-CN"/>
        </w:rPr>
        <w:t>（第二包）</w:t>
      </w:r>
      <w:r>
        <w:rPr>
          <w:rFonts w:hint="default" w:ascii="Times New Roman" w:hAnsi="Times New Roman" w:eastAsia="宋体" w:cs="Times New Roman"/>
          <w:bCs/>
          <w:color w:val="auto"/>
          <w:sz w:val="28"/>
          <w:szCs w:val="28"/>
          <w:highlight w:val="none"/>
          <w:u w:val="single"/>
          <w:lang w:eastAsia="zh-CN"/>
        </w:rPr>
        <w:t>项目</w:t>
      </w:r>
      <w:r>
        <w:rPr>
          <w:rFonts w:hint="default" w:ascii="Times New Roman" w:hAnsi="Times New Roman" w:eastAsia="宋体" w:cs="Times New Roman"/>
          <w:bCs/>
          <w:color w:val="auto"/>
          <w:sz w:val="28"/>
          <w:szCs w:val="28"/>
          <w:highlight w:val="none"/>
        </w:rPr>
        <w:t>（项目编号：</w:t>
      </w:r>
      <w:r>
        <w:rPr>
          <w:rFonts w:hint="default" w:ascii="Times New Roman" w:hAnsi="Times New Roman" w:eastAsia="宋体" w:cs="Times New Roman"/>
          <w:bCs/>
          <w:color w:val="auto"/>
          <w:sz w:val="28"/>
          <w:szCs w:val="28"/>
          <w:highlight w:val="none"/>
          <w:u w:val="single"/>
          <w:lang w:val="en-US" w:eastAsia="zh-CN"/>
        </w:rPr>
        <w:t xml:space="preserve"> </w:t>
      </w:r>
      <w:r>
        <w:rPr>
          <w:rFonts w:hint="eastAsia" w:ascii="Times New Roman" w:hAnsi="Times New Roman" w:eastAsia="宋体" w:cs="Times New Roman"/>
          <w:bCs/>
          <w:color w:val="auto"/>
          <w:sz w:val="28"/>
          <w:szCs w:val="28"/>
          <w:highlight w:val="none"/>
          <w:u w:val="single"/>
          <w:lang w:val="en-US" w:eastAsia="zh-CN"/>
        </w:rPr>
        <w:t>HTZJ2025（ZBF）-0317</w:t>
      </w:r>
      <w:r>
        <w:rPr>
          <w:rFonts w:hint="default" w:ascii="Times New Roman" w:hAnsi="Times New Roman" w:eastAsia="宋体" w:cs="Times New Roman"/>
          <w:bCs/>
          <w:color w:val="auto"/>
          <w:sz w:val="28"/>
          <w:szCs w:val="28"/>
          <w:highlight w:val="none"/>
        </w:rPr>
        <w:t>）的磋商文件要求及</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u w:val="single"/>
          <w:lang w:val="en-US" w:eastAsia="zh-CN"/>
        </w:rPr>
        <w:t>202</w:t>
      </w:r>
      <w:r>
        <w:rPr>
          <w:rFonts w:hint="eastAsia" w:ascii="Times New Roman" w:hAnsi="Times New Roman" w:eastAsia="宋体" w:cs="Times New Roman"/>
          <w:bCs/>
          <w:color w:val="auto"/>
          <w:sz w:val="28"/>
          <w:szCs w:val="28"/>
          <w:highlight w:val="none"/>
          <w:u w:val="single"/>
          <w:lang w:val="en-US" w:eastAsia="zh-CN"/>
        </w:rPr>
        <w:t>5</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年</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u w:val="single"/>
          <w:lang w:val="en-US" w:eastAsia="zh-CN"/>
        </w:rPr>
        <w:t>0</w:t>
      </w:r>
      <w:r>
        <w:rPr>
          <w:rFonts w:hint="eastAsia" w:ascii="Times New Roman" w:hAnsi="Times New Roman" w:eastAsia="宋体" w:cs="Times New Roman"/>
          <w:bCs/>
          <w:color w:val="auto"/>
          <w:sz w:val="28"/>
          <w:szCs w:val="28"/>
          <w:highlight w:val="none"/>
          <w:u w:val="single"/>
          <w:lang w:val="en-US" w:eastAsia="zh-CN"/>
        </w:rPr>
        <w:t>5</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月</w:t>
      </w:r>
      <w:r>
        <w:rPr>
          <w:rFonts w:hint="default" w:ascii="Times New Roman" w:hAnsi="Times New Roman" w:eastAsia="宋体" w:cs="Times New Roman"/>
          <w:bCs/>
          <w:color w:val="auto"/>
          <w:sz w:val="28"/>
          <w:szCs w:val="28"/>
          <w:highlight w:val="none"/>
          <w:u w:val="single"/>
        </w:rPr>
        <w:t xml:space="preserve"> </w:t>
      </w:r>
      <w:r>
        <w:rPr>
          <w:rFonts w:hint="eastAsia" w:ascii="Times New Roman" w:hAnsi="Times New Roman" w:eastAsia="宋体" w:cs="Times New Roman"/>
          <w:bCs/>
          <w:color w:val="auto"/>
          <w:sz w:val="28"/>
          <w:szCs w:val="28"/>
          <w:highlight w:val="none"/>
          <w:u w:val="single"/>
          <w:lang w:val="en-US" w:eastAsia="zh-CN"/>
        </w:rPr>
        <w:t>07</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日</w:t>
      </w:r>
      <w:r>
        <w:rPr>
          <w:rFonts w:hint="eastAsia" w:ascii="宋体" w:hAnsi="宋体" w:eastAsia="宋体" w:cs="宋体"/>
          <w:color w:val="auto"/>
          <w:szCs w:val="24"/>
          <w:highlight w:val="none"/>
          <w:lang w:eastAsia="zh-CN"/>
        </w:rPr>
        <w:t>华泰中金(天津)项目管理有限公司</w:t>
      </w:r>
      <w:r>
        <w:rPr>
          <w:rFonts w:hint="default" w:ascii="Times New Roman" w:hAnsi="Times New Roman" w:eastAsia="宋体" w:cs="Times New Roman"/>
          <w:bCs/>
          <w:color w:val="auto"/>
          <w:sz w:val="28"/>
          <w:szCs w:val="28"/>
          <w:highlight w:val="none"/>
        </w:rPr>
        <w:t>组织的该项目开标结果及投标承诺；经双方协商，一致同意签订本合同：</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一、服务内容：</w:t>
      </w:r>
      <w:r>
        <w:rPr>
          <w:rFonts w:hint="default" w:ascii="Times New Roman" w:hAnsi="Times New Roman" w:eastAsia="宋体" w:cs="Times New Roman"/>
          <w:bCs/>
          <w:color w:val="auto"/>
          <w:sz w:val="28"/>
          <w:szCs w:val="28"/>
          <w:highlight w:val="none"/>
          <w:lang w:val="en-US" w:eastAsia="zh-CN"/>
        </w:rPr>
        <w:t>408批次定量检测（养殖业监督抽检）</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二、服务期及服务地点</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1、服务期：</w:t>
      </w:r>
      <w:r>
        <w:rPr>
          <w:rFonts w:hint="default" w:ascii="Times New Roman" w:hAnsi="Times New Roman" w:eastAsia="宋体" w:cs="Times New Roman"/>
          <w:bCs/>
          <w:color w:val="auto"/>
          <w:sz w:val="28"/>
          <w:szCs w:val="28"/>
          <w:highlight w:val="none"/>
          <w:lang w:val="en-US" w:eastAsia="zh-CN"/>
        </w:rPr>
        <w:t>自合同签订之日起一年</w:t>
      </w:r>
      <w:r>
        <w:rPr>
          <w:rFonts w:hint="default" w:ascii="Times New Roman" w:hAnsi="Times New Roman" w:eastAsia="宋体" w:cs="Times New Roman"/>
          <w:bCs/>
          <w:color w:val="auto"/>
          <w:sz w:val="28"/>
          <w:szCs w:val="28"/>
          <w:highlight w:val="none"/>
        </w:rPr>
        <w:t>（特殊情况以合同为准）。</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2、服务地点：</w:t>
      </w:r>
      <w:r>
        <w:rPr>
          <w:rFonts w:hint="default" w:ascii="Times New Roman" w:hAnsi="Times New Roman" w:eastAsia="宋体" w:cs="Times New Roman"/>
          <w:bCs/>
          <w:color w:val="auto"/>
          <w:sz w:val="28"/>
          <w:szCs w:val="28"/>
          <w:highlight w:val="none"/>
          <w:lang w:val="en-US" w:eastAsia="zh-CN"/>
        </w:rPr>
        <w:t>天津市津南区（特殊情况以合同为准）。</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三、服务要求</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1、必须满足或高于磋商文件要求。</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2、乙方提供的服务与中标所示内容完全一致，不存在任何偏差。如出现不一致，乙方将承担违约责任。</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3、乙方所提供的服务必须具有合法手续及相关文件。如涉及知识产权则必须是自己拥有或合法使用的。</w:t>
      </w:r>
    </w:p>
    <w:p>
      <w:pPr>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四、合同额及付款方式</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1、合同额：</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u w:val="single"/>
          <w:lang w:val="en-US" w:eastAsia="zh-CN"/>
        </w:rPr>
        <w:t>510000.00</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元（大写：</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u w:val="single"/>
          <w:lang w:eastAsia="zh-CN"/>
        </w:rPr>
        <w:t>人民币伍拾壹万元整</w:t>
      </w:r>
      <w:r>
        <w:rPr>
          <w:rFonts w:hint="default" w:ascii="Times New Roman" w:hAnsi="Times New Roman" w:eastAsia="宋体" w:cs="Times New Roman"/>
          <w:bCs/>
          <w:color w:val="auto"/>
          <w:sz w:val="28"/>
          <w:szCs w:val="28"/>
          <w:highlight w:val="none"/>
          <w:u w:val="single"/>
        </w:rPr>
        <w:t xml:space="preserve"> </w:t>
      </w:r>
      <w:r>
        <w:rPr>
          <w:rFonts w:hint="default" w:ascii="Times New Roman" w:hAnsi="Times New Roman" w:eastAsia="宋体" w:cs="Times New Roman"/>
          <w:bCs/>
          <w:color w:val="auto"/>
          <w:sz w:val="28"/>
          <w:szCs w:val="28"/>
          <w:highlight w:val="none"/>
        </w:rPr>
        <w:t>），价格明细附后。</w:t>
      </w:r>
    </w:p>
    <w:p>
      <w:pPr>
        <w:widowControl/>
        <w:shd w:val="clear" w:color="auto" w:fill="auto"/>
        <w:spacing w:line="360" w:lineRule="auto"/>
        <w:ind w:left="638" w:leftChars="228"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bCs/>
          <w:color w:val="auto"/>
          <w:sz w:val="28"/>
          <w:szCs w:val="28"/>
          <w:highlight w:val="none"/>
        </w:rPr>
        <w:t>2、付款方式：</w:t>
      </w:r>
      <w:r>
        <w:rPr>
          <w:rFonts w:hint="default" w:ascii="Times New Roman" w:hAnsi="Times New Roman" w:eastAsia="宋体" w:cs="Times New Roman"/>
          <w:bCs/>
          <w:color w:val="auto"/>
          <w:sz w:val="28"/>
          <w:szCs w:val="28"/>
          <w:highlight w:val="none"/>
          <w:u w:val="single"/>
          <w:lang w:eastAsia="zh-CN"/>
        </w:rPr>
        <w:t xml:space="preserve"> </w:t>
      </w:r>
      <w:r>
        <w:rPr>
          <w:rFonts w:hint="default" w:ascii="Times New Roman" w:hAnsi="Times New Roman" w:eastAsia="宋体" w:cs="Times New Roman"/>
          <w:bCs/>
          <w:color w:val="auto"/>
          <w:sz w:val="28"/>
          <w:szCs w:val="28"/>
          <w:highlight w:val="none"/>
          <w:u w:val="single"/>
          <w:lang w:val="en-US" w:eastAsia="zh-CN"/>
        </w:rPr>
        <w:t>承检机构按规定完成检验检测任务，并经过审核通过后，待财政资金到位，甲方支付款项给乙方。</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u w:val="single"/>
        </w:rPr>
      </w:pPr>
      <w:r>
        <w:rPr>
          <w:rFonts w:hint="default" w:ascii="Times New Roman" w:hAnsi="Times New Roman" w:eastAsia="宋体" w:cs="Times New Roman"/>
          <w:bCs/>
          <w:color w:val="auto"/>
          <w:sz w:val="28"/>
          <w:szCs w:val="28"/>
        </w:rPr>
        <w:t>乙方开户银行（汉字全称）：</w:t>
      </w:r>
      <w:r>
        <w:rPr>
          <w:rFonts w:hint="default" w:ascii="Times New Roman" w:hAnsi="Times New Roman" w:eastAsia="宋体" w:cs="Times New Roman"/>
          <w:bCs/>
          <w:color w:val="auto"/>
          <w:sz w:val="28"/>
          <w:szCs w:val="28"/>
          <w:u w:val="single"/>
        </w:rPr>
        <w:t xml:space="preserve">  中国工商银行天津市京津路支行      </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u w:val="single"/>
        </w:rPr>
      </w:pPr>
      <w:r>
        <w:rPr>
          <w:rFonts w:hint="default" w:ascii="Times New Roman" w:hAnsi="Times New Roman" w:eastAsia="宋体" w:cs="Times New Roman"/>
          <w:bCs/>
          <w:color w:val="auto"/>
          <w:sz w:val="28"/>
          <w:szCs w:val="28"/>
        </w:rPr>
        <w:t>行号（数字代码）：</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u w:val="single"/>
          <w:lang w:val="en-US" w:eastAsia="zh-CN"/>
        </w:rPr>
        <w:t>102110000839</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 xml:space="preserve">        </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lang w:val="en-US" w:eastAsia="zh-CN"/>
        </w:rPr>
        <w:t>账</w:t>
      </w:r>
      <w:r>
        <w:rPr>
          <w:rFonts w:hint="default" w:ascii="Times New Roman" w:hAnsi="Times New Roman" w:eastAsia="宋体" w:cs="Times New Roman"/>
          <w:bCs/>
          <w:color w:val="auto"/>
          <w:sz w:val="28"/>
          <w:szCs w:val="28"/>
        </w:rPr>
        <w:t>号：</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0302035109300423503</w:t>
      </w:r>
      <w:r>
        <w:rPr>
          <w:rFonts w:hint="default"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 xml:space="preserve"> </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五、验收</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1、验收工作由甲方负责对服务进行验收。</w:t>
      </w:r>
    </w:p>
    <w:p>
      <w:pPr>
        <w:suppressAutoHyphens/>
        <w:bidi w:val="0"/>
        <w:spacing w:before="0" w:after="0" w:line="360" w:lineRule="auto"/>
        <w:ind w:firstLine="420"/>
        <w:rPr>
          <w:rFonts w:hint="default" w:ascii="Times New Roman" w:hAnsi="Times New Roman" w:eastAsia="宋体" w:cs="Times New Roman"/>
          <w:bCs/>
          <w:strike/>
          <w:color w:val="auto"/>
          <w:sz w:val="28"/>
          <w:szCs w:val="28"/>
        </w:rPr>
      </w:pPr>
      <w:r>
        <w:rPr>
          <w:rFonts w:hint="default" w:ascii="Times New Roman" w:hAnsi="Times New Roman" w:eastAsia="宋体" w:cs="Times New Roman"/>
          <w:bCs/>
          <w:color w:val="auto"/>
          <w:sz w:val="28"/>
          <w:szCs w:val="28"/>
        </w:rPr>
        <w:t>2、验收及相关费用由乙方负责。</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六、违约责任</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1、乙方未能达到约定的服务标准，甲方有权要求乙方限期整改，逾期未整改的，甲方有权终止合同；造成甲方经济损失的，乙方应给予甲方经济赔偿。</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非因法律规定或合同约定，任何一方擅自终止本合同，应当承担违约责任。如最终导致合同不能履行，违约方应当赔偿合同总金额百分之五的违约金给守约方，由此给守约方造成经济损失的，违约方还应负责赔偿。</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3、由于甲方原因，使乙方未完成规定管理目标，乙方有权要求甲方在一定期限内解决，逾期未解决的，乙方有权终止合同；造成乙方经济损失的，甲方应给予乙方经济赔偿。</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4、如因不可抗力事件导致一方不能履行或不能完全履行合同，按照《中华人民共和国民法典》的有关规定执行。</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5、如因遇国家法律、法规、政策的规定与本合同发生冲突的，双方应协商对本合同进行相应调整，使之符合法律规定。</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七、争议解决方式</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1、因服务的质量问题发生争议时，甲、乙双方协商解决。</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因服务的质量问题发生争议且甲、乙双方不能协商解决时，依据国家标准，由天津市市场和质量监督管理委员会或其指定的技术单位进行质量鉴定，该鉴定结论是终局的，甲、乙双方应当接受，质量鉴定期间所发生的相关费用由服务质量责任方承担。</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八、未尽事宜</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1、本合同未尽事宜，双方协商补充。</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2、本合同未作明确约定，而又有相关法律、法规规定的，从其规定。</w:t>
      </w:r>
    </w:p>
    <w:p>
      <w:pPr>
        <w:widowControl/>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3、如合同履行过程中产生争议，双方协商解决。不能协商解决时，由合同签订地人民法院诉讼解决。</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九、其他</w:t>
      </w:r>
    </w:p>
    <w:p>
      <w:pPr>
        <w:suppressAutoHyphens/>
        <w:bidi w:val="0"/>
        <w:spacing w:before="0" w:after="0" w:line="360" w:lineRule="auto"/>
        <w:ind w:left="280" w:leftChars="100" w:firstLine="140" w:firstLineChars="5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1、本合同双方签字、盖章后生效。合同一式</w:t>
      </w:r>
      <w:r>
        <w:rPr>
          <w:rFonts w:hint="eastAsia" w:ascii="Times New Roman" w:hAnsi="Times New Roman" w:eastAsia="宋体" w:cs="Times New Roman"/>
          <w:bCs/>
          <w:color w:val="auto"/>
          <w:sz w:val="28"/>
          <w:szCs w:val="28"/>
          <w:u w:val="single"/>
          <w:lang w:val="en-US" w:eastAsia="zh-CN"/>
        </w:rPr>
        <w:t xml:space="preserve"> 伍 </w:t>
      </w:r>
      <w:r>
        <w:rPr>
          <w:rFonts w:hint="default" w:ascii="Times New Roman" w:hAnsi="Times New Roman" w:eastAsia="宋体" w:cs="Times New Roman"/>
          <w:bCs/>
          <w:color w:val="auto"/>
          <w:sz w:val="28"/>
          <w:szCs w:val="28"/>
        </w:rPr>
        <w:t>份，甲方执</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贰</w:t>
      </w:r>
      <w:r>
        <w:rPr>
          <w:rFonts w:hint="default" w:ascii="Times New Roman" w:hAnsi="Times New Roman" w:eastAsia="宋体" w:cs="Times New Roman"/>
          <w:bCs/>
          <w:color w:val="auto"/>
          <w:sz w:val="28"/>
          <w:szCs w:val="28"/>
        </w:rPr>
        <w:t>份，乙方执</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贰</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rPr>
        <w:t>份，天津博纳招标代理有限公司存档</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壹</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rPr>
        <w:t>份，具有同等法律效力。</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2、以下附件为本合同不可分割的一部分，具有与本合同同等的法律效力：</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（1）本项目的磋商文件；</w:t>
      </w: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（2）乙方的响应文件、有关投标的澄清资料及承诺书。</w:t>
      </w:r>
    </w:p>
    <w:tbl>
      <w:tblPr>
        <w:tblStyle w:val="11"/>
        <w:tblpPr w:leftFromText="180" w:rightFromText="180" w:vertAnchor="text" w:horzAnchor="page" w:tblpX="1795" w:tblpY="233"/>
        <w:tblW w:w="8522" w:type="dxa"/>
        <w:tblInd w:w="108" w:type="dxa"/>
        <w:tblLayout w:type="fixed"/>
        <w:tblCellMar>
          <w:top w:w="0" w:type="dxa"/>
          <w:left w:w="108" w:type="dxa"/>
          <w:bottom w:w="0" w:type="dxa"/>
          <w:right w:w="108" w:type="dxa"/>
        </w:tblCellMar>
      </w:tblPr>
      <w:tblGrid>
        <w:gridCol w:w="4261"/>
        <w:gridCol w:w="4260"/>
      </w:tblGrid>
      <w:tr>
        <w:tblPrEx>
          <w:tblCellMar>
            <w:top w:w="0" w:type="dxa"/>
            <w:left w:w="108" w:type="dxa"/>
            <w:bottom w:w="0" w:type="dxa"/>
            <w:right w:w="108" w:type="dxa"/>
          </w:tblCellMar>
        </w:tblPrEx>
        <w:tc>
          <w:tcPr>
            <w:tcW w:w="4261" w:type="dxa"/>
          </w:tcPr>
          <w:p>
            <w:pPr>
              <w:tabs>
                <w:tab w:val="left" w:pos="360"/>
              </w:tabs>
              <w:suppressAutoHyphens/>
              <w:bidi w:val="0"/>
              <w:spacing w:before="0" w:after="0" w:line="360" w:lineRule="auto"/>
              <w:ind w:right="0"/>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甲方（公章）：</w:t>
            </w:r>
            <w:r>
              <w:rPr>
                <w:rFonts w:hint="default" w:ascii="Times New Roman" w:hAnsi="Times New Roman" w:eastAsia="宋体" w:cs="Times New Roman"/>
                <w:bCs/>
                <w:color w:val="auto"/>
                <w:sz w:val="28"/>
                <w:szCs w:val="28"/>
                <w:lang w:eastAsia="zh-CN"/>
              </w:rPr>
              <w:t>天津市津南区农业农村委员会</w:t>
            </w:r>
          </w:p>
        </w:tc>
        <w:tc>
          <w:tcPr>
            <w:tcW w:w="4260" w:type="dxa"/>
          </w:tcPr>
          <w:p>
            <w:pPr>
              <w:spacing w:line="360" w:lineRule="auto"/>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lang w:eastAsia="zh-CN"/>
              </w:rPr>
              <w:t>乙方（公章）：中优乳检测技术（天津）有限公司</w:t>
            </w:r>
          </w:p>
        </w:tc>
      </w:tr>
      <w:tr>
        <w:tblPrEx>
          <w:tblCellMar>
            <w:top w:w="0" w:type="dxa"/>
            <w:left w:w="108" w:type="dxa"/>
            <w:bottom w:w="0" w:type="dxa"/>
            <w:right w:w="108" w:type="dxa"/>
          </w:tblCellMar>
        </w:tblPrEx>
        <w:tc>
          <w:tcPr>
            <w:tcW w:w="4261" w:type="dxa"/>
          </w:tcPr>
          <w:p>
            <w:pPr>
              <w:tabs>
                <w:tab w:val="left" w:pos="360"/>
              </w:tabs>
              <w:suppressAutoHyphens/>
              <w:bidi w:val="0"/>
              <w:spacing w:before="0" w:after="0" w:line="360" w:lineRule="auto"/>
              <w:ind w:right="0"/>
              <w:jc w:val="left"/>
              <w:rPr>
                <w:rFonts w:hint="default" w:ascii="Times New Roman" w:hAnsi="Times New Roman" w:eastAsia="宋体" w:cs="Times New Roman"/>
                <w:bCs/>
                <w:color w:val="auto"/>
                <w:sz w:val="28"/>
                <w:szCs w:val="28"/>
                <w:lang w:val="en-US" w:eastAsia="zh-CN"/>
              </w:rPr>
            </w:pPr>
            <w:r>
              <w:rPr>
                <w:rFonts w:hint="default" w:ascii="Times New Roman" w:hAnsi="Times New Roman" w:eastAsia="宋体" w:cs="Times New Roman"/>
                <w:bCs/>
                <w:color w:val="auto"/>
                <w:sz w:val="28"/>
                <w:szCs w:val="28"/>
              </w:rPr>
              <w:t>地址：</w:t>
            </w:r>
            <w:r>
              <w:rPr>
                <w:rFonts w:hint="default" w:ascii="Times New Roman" w:hAnsi="Times New Roman" w:eastAsia="宋体" w:cs="Times New Roman"/>
                <w:bCs/>
                <w:color w:val="auto"/>
                <w:sz w:val="28"/>
                <w:szCs w:val="28"/>
                <w:lang w:eastAsia="zh-CN"/>
              </w:rPr>
              <w:t>天津市津南区咸水沽镇红旗路</w:t>
            </w:r>
            <w:r>
              <w:rPr>
                <w:rFonts w:hint="default" w:ascii="Times New Roman" w:hAnsi="Times New Roman" w:eastAsia="宋体" w:cs="Times New Roman"/>
                <w:bCs/>
                <w:color w:val="auto"/>
                <w:sz w:val="28"/>
                <w:szCs w:val="28"/>
                <w:lang w:val="en-US" w:eastAsia="zh-CN"/>
              </w:rPr>
              <w:t>9号</w:t>
            </w:r>
          </w:p>
        </w:tc>
        <w:tc>
          <w:tcPr>
            <w:tcW w:w="4260" w:type="dxa"/>
          </w:tcPr>
          <w:p>
            <w:pPr>
              <w:spacing w:line="360" w:lineRule="auto"/>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lang w:eastAsia="zh-CN"/>
              </w:rPr>
              <w:t>地址：天津市北辰区天津北辰经济技术开发区双辰前路2号</w:t>
            </w:r>
          </w:p>
        </w:tc>
      </w:tr>
      <w:tr>
        <w:tblPrEx>
          <w:tblCellMar>
            <w:top w:w="0" w:type="dxa"/>
            <w:left w:w="108" w:type="dxa"/>
            <w:bottom w:w="0" w:type="dxa"/>
            <w:right w:w="108" w:type="dxa"/>
          </w:tblCellMar>
        </w:tblPrEx>
        <w:tc>
          <w:tcPr>
            <w:tcW w:w="4261" w:type="dxa"/>
          </w:tcPr>
          <w:p>
            <w:pPr>
              <w:tabs>
                <w:tab w:val="left" w:pos="360"/>
              </w:tabs>
              <w:suppressAutoHyphens/>
              <w:bidi w:val="0"/>
              <w:spacing w:before="0" w:after="0" w:line="360" w:lineRule="auto"/>
              <w:ind w:right="0"/>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法定代表人：</w:t>
            </w:r>
          </w:p>
        </w:tc>
        <w:tc>
          <w:tcPr>
            <w:tcW w:w="4260" w:type="dxa"/>
          </w:tcPr>
          <w:p>
            <w:pPr>
              <w:spacing w:line="360" w:lineRule="auto"/>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法定代表人：</w:t>
            </w:r>
            <w:r>
              <w:rPr>
                <w:rFonts w:hint="default" w:ascii="Times New Roman" w:hAnsi="Times New Roman" w:eastAsia="宋体" w:cs="Times New Roman"/>
                <w:bCs/>
                <w:color w:val="auto"/>
                <w:sz w:val="28"/>
                <w:szCs w:val="28"/>
                <w:lang w:eastAsia="zh-CN"/>
              </w:rPr>
              <w:t>屈雪寅</w:t>
            </w:r>
          </w:p>
        </w:tc>
      </w:tr>
      <w:tr>
        <w:tc>
          <w:tcPr>
            <w:tcW w:w="4261" w:type="dxa"/>
          </w:tcPr>
          <w:p>
            <w:pPr>
              <w:tabs>
                <w:tab w:val="left" w:pos="360"/>
              </w:tabs>
              <w:suppressAutoHyphens/>
              <w:bidi w:val="0"/>
              <w:spacing w:before="0" w:after="0" w:line="360" w:lineRule="auto"/>
              <w:ind w:right="0"/>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委托代理人：</w:t>
            </w:r>
          </w:p>
        </w:tc>
        <w:tc>
          <w:tcPr>
            <w:tcW w:w="4260" w:type="dxa"/>
          </w:tcPr>
          <w:p>
            <w:pPr>
              <w:spacing w:line="360" w:lineRule="auto"/>
              <w:jc w:val="left"/>
              <w:rPr>
                <w:rFonts w:hint="default"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委托代理人：</w:t>
            </w:r>
            <w:r>
              <w:rPr>
                <w:rFonts w:hint="default" w:ascii="Times New Roman" w:hAnsi="Times New Roman" w:eastAsia="宋体" w:cs="Times New Roman"/>
                <w:bCs/>
                <w:color w:val="auto"/>
                <w:sz w:val="28"/>
                <w:szCs w:val="28"/>
                <w:lang w:eastAsia="zh-CN"/>
              </w:rPr>
              <w:t>赵昕</w:t>
            </w:r>
          </w:p>
        </w:tc>
      </w:tr>
      <w:tr>
        <w:tblPrEx>
          <w:tblCellMar>
            <w:top w:w="0" w:type="dxa"/>
            <w:left w:w="108" w:type="dxa"/>
            <w:bottom w:w="0" w:type="dxa"/>
            <w:right w:w="108" w:type="dxa"/>
          </w:tblCellMar>
        </w:tblPrEx>
        <w:tc>
          <w:tcPr>
            <w:tcW w:w="4261" w:type="dxa"/>
          </w:tcPr>
          <w:p>
            <w:pPr>
              <w:tabs>
                <w:tab w:val="left" w:pos="360"/>
              </w:tabs>
              <w:suppressAutoHyphens/>
              <w:bidi w:val="0"/>
              <w:spacing w:before="0" w:after="0" w:line="360" w:lineRule="auto"/>
              <w:ind w:right="0"/>
              <w:jc w:val="left"/>
              <w:rPr>
                <w:rFonts w:hint="default" w:ascii="Times New Roman" w:hAnsi="Times New Roman" w:eastAsia="宋体" w:cs="Times New Roman"/>
                <w:bCs/>
                <w:color w:val="auto"/>
                <w:sz w:val="28"/>
                <w:szCs w:val="28"/>
                <w:lang w:val="en-US" w:eastAsia="zh-CN"/>
              </w:rPr>
            </w:pPr>
            <w:r>
              <w:rPr>
                <w:rFonts w:hint="default" w:ascii="Times New Roman" w:hAnsi="Times New Roman" w:eastAsia="宋体" w:cs="Times New Roman"/>
                <w:bCs/>
                <w:color w:val="auto"/>
                <w:sz w:val="28"/>
                <w:szCs w:val="28"/>
              </w:rPr>
              <w:t>电话：</w:t>
            </w:r>
            <w:bookmarkStart w:id="0" w:name="_GoBack"/>
            <w:bookmarkEnd w:id="0"/>
          </w:p>
        </w:tc>
        <w:tc>
          <w:tcPr>
            <w:tcW w:w="4260" w:type="dxa"/>
          </w:tcPr>
          <w:p>
            <w:pPr>
              <w:spacing w:line="360" w:lineRule="auto"/>
              <w:jc w:val="left"/>
              <w:rPr>
                <w:rFonts w:hint="default" w:ascii="Times New Roman" w:hAnsi="Times New Roman" w:eastAsia="宋体" w:cs="Times New Roman"/>
                <w:bCs/>
                <w:color w:val="auto"/>
                <w:sz w:val="28"/>
                <w:szCs w:val="28"/>
                <w:lang w:val="en-US" w:eastAsia="zh-CN"/>
              </w:rPr>
            </w:pPr>
            <w:r>
              <w:rPr>
                <w:rFonts w:hint="default" w:ascii="Times New Roman" w:hAnsi="Times New Roman" w:eastAsia="宋体" w:cs="Times New Roman"/>
                <w:bCs/>
                <w:color w:val="auto"/>
                <w:sz w:val="28"/>
                <w:szCs w:val="28"/>
              </w:rPr>
              <w:t>电话：</w:t>
            </w:r>
            <w:r>
              <w:rPr>
                <w:rFonts w:hint="default" w:ascii="Times New Roman" w:hAnsi="Times New Roman" w:eastAsia="宋体" w:cs="Times New Roman"/>
                <w:bCs/>
                <w:color w:val="auto"/>
                <w:sz w:val="28"/>
                <w:szCs w:val="28"/>
                <w:lang w:val="en-US" w:eastAsia="zh-CN"/>
              </w:rPr>
              <w:t>022-26972186</w:t>
            </w:r>
          </w:p>
        </w:tc>
      </w:tr>
    </w:tbl>
    <w:p>
      <w:pPr>
        <w:suppressAutoHyphens/>
        <w:bidi w:val="0"/>
        <w:spacing w:before="0" w:after="0" w:line="360" w:lineRule="auto"/>
        <w:ind w:firstLine="420"/>
        <w:rPr>
          <w:rFonts w:hint="default" w:ascii="Times New Roman" w:hAnsi="Times New Roman" w:eastAsia="宋体" w:cs="Times New Roman"/>
          <w:bCs/>
          <w:color w:val="auto"/>
          <w:sz w:val="28"/>
          <w:szCs w:val="28"/>
        </w:rPr>
      </w:pPr>
    </w:p>
    <w:p>
      <w:pPr>
        <w:suppressAutoHyphens/>
        <w:bidi w:val="0"/>
        <w:spacing w:before="0" w:after="0" w:line="360" w:lineRule="auto"/>
        <w:ind w:firstLine="42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合同签订时间：</w:t>
      </w:r>
      <w:r>
        <w:rPr>
          <w:rFonts w:hint="default" w:ascii="Times New Roman" w:hAnsi="Times New Roman" w:eastAsia="宋体" w:cs="Times New Roman"/>
          <w:bCs/>
          <w:color w:val="auto"/>
          <w:sz w:val="28"/>
          <w:szCs w:val="28"/>
          <w:u w:val="single"/>
          <w:lang w:val="en-US" w:eastAsia="zh-CN"/>
        </w:rPr>
        <w:t>202</w:t>
      </w:r>
      <w:r>
        <w:rPr>
          <w:rFonts w:hint="eastAsia" w:ascii="Times New Roman" w:hAnsi="Times New Roman" w:eastAsia="宋体" w:cs="Times New Roman"/>
          <w:bCs/>
          <w:color w:val="auto"/>
          <w:sz w:val="28"/>
          <w:szCs w:val="28"/>
          <w:u w:val="single"/>
          <w:lang w:val="en-US" w:eastAsia="zh-CN"/>
        </w:rPr>
        <w:t>5</w:t>
      </w:r>
      <w:r>
        <w:rPr>
          <w:rFonts w:hint="default" w:ascii="Times New Roman" w:hAnsi="Times New Roman" w:eastAsia="宋体" w:cs="Times New Roman"/>
          <w:bCs/>
          <w:color w:val="auto"/>
          <w:sz w:val="28"/>
          <w:szCs w:val="28"/>
        </w:rPr>
        <w:t>年</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lang w:val="en-US" w:eastAsia="zh-CN"/>
        </w:rPr>
        <w:t>5</w:t>
      </w:r>
      <w:r>
        <w:rPr>
          <w:rFonts w:hint="default" w:ascii="Times New Roman" w:hAnsi="Times New Roman" w:eastAsia="宋体" w:cs="Times New Roman"/>
          <w:bCs/>
          <w:color w:val="auto"/>
          <w:sz w:val="28"/>
          <w:szCs w:val="28"/>
        </w:rPr>
        <w:t>月</w:t>
      </w:r>
      <w:r>
        <w:rPr>
          <w:rFonts w:hint="default" w:ascii="Times New Roman" w:hAnsi="Times New Roman" w:eastAsia="宋体" w:cs="Times New Roman"/>
          <w:bCs/>
          <w:color w:val="auto"/>
          <w:sz w:val="28"/>
          <w:szCs w:val="28"/>
          <w:u w:val="single"/>
        </w:rPr>
        <w:t xml:space="preserve"> </w:t>
      </w:r>
      <w:r>
        <w:rPr>
          <w:rFonts w:hint="eastAsia" w:ascii="Times New Roman" w:hAnsi="Times New Roman" w:eastAsia="宋体" w:cs="Times New Roman"/>
          <w:bCs/>
          <w:color w:val="auto"/>
          <w:sz w:val="28"/>
          <w:szCs w:val="28"/>
          <w:u w:val="single"/>
          <w:lang w:val="en-US" w:eastAsia="zh-CN"/>
        </w:rPr>
        <w:t xml:space="preserve">  </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rPr>
        <w:t>日</w:t>
      </w:r>
    </w:p>
    <w:p>
      <w:pPr>
        <w:suppressAutoHyphens/>
        <w:bidi w:val="0"/>
        <w:spacing w:before="0" w:after="0"/>
        <w:rPr>
          <w:rFonts w:hint="default" w:ascii="Times New Roman" w:hAnsi="Times New Roman" w:eastAsia="宋体" w:cs="Times New Roman"/>
          <w:sz w:val="28"/>
          <w:szCs w:val="28"/>
        </w:rPr>
      </w:pPr>
    </w:p>
    <w:p>
      <w:pPr>
        <w:pStyle w:val="7"/>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7"/>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7"/>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7"/>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7"/>
        <w:rPr>
          <w:rFonts w:hint="default"/>
          <w:sz w:val="28"/>
          <w:szCs w:val="28"/>
        </w:rPr>
      </w:pPr>
    </w:p>
    <w:p>
      <w:pPr>
        <w:pStyle w:val="7"/>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第二包：408批次定量检测（养殖业监督抽检）</w:t>
      </w:r>
    </w:p>
    <w:tbl>
      <w:tblPr>
        <w:tblStyle w:val="11"/>
        <w:tblpPr w:leftFromText="180" w:rightFromText="180" w:vertAnchor="text" w:horzAnchor="page" w:tblpX="1384" w:tblpY="315"/>
        <w:tblOverlap w:val="never"/>
        <w:tblW w:w="9203" w:type="dxa"/>
        <w:tblInd w:w="0" w:type="dxa"/>
        <w:tblLayout w:type="autofit"/>
        <w:tblCellMar>
          <w:top w:w="0" w:type="dxa"/>
          <w:left w:w="108" w:type="dxa"/>
          <w:bottom w:w="0" w:type="dxa"/>
          <w:right w:w="108" w:type="dxa"/>
        </w:tblCellMar>
      </w:tblPr>
      <w:tblGrid>
        <w:gridCol w:w="1369"/>
        <w:gridCol w:w="6825"/>
        <w:gridCol w:w="1009"/>
      </w:tblGrid>
      <w:tr>
        <w:tblPrEx>
          <w:tblCellMar>
            <w:top w:w="0" w:type="dxa"/>
            <w:left w:w="108" w:type="dxa"/>
            <w:bottom w:w="0" w:type="dxa"/>
            <w:right w:w="108" w:type="dxa"/>
          </w:tblCellMar>
        </w:tblPrEx>
        <w:trPr>
          <w:trHeight w:val="567" w:hRule="atLeast"/>
        </w:trPr>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样品名称</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检测项目</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检测</w:t>
            </w:r>
          </w:p>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批次</w:t>
            </w:r>
          </w:p>
        </w:tc>
      </w:tr>
      <w:tr>
        <w:tblPrEx>
          <w:tblCellMar>
            <w:top w:w="0" w:type="dxa"/>
            <w:left w:w="108" w:type="dxa"/>
            <w:bottom w:w="0" w:type="dxa"/>
            <w:right w:w="108" w:type="dxa"/>
          </w:tblCellMar>
        </w:tblPrEx>
        <w:trPr>
          <w:trHeight w:val="786" w:hRule="atLeast"/>
        </w:trPr>
        <w:tc>
          <w:tcPr>
            <w:tcW w:w="136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bidi="ar"/>
              </w:rPr>
              <w:t>牛、羊</w:t>
            </w:r>
            <w:r>
              <w:rPr>
                <w:rFonts w:hint="eastAsia" w:asciiTheme="minorEastAsia" w:hAnsiTheme="minorEastAsia" w:eastAsiaTheme="minorEastAsia" w:cstheme="minorEastAsia"/>
                <w:b w:val="0"/>
                <w:bCs w:val="0"/>
                <w:color w:val="auto"/>
                <w:kern w:val="0"/>
                <w:sz w:val="24"/>
                <w:szCs w:val="24"/>
                <w:highlight w:val="none"/>
                <w:lang w:eastAsia="zh-CN" w:bidi="ar"/>
              </w:rPr>
              <w:t>、猪</w:t>
            </w:r>
            <w:r>
              <w:rPr>
                <w:rFonts w:hint="eastAsia" w:asciiTheme="minorEastAsia" w:hAnsiTheme="minorEastAsia" w:eastAsiaTheme="minorEastAsia" w:cstheme="minorEastAsia"/>
                <w:b w:val="0"/>
                <w:bCs w:val="0"/>
                <w:color w:val="auto"/>
                <w:kern w:val="0"/>
                <w:sz w:val="24"/>
                <w:szCs w:val="24"/>
                <w:highlight w:val="none"/>
                <w:lang w:bidi="ar"/>
              </w:rPr>
              <w:t>尿液</w:t>
            </w:r>
          </w:p>
        </w:tc>
        <w:tc>
          <w:tcPr>
            <w:tcW w:w="682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bidi="ar"/>
              </w:rPr>
              <w:t>克伦特罗、莱克多巴胺、沙丁胺醇</w:t>
            </w:r>
          </w:p>
        </w:tc>
        <w:tc>
          <w:tcPr>
            <w:tcW w:w="100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Style w:val="23"/>
                <w:rFonts w:hint="default" w:ascii="Times New Roman" w:hAnsi="Times New Roman" w:eastAsia="宋体" w:cs="Times New Roman"/>
                <w:b w:val="0"/>
                <w:bCs w:val="0"/>
                <w:color w:val="auto"/>
                <w:sz w:val="24"/>
                <w:szCs w:val="24"/>
                <w:lang w:val="en-US" w:eastAsia="zh-CN" w:bidi="ar"/>
              </w:rPr>
            </w:pPr>
            <w:r>
              <w:rPr>
                <w:rStyle w:val="23"/>
                <w:rFonts w:hint="default" w:ascii="Times New Roman" w:hAnsi="Times New Roman" w:eastAsia="宋体" w:cs="Times New Roman"/>
                <w:b w:val="0"/>
                <w:bCs w:val="0"/>
                <w:color w:val="auto"/>
                <w:sz w:val="24"/>
                <w:szCs w:val="24"/>
                <w:lang w:val="en-US" w:eastAsia="zh-CN" w:bidi="ar"/>
              </w:rPr>
              <w:t>318</w:t>
            </w:r>
          </w:p>
        </w:tc>
      </w:tr>
      <w:tr>
        <w:tblPrEx>
          <w:tblCellMar>
            <w:top w:w="0" w:type="dxa"/>
            <w:left w:w="108" w:type="dxa"/>
            <w:bottom w:w="0" w:type="dxa"/>
            <w:right w:w="108" w:type="dxa"/>
          </w:tblCellMar>
        </w:tblPrEx>
        <w:trPr>
          <w:trHeight w:val="1081" w:hRule="atLeast"/>
        </w:trPr>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kern w:val="0"/>
                <w:sz w:val="24"/>
                <w:szCs w:val="24"/>
                <w:highlight w:val="none"/>
                <w:lang w:bidi="ar"/>
              </w:rPr>
              <w:t>禽肉</w:t>
            </w:r>
            <w:r>
              <w:rPr>
                <w:rFonts w:hint="eastAsia" w:asciiTheme="minorEastAsia" w:hAnsiTheme="minorEastAsia" w:eastAsiaTheme="minorEastAsia" w:cstheme="minorEastAsia"/>
                <w:b w:val="0"/>
                <w:bCs w:val="0"/>
                <w:color w:val="auto"/>
                <w:kern w:val="0"/>
                <w:sz w:val="24"/>
                <w:szCs w:val="24"/>
                <w:highlight w:val="none"/>
                <w:lang w:eastAsia="zh-CN" w:bidi="ar"/>
              </w:rPr>
              <w:t>、禽蛋</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禁用药物：酰胺醇类（氯霉素）、硝基呋喃类代谢物（包括呋喃唑酮代谢物</w:t>
            </w:r>
            <w:r>
              <w:rPr>
                <w:rFonts w:hint="eastAsia" w:asciiTheme="minorEastAsia" w:hAnsiTheme="minorEastAsia" w:eastAsiaTheme="minorEastAsia" w:cstheme="minorEastAsia"/>
                <w:b w:val="0"/>
                <w:bCs w:val="0"/>
                <w:color w:val="auto"/>
                <w:sz w:val="24"/>
                <w:szCs w:val="24"/>
                <w:highlight w:val="none"/>
                <w:lang w:val="en-US" w:eastAsia="zh-CN"/>
              </w:rPr>
              <w:t>AOZ、呋喃它酮代谢物AMOZ、呋喃西林代谢物SEM和呋喃妥因代谢物AHD</w:t>
            </w:r>
            <w:r>
              <w:rPr>
                <w:rFonts w:hint="eastAsia" w:asciiTheme="minorEastAsia" w:hAnsiTheme="minorEastAsia" w:eastAsiaTheme="minorEastAsia" w:cstheme="minorEastAsia"/>
                <w:b w:val="0"/>
                <w:bCs w:val="0"/>
                <w:color w:val="auto"/>
                <w:sz w:val="24"/>
                <w:szCs w:val="24"/>
                <w:highlight w:val="none"/>
                <w:lang w:eastAsia="zh-CN"/>
              </w:rPr>
              <w:t>）</w:t>
            </w:r>
          </w:p>
          <w:p>
            <w:pPr>
              <w:pStyle w:val="7"/>
              <w:keepNext w:val="0"/>
              <w:keepLines w:val="0"/>
              <w:pageBreakBefore w:val="0"/>
              <w:widowControl/>
              <w:kinsoku/>
              <w:wordWrap/>
              <w:overflowPunct/>
              <w:topLinePunct w:val="0"/>
              <w:autoSpaceDE/>
              <w:autoSpaceDN/>
              <w:bidi w:val="0"/>
              <w:adjustRightInd/>
              <w:snapToGrid/>
              <w:spacing w:line="288"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eastAsia="zh-CN"/>
              </w:rPr>
              <w:t>食品动物中停止使用药物：氟喹诺酮类（氧氟沙星、培氟沙星、诺氟沙星、洛美沙星）、金刚烷胺</w:t>
            </w:r>
          </w:p>
        </w:tc>
        <w:tc>
          <w:tcPr>
            <w:tcW w:w="100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b w:val="0"/>
                <w:bCs w:val="0"/>
                <w:color w:val="auto"/>
                <w:kern w:val="0"/>
                <w:sz w:val="24"/>
                <w:szCs w:val="24"/>
                <w:lang w:val="en-US" w:eastAsia="zh-CN" w:bidi="ar"/>
              </w:rPr>
            </w:pPr>
          </w:p>
        </w:tc>
      </w:tr>
      <w:tr>
        <w:tblPrEx>
          <w:tblCellMar>
            <w:top w:w="0" w:type="dxa"/>
            <w:left w:w="108" w:type="dxa"/>
            <w:bottom w:w="0" w:type="dxa"/>
            <w:right w:w="108" w:type="dxa"/>
          </w:tblCellMar>
        </w:tblPrEx>
        <w:trPr>
          <w:trHeight w:val="90" w:hRule="atLeast"/>
        </w:trPr>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highlight w:val="none"/>
                <w:lang w:bidi="ar"/>
              </w:rPr>
              <w:t>禽蛋</w:t>
            </w:r>
          </w:p>
        </w:tc>
        <w:tc>
          <w:tcPr>
            <w:tcW w:w="6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Style w:val="23"/>
                <w:rFonts w:hint="eastAsia" w:asciiTheme="minorEastAsia" w:hAnsiTheme="minorEastAsia" w:eastAsiaTheme="minorEastAsia" w:cstheme="minorEastAsia"/>
                <w:b w:val="0"/>
                <w:bCs w:val="0"/>
                <w:color w:val="auto"/>
                <w:sz w:val="24"/>
                <w:szCs w:val="24"/>
                <w:highlight w:val="none"/>
                <w:lang w:eastAsia="zh-CN" w:bidi="ar"/>
              </w:rPr>
            </w:pPr>
            <w:r>
              <w:rPr>
                <w:rStyle w:val="23"/>
                <w:rFonts w:hint="eastAsia" w:asciiTheme="minorEastAsia" w:hAnsiTheme="minorEastAsia" w:eastAsiaTheme="minorEastAsia" w:cstheme="minorEastAsia"/>
                <w:b w:val="0"/>
                <w:bCs w:val="0"/>
                <w:color w:val="auto"/>
                <w:sz w:val="24"/>
                <w:szCs w:val="24"/>
                <w:highlight w:val="none"/>
                <w:lang w:eastAsia="zh-CN" w:bidi="ar"/>
              </w:rPr>
              <w:t>产蛋期不得使用药物：氟喹诺酮类（恩诺沙星、环丙沙星、沙拉沙星）、酰胺醇类（氟苯尼考、氟苯尼考胺、甲砜霉素）</w:t>
            </w:r>
          </w:p>
          <w:p>
            <w:pPr>
              <w:pStyle w:val="2"/>
              <w:keepNext w:val="0"/>
              <w:keepLines w:val="0"/>
              <w:pageBreakBefore w:val="0"/>
              <w:widowControl/>
              <w:kinsoku/>
              <w:wordWrap/>
              <w:overflowPunct/>
              <w:topLinePunct w:val="0"/>
              <w:autoSpaceDE/>
              <w:autoSpaceDN/>
              <w:bidi w:val="0"/>
              <w:adjustRightInd/>
              <w:snapToGrid/>
              <w:spacing w:line="288" w:lineRule="auto"/>
              <w:ind w:left="0" w:leftChars="0" w:firstLine="0" w:firstLineChars="0"/>
              <w:rPr>
                <w:rFonts w:hint="eastAsia" w:asciiTheme="minorEastAsia" w:hAnsiTheme="minorEastAsia" w:eastAsiaTheme="minorEastAsia" w:cstheme="minorEastAsia"/>
                <w:b w:val="0"/>
                <w:bCs w:val="0"/>
                <w:color w:val="auto"/>
                <w:sz w:val="24"/>
                <w:szCs w:val="24"/>
                <w:lang w:eastAsia="zh-CN"/>
              </w:rPr>
            </w:pPr>
            <w:r>
              <w:rPr>
                <w:rStyle w:val="23"/>
                <w:rFonts w:hint="eastAsia" w:asciiTheme="minorEastAsia" w:hAnsiTheme="minorEastAsia" w:eastAsiaTheme="minorEastAsia" w:cstheme="minorEastAsia"/>
                <w:b w:val="0"/>
                <w:bCs w:val="0"/>
                <w:color w:val="auto"/>
                <w:sz w:val="24"/>
                <w:szCs w:val="24"/>
                <w:highlight w:val="none"/>
                <w:lang w:eastAsia="zh-CN" w:bidi="ar"/>
              </w:rPr>
              <w:t>常规药物：硝基咪唑类（甲硝唑、地美硝唑）、四环素类（多西环素）</w:t>
            </w:r>
          </w:p>
        </w:tc>
        <w:tc>
          <w:tcPr>
            <w:tcW w:w="100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23"/>
                <w:rFonts w:hint="default" w:ascii="Times New Roman" w:hAnsi="Times New Roman" w:eastAsia="宋体" w:cs="Times New Roman"/>
                <w:b w:val="0"/>
                <w:bCs w:val="0"/>
                <w:color w:val="auto"/>
                <w:sz w:val="24"/>
                <w:szCs w:val="24"/>
                <w:lang w:val="en-US" w:eastAsia="zh-CN" w:bidi="ar"/>
              </w:rPr>
            </w:pPr>
          </w:p>
        </w:tc>
      </w:tr>
      <w:tr>
        <w:tblPrEx>
          <w:tblCellMar>
            <w:top w:w="0" w:type="dxa"/>
            <w:left w:w="108" w:type="dxa"/>
            <w:bottom w:w="0" w:type="dxa"/>
            <w:right w:w="108" w:type="dxa"/>
          </w:tblCellMar>
        </w:tblPrEx>
        <w:trPr>
          <w:trHeight w:val="1301" w:hRule="atLeast"/>
        </w:trPr>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color w:val="auto"/>
                <w:kern w:val="0"/>
                <w:sz w:val="24"/>
                <w:szCs w:val="24"/>
                <w:lang w:eastAsia="zh-CN" w:bidi="ar"/>
              </w:rPr>
            </w:pPr>
            <w:r>
              <w:rPr>
                <w:rFonts w:hint="eastAsia" w:asciiTheme="minorEastAsia" w:hAnsiTheme="minorEastAsia" w:eastAsiaTheme="minorEastAsia" w:cstheme="minorEastAsia"/>
                <w:b w:val="0"/>
                <w:bCs w:val="0"/>
                <w:color w:val="auto"/>
                <w:kern w:val="0"/>
                <w:sz w:val="24"/>
                <w:szCs w:val="24"/>
                <w:highlight w:val="none"/>
                <w:lang w:eastAsia="zh-CN" w:bidi="ar"/>
              </w:rPr>
              <w:t>禽肉</w:t>
            </w:r>
          </w:p>
        </w:tc>
        <w:tc>
          <w:tcPr>
            <w:tcW w:w="6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Style w:val="23"/>
                <w:rFonts w:hint="eastAsia" w:asciiTheme="minorEastAsia" w:hAnsiTheme="minorEastAsia" w:eastAsiaTheme="minorEastAsia" w:cstheme="minorEastAsia"/>
                <w:b w:val="0"/>
                <w:bCs w:val="0"/>
                <w:color w:val="auto"/>
                <w:sz w:val="24"/>
                <w:szCs w:val="24"/>
                <w:lang w:eastAsia="zh-CN" w:bidi="ar"/>
              </w:rPr>
            </w:pPr>
            <w:r>
              <w:rPr>
                <w:rStyle w:val="23"/>
                <w:rFonts w:hint="eastAsia" w:asciiTheme="minorEastAsia" w:hAnsiTheme="minorEastAsia" w:eastAsiaTheme="minorEastAsia" w:cstheme="minorEastAsia"/>
                <w:b w:val="0"/>
                <w:bCs w:val="0"/>
                <w:color w:val="auto"/>
                <w:sz w:val="24"/>
                <w:szCs w:val="24"/>
                <w:highlight w:val="none"/>
                <w:lang w:eastAsia="zh-CN" w:bidi="ar"/>
              </w:rPr>
              <w:t>常规药物：氟喹诺酮类（恩诺沙星、环丙沙星、沙拉沙星、达氟沙星）、酰胺醇类（氟苯尼考、氟苯尼考胺和甲砜霉素）、抗菌增效剂（甲氯苄啶）</w:t>
            </w:r>
          </w:p>
        </w:tc>
        <w:tc>
          <w:tcPr>
            <w:tcW w:w="100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Style w:val="23"/>
                <w:rFonts w:hint="default" w:ascii="Times New Roman" w:hAnsi="Times New Roman" w:eastAsia="宋体" w:cs="Times New Roman"/>
                <w:b w:val="0"/>
                <w:bCs w:val="0"/>
                <w:color w:val="auto"/>
                <w:sz w:val="24"/>
                <w:szCs w:val="24"/>
                <w:lang w:val="en-US" w:eastAsia="zh-CN" w:bidi="ar"/>
              </w:rPr>
            </w:pPr>
          </w:p>
        </w:tc>
      </w:tr>
    </w:tbl>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default" w:asciiTheme="minorEastAsia" w:hAnsiTheme="minorEastAsia" w:eastAsiaTheme="minorEastAsia" w:cstheme="minorEastAsia"/>
          <w:b w:val="0"/>
          <w:bCs w:val="0"/>
          <w:color w:val="auto"/>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default" w:asciiTheme="minorEastAsia" w:hAnsiTheme="minorEastAsia" w:eastAsiaTheme="minorEastAsia" w:cstheme="minorEastAsia"/>
          <w:b w:val="0"/>
          <w:bCs w:val="0"/>
          <w:color w:val="auto"/>
          <w:kern w:val="0"/>
          <w:sz w:val="24"/>
          <w:szCs w:val="24"/>
          <w:highlight w:val="none"/>
          <w:lang w:val="en-US" w:eastAsia="zh-CN" w:bidi="ar"/>
        </w:rPr>
      </w:pPr>
      <w:r>
        <w:rPr>
          <w:rFonts w:hint="default" w:asciiTheme="minorEastAsia" w:hAnsiTheme="minorEastAsia" w:eastAsiaTheme="minorEastAsia" w:cstheme="minorEastAsia"/>
          <w:b w:val="0"/>
          <w:bCs w:val="0"/>
          <w:color w:val="auto"/>
          <w:kern w:val="0"/>
          <w:sz w:val="24"/>
          <w:szCs w:val="24"/>
          <w:highlight w:val="none"/>
          <w:lang w:val="en-US" w:eastAsia="zh-CN" w:bidi="ar"/>
        </w:rPr>
        <w:t>水产品（90批次）</w:t>
      </w:r>
    </w:p>
    <w:tbl>
      <w:tblPr>
        <w:tblStyle w:val="11"/>
        <w:tblpPr w:leftFromText="180" w:rightFromText="180" w:vertAnchor="text" w:horzAnchor="page" w:tblpX="1347" w:tblpY="318"/>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682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样品名称</w:t>
            </w:r>
          </w:p>
        </w:tc>
        <w:tc>
          <w:tcPr>
            <w:tcW w:w="68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kern w:val="0"/>
                <w:sz w:val="24"/>
                <w:szCs w:val="24"/>
                <w:lang w:val="zh-TW" w:eastAsia="zh-TW" w:bidi="zh-TW"/>
              </w:rPr>
            </w:pPr>
            <w:r>
              <w:rPr>
                <w:rFonts w:hint="default" w:ascii="Times New Roman" w:hAnsi="Times New Roman" w:eastAsia="宋体" w:cs="Times New Roman"/>
                <w:b/>
                <w:bCs/>
                <w:kern w:val="0"/>
                <w:sz w:val="24"/>
                <w:szCs w:val="24"/>
                <w:lang w:val="zh-TW" w:eastAsia="zh-CN" w:bidi="zh-TW"/>
              </w:rPr>
              <w:t>检测</w:t>
            </w:r>
            <w:r>
              <w:rPr>
                <w:rFonts w:hint="default" w:ascii="Times New Roman" w:hAnsi="Times New Roman" w:eastAsia="宋体" w:cs="Times New Roman"/>
                <w:b/>
                <w:bCs/>
                <w:kern w:val="0"/>
                <w:sz w:val="24"/>
                <w:szCs w:val="24"/>
                <w:lang w:val="zh-TW" w:eastAsia="zh-TW" w:bidi="zh-TW"/>
              </w:rPr>
              <w:t>项目</w:t>
            </w:r>
          </w:p>
        </w:tc>
        <w:tc>
          <w:tcPr>
            <w:tcW w:w="10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检测</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kern w:val="0"/>
                <w:sz w:val="24"/>
                <w:szCs w:val="24"/>
                <w:lang w:val="zh-TW" w:eastAsia="zh-CN" w:bidi="zh-TW"/>
              </w:rPr>
            </w:pPr>
            <w:r>
              <w:rPr>
                <w:rFonts w:hint="default" w:ascii="Times New Roman" w:hAnsi="Times New Roman" w:eastAsia="宋体" w:cs="Times New Roman"/>
                <w:b/>
                <w:bCs/>
                <w:kern w:val="0"/>
                <w:sz w:val="24"/>
                <w:szCs w:val="24"/>
                <w:lang w:val="zh-TW" w:eastAsia="zh-CN" w:bidi="zh-TW"/>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138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auto"/>
                <w:kern w:val="0"/>
                <w:sz w:val="24"/>
                <w:szCs w:val="24"/>
                <w:lang w:val="zh-TW" w:eastAsia="zh-CN" w:bidi="zh-TW"/>
              </w:rPr>
            </w:pPr>
            <w:r>
              <w:rPr>
                <w:rFonts w:hint="default" w:ascii="Times New Roman" w:hAnsi="Times New Roman" w:eastAsia="宋体" w:cs="Times New Roman"/>
                <w:color w:val="auto"/>
                <w:kern w:val="0"/>
                <w:sz w:val="24"/>
                <w:szCs w:val="24"/>
                <w:lang w:eastAsia="zh-CN" w:bidi="zh-TW"/>
              </w:rPr>
              <w:t>淡水养殖产品</w:t>
            </w:r>
          </w:p>
        </w:tc>
        <w:tc>
          <w:tcPr>
            <w:tcW w:w="6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rPr>
                <w:rFonts w:hint="eastAsia" w:ascii="宋体" w:hAnsi="宋体" w:eastAsia="宋体" w:cs="宋体"/>
                <w:b w:val="0"/>
                <w:bCs w:val="0"/>
                <w:color w:val="auto"/>
                <w:kern w:val="0"/>
                <w:sz w:val="21"/>
                <w:szCs w:val="21"/>
                <w:highlight w:val="none"/>
                <w:lang w:eastAsia="zh-CN" w:bidi="zh-TW"/>
              </w:rPr>
            </w:pPr>
            <w:r>
              <w:rPr>
                <w:rFonts w:hint="eastAsia" w:ascii="宋体" w:hAnsi="宋体" w:eastAsia="宋体" w:cs="宋体"/>
                <w:b w:val="0"/>
                <w:bCs w:val="0"/>
                <w:color w:val="auto"/>
                <w:kern w:val="0"/>
                <w:sz w:val="21"/>
                <w:szCs w:val="21"/>
                <w:highlight w:val="none"/>
                <w:lang w:eastAsia="zh-CN" w:bidi="zh-TW"/>
              </w:rPr>
              <w:t>禁用药物：氯霉素、孔雀石绿（包括有色孔雀石绿和无色孔雀石绿）、硝基呋喃类代谢物（包呋喃唑酮代谢物</w:t>
            </w:r>
            <w:r>
              <w:rPr>
                <w:rFonts w:hint="eastAsia" w:ascii="宋体" w:hAnsi="宋体" w:eastAsia="宋体" w:cs="宋体"/>
                <w:b w:val="0"/>
                <w:bCs w:val="0"/>
                <w:color w:val="auto"/>
                <w:kern w:val="0"/>
                <w:sz w:val="21"/>
                <w:szCs w:val="21"/>
                <w:highlight w:val="none"/>
                <w:lang w:val="en-US" w:eastAsia="zh-CN" w:bidi="zh-TW"/>
              </w:rPr>
              <w:t>AOZ、呋喃它酮代谢物AMOZ、呋喃西林代谢物SEM和呋喃妥因代谢物AHD</w:t>
            </w:r>
            <w:r>
              <w:rPr>
                <w:rFonts w:hint="eastAsia" w:ascii="宋体" w:hAnsi="宋体" w:eastAsia="宋体" w:cs="宋体"/>
                <w:b w:val="0"/>
                <w:bCs w:val="0"/>
                <w:color w:val="auto"/>
                <w:kern w:val="0"/>
                <w:sz w:val="21"/>
                <w:szCs w:val="21"/>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288" w:lineRule="auto"/>
              <w:rPr>
                <w:rFonts w:hint="eastAsia" w:ascii="宋体" w:hAnsi="宋体" w:eastAsia="宋体" w:cs="宋体"/>
                <w:b w:val="0"/>
                <w:bCs w:val="0"/>
                <w:color w:val="auto"/>
                <w:kern w:val="0"/>
                <w:sz w:val="21"/>
                <w:szCs w:val="21"/>
                <w:highlight w:val="none"/>
                <w:lang w:eastAsia="zh-CN" w:bidi="zh-TW"/>
              </w:rPr>
            </w:pPr>
            <w:r>
              <w:rPr>
                <w:rFonts w:hint="eastAsia" w:ascii="宋体" w:hAnsi="宋体" w:eastAsia="宋体" w:cs="宋体"/>
                <w:b w:val="0"/>
                <w:bCs w:val="0"/>
                <w:color w:val="auto"/>
                <w:kern w:val="0"/>
                <w:sz w:val="21"/>
                <w:szCs w:val="21"/>
                <w:highlight w:val="none"/>
                <w:lang w:eastAsia="zh-CN" w:bidi="zh-TW"/>
              </w:rPr>
              <w:t>未批准在水产动物中使用药物：地西泮</w:t>
            </w:r>
          </w:p>
          <w:p>
            <w:pPr>
              <w:pStyle w:val="2"/>
              <w:keepNext w:val="0"/>
              <w:keepLines w:val="0"/>
              <w:pageBreakBefore w:val="0"/>
              <w:widowControl w:val="0"/>
              <w:kinsoku/>
              <w:wordWrap/>
              <w:overflowPunct/>
              <w:topLinePunct w:val="0"/>
              <w:autoSpaceDE/>
              <w:autoSpaceDN/>
              <w:bidi w:val="0"/>
              <w:snapToGrid/>
              <w:spacing w:line="288" w:lineRule="auto"/>
              <w:ind w:left="0" w:leftChars="0"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食品动物中停止使用药物：氟喹诺酮类（诺氟沙星、氧氟沙星、培氟沙星和洛美沙星）</w:t>
            </w:r>
          </w:p>
          <w:p>
            <w:pPr>
              <w:keepNext w:val="0"/>
              <w:keepLines w:val="0"/>
              <w:pageBreakBefore w:val="0"/>
              <w:widowControl w:val="0"/>
              <w:kinsoku/>
              <w:wordWrap/>
              <w:overflowPunct/>
              <w:topLinePunct w:val="0"/>
              <w:autoSpaceDE/>
              <w:autoSpaceDN/>
              <w:bidi w:val="0"/>
              <w:adjustRightInd/>
              <w:snapToGrid/>
              <w:spacing w:line="288" w:lineRule="auto"/>
              <w:rPr>
                <w:rFonts w:hint="default" w:ascii="Times New Roman" w:hAnsi="Times New Roman" w:eastAsia="宋体" w:cs="Times New Roman"/>
                <w:sz w:val="24"/>
                <w:szCs w:val="24"/>
                <w:lang w:eastAsia="zh-CN"/>
              </w:rPr>
            </w:pPr>
            <w:r>
              <w:rPr>
                <w:rFonts w:hint="eastAsia" w:ascii="宋体" w:hAnsi="宋体" w:eastAsia="宋体" w:cs="宋体"/>
                <w:b w:val="0"/>
                <w:bCs w:val="0"/>
                <w:color w:val="auto"/>
                <w:kern w:val="0"/>
                <w:sz w:val="21"/>
                <w:szCs w:val="21"/>
                <w:highlight w:val="none"/>
                <w:lang w:eastAsia="zh-CN" w:bidi="zh-TW"/>
              </w:rPr>
              <w:t>常规药物：酰胺醇类（甲砜霉素、氟苯尼考和氯苯尼考胺）、磺胺类（包括磺胺噻唑、磺胺嘧啶、磺胺甲基咪啶、磺胺二甲基咪啶、磺胺甲基异噁唑、磺胺多辛、磺胺异噁唑、磺胺喹噁啉、磺胺间甲氧嘧啶、黄案件二甲氧嘧啶、磺胺氯哒嗪和磺胺甲噻二唑等</w:t>
            </w:r>
            <w:r>
              <w:rPr>
                <w:rFonts w:hint="eastAsia" w:ascii="宋体" w:hAnsi="宋体" w:eastAsia="宋体" w:cs="宋体"/>
                <w:b w:val="0"/>
                <w:bCs w:val="0"/>
                <w:color w:val="auto"/>
                <w:kern w:val="0"/>
                <w:sz w:val="21"/>
                <w:szCs w:val="21"/>
                <w:highlight w:val="none"/>
                <w:lang w:val="en-US" w:eastAsia="zh-CN" w:bidi="zh-TW"/>
              </w:rPr>
              <w:t>12种</w:t>
            </w:r>
            <w:r>
              <w:rPr>
                <w:rFonts w:hint="eastAsia" w:ascii="宋体" w:hAnsi="宋体" w:eastAsia="宋体" w:cs="宋体"/>
                <w:b w:val="0"/>
                <w:bCs w:val="0"/>
                <w:color w:val="auto"/>
                <w:kern w:val="0"/>
                <w:sz w:val="21"/>
                <w:szCs w:val="21"/>
                <w:highlight w:val="none"/>
                <w:lang w:eastAsia="zh-CN" w:bidi="zh-TW"/>
              </w:rPr>
              <w:t>）、氟喹诺酮类（包括恩诺沙星、环丙沙星）、四环素类（四环素、土霉素、金霉素、多西环素）</w:t>
            </w:r>
          </w:p>
        </w:tc>
        <w:tc>
          <w:tcPr>
            <w:tcW w:w="106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宋体" w:cs="Times New Roman"/>
                <w:color w:val="auto"/>
                <w:kern w:val="0"/>
                <w:sz w:val="24"/>
                <w:szCs w:val="24"/>
                <w:lang w:val="en-US" w:eastAsia="zh-CN" w:bidi="zh-TW"/>
              </w:rPr>
            </w:pPr>
            <w:r>
              <w:rPr>
                <w:rFonts w:hint="default" w:ascii="Times New Roman" w:hAnsi="Times New Roman" w:eastAsia="宋体" w:cs="Times New Roman"/>
                <w:color w:val="auto"/>
                <w:kern w:val="0"/>
                <w:sz w:val="24"/>
                <w:szCs w:val="24"/>
                <w:lang w:val="en-US" w:eastAsia="zh-CN" w:bidi="zh-TW"/>
              </w:rPr>
              <w:t>90</w:t>
            </w:r>
          </w:p>
        </w:tc>
      </w:tr>
    </w:tbl>
    <w:p>
      <w:pPr>
        <w:pStyle w:val="7"/>
        <w:rPr>
          <w:rFonts w:hint="default" w:ascii="Times New Roman" w:hAnsi="Times New Roman" w:eastAsia="宋体" w:cs="Times New Roman"/>
          <w:sz w:val="28"/>
          <w:szCs w:val="28"/>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DBDD1"/>
    <w:multiLevelType w:val="multilevel"/>
    <w:tmpl w:val="7F8DBDD1"/>
    <w:lvl w:ilvl="0" w:tentative="0">
      <w:start w:val="1"/>
      <w:numFmt w:val="decimal"/>
      <w:pStyle w:val="18"/>
      <w:suff w:val="nothing"/>
      <w:lvlText w:val="%1　"/>
      <w:lvlJc w:val="left"/>
      <w:pPr>
        <w:ind w:left="142" w:firstLine="0"/>
      </w:pPr>
      <w:rPr>
        <w:rFonts w:hint="default" w:ascii="Times New Roman" w:hAnsi="Times New Roman" w:eastAsia="黑体" w:cs="Times New Roman"/>
        <w:b w:val="0"/>
        <w:i w:val="0"/>
        <w:sz w:val="21"/>
        <w:szCs w:val="21"/>
      </w:rPr>
    </w:lvl>
    <w:lvl w:ilvl="1" w:tentative="0">
      <w:start w:val="1"/>
      <w:numFmt w:val="decimal"/>
      <w:pStyle w:val="16"/>
      <w:suff w:val="nothing"/>
      <w:lvlText w:val="%1.%2　"/>
      <w:lvlJc w:val="left"/>
      <w:pPr>
        <w:ind w:left="142"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pStyle w:val="20"/>
      <w:suff w:val="nothing"/>
      <w:lvlText w:val="%1.%2.%3.%4.%5　"/>
      <w:lvlJc w:val="left"/>
      <w:pPr>
        <w:ind w:left="142" w:firstLine="0"/>
      </w:pPr>
      <w:rPr>
        <w:rFonts w:hint="eastAsia" w:ascii="黑体" w:hAnsi="Times New Roman" w:eastAsia="黑体"/>
        <w:b w:val="0"/>
        <w:i w:val="0"/>
        <w:sz w:val="21"/>
      </w:rPr>
    </w:lvl>
    <w:lvl w:ilvl="5" w:tentative="0">
      <w:start w:val="1"/>
      <w:numFmt w:val="decimal"/>
      <w:pStyle w:val="21"/>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mMzMzE0ZGE0MjUzNTE0OTFhOTViYTMzZTQzMzEifQ=="/>
  </w:docVars>
  <w:rsids>
    <w:rsidRoot w:val="77BC15AF"/>
    <w:rsid w:val="00AA5B31"/>
    <w:rsid w:val="01BD35AB"/>
    <w:rsid w:val="05C5234B"/>
    <w:rsid w:val="06FE149B"/>
    <w:rsid w:val="073C32D5"/>
    <w:rsid w:val="07480E14"/>
    <w:rsid w:val="085653EB"/>
    <w:rsid w:val="0932401E"/>
    <w:rsid w:val="094C6147"/>
    <w:rsid w:val="0B9927C0"/>
    <w:rsid w:val="0C8A3E6B"/>
    <w:rsid w:val="0F405B1D"/>
    <w:rsid w:val="0FDB6F99"/>
    <w:rsid w:val="113F51DA"/>
    <w:rsid w:val="13F7020E"/>
    <w:rsid w:val="1448754D"/>
    <w:rsid w:val="15530F3B"/>
    <w:rsid w:val="156C55BC"/>
    <w:rsid w:val="15895746"/>
    <w:rsid w:val="16655D64"/>
    <w:rsid w:val="171B7E8A"/>
    <w:rsid w:val="1724451B"/>
    <w:rsid w:val="1855030D"/>
    <w:rsid w:val="18ED39C9"/>
    <w:rsid w:val="1FDA2F9F"/>
    <w:rsid w:val="22B62D0D"/>
    <w:rsid w:val="23D34A58"/>
    <w:rsid w:val="25F814F3"/>
    <w:rsid w:val="281201AF"/>
    <w:rsid w:val="28580407"/>
    <w:rsid w:val="28786771"/>
    <w:rsid w:val="28FB1E94"/>
    <w:rsid w:val="2AF82F17"/>
    <w:rsid w:val="2B994E85"/>
    <w:rsid w:val="2C7963D6"/>
    <w:rsid w:val="2CD94E8D"/>
    <w:rsid w:val="2D8C77D5"/>
    <w:rsid w:val="2DA66931"/>
    <w:rsid w:val="2EAA215B"/>
    <w:rsid w:val="2FDC40F4"/>
    <w:rsid w:val="33252269"/>
    <w:rsid w:val="37172EA8"/>
    <w:rsid w:val="39CC49FD"/>
    <w:rsid w:val="3A24153E"/>
    <w:rsid w:val="3A9F17BB"/>
    <w:rsid w:val="3AAA7B61"/>
    <w:rsid w:val="3AC12986"/>
    <w:rsid w:val="3DBC2580"/>
    <w:rsid w:val="3EE91333"/>
    <w:rsid w:val="41B873D8"/>
    <w:rsid w:val="45F77664"/>
    <w:rsid w:val="47350F6D"/>
    <w:rsid w:val="478F1009"/>
    <w:rsid w:val="48A71838"/>
    <w:rsid w:val="4B61193E"/>
    <w:rsid w:val="4C7F279A"/>
    <w:rsid w:val="4CB9218D"/>
    <w:rsid w:val="4E9D1289"/>
    <w:rsid w:val="51E8273B"/>
    <w:rsid w:val="524F15CA"/>
    <w:rsid w:val="53720853"/>
    <w:rsid w:val="53D5BE61"/>
    <w:rsid w:val="5522650B"/>
    <w:rsid w:val="5754A24D"/>
    <w:rsid w:val="59443607"/>
    <w:rsid w:val="5FAF2B52"/>
    <w:rsid w:val="62976475"/>
    <w:rsid w:val="637755FC"/>
    <w:rsid w:val="6389411E"/>
    <w:rsid w:val="66004DD8"/>
    <w:rsid w:val="66634999"/>
    <w:rsid w:val="66AA7EBE"/>
    <w:rsid w:val="67037428"/>
    <w:rsid w:val="680E59E1"/>
    <w:rsid w:val="69B204D0"/>
    <w:rsid w:val="6ACA6640"/>
    <w:rsid w:val="6B9809FC"/>
    <w:rsid w:val="6BAF507E"/>
    <w:rsid w:val="6F3F0E72"/>
    <w:rsid w:val="72FF3793"/>
    <w:rsid w:val="737C412D"/>
    <w:rsid w:val="7535469C"/>
    <w:rsid w:val="77BC15AF"/>
    <w:rsid w:val="798B03F2"/>
    <w:rsid w:val="7C613D05"/>
    <w:rsid w:val="7CD51785"/>
    <w:rsid w:val="7E88399F"/>
    <w:rsid w:val="EF7ED3F2"/>
    <w:rsid w:val="F7CE8431"/>
    <w:rsid w:val="FAB8020D"/>
    <w:rsid w:val="FEFF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 w:cs="Times New Roman"/>
      <w:kern w:val="2"/>
      <w:sz w:val="28"/>
      <w:szCs w:val="24"/>
      <w:lang w:val="en-US" w:eastAsia="zh-CN" w:bidi="ar-SA"/>
    </w:rPr>
  </w:style>
  <w:style w:type="paragraph" w:styleId="3">
    <w:name w:val="heading 1"/>
    <w:basedOn w:val="1"/>
    <w:next w:val="1"/>
    <w:link w:val="13"/>
    <w:qFormat/>
    <w:uiPriority w:val="0"/>
    <w:pPr>
      <w:keepNext/>
      <w:keepLines/>
      <w:widowControl w:val="0"/>
      <w:suppressLineNumbers w:val="0"/>
      <w:snapToGrid w:val="0"/>
      <w:spacing w:beforeLines="0" w:beforeAutospacing="0" w:afterLines="0" w:afterAutospacing="0" w:line="360" w:lineRule="auto"/>
      <w:jc w:val="center"/>
      <w:outlineLvl w:val="0"/>
    </w:pPr>
    <w:rPr>
      <w:b/>
      <w:bCs/>
      <w:kern w:val="44"/>
      <w:sz w:val="28"/>
      <w:szCs w:val="30"/>
      <w:lang w:bidi="ar"/>
    </w:rPr>
  </w:style>
  <w:style w:type="paragraph" w:styleId="4">
    <w:name w:val="heading 2"/>
    <w:basedOn w:val="1"/>
    <w:next w:val="1"/>
    <w:link w:val="15"/>
    <w:semiHidden/>
    <w:unhideWhenUsed/>
    <w:qFormat/>
    <w:uiPriority w:val="0"/>
    <w:pPr>
      <w:keepNext/>
      <w:keepLines/>
      <w:spacing w:line="360" w:lineRule="auto"/>
      <w:outlineLvl w:val="1"/>
    </w:pPr>
    <w:rPr>
      <w:rFonts w:ascii="Arial" w:hAnsi="Arial"/>
      <w:b/>
      <w:bCs/>
      <w:szCs w:val="32"/>
    </w:rPr>
  </w:style>
  <w:style w:type="paragraph" w:styleId="5">
    <w:name w:val="heading 3"/>
    <w:basedOn w:val="1"/>
    <w:next w:val="1"/>
    <w:link w:val="14"/>
    <w:semiHidden/>
    <w:unhideWhenUsed/>
    <w:qFormat/>
    <w:uiPriority w:val="0"/>
    <w:pPr>
      <w:snapToGrid w:val="0"/>
      <w:spacing w:before="60" w:beforeAutospacing="1" w:afterAutospacing="1" w:line="240" w:lineRule="auto"/>
      <w:jc w:val="left"/>
      <w:outlineLvl w:val="2"/>
    </w:pPr>
    <w:rPr>
      <w:rFonts w:hint="eastAsia" w:ascii="宋体" w:hAnsi="宋体" w:cs="宋体"/>
      <w:b/>
      <w:bCs/>
      <w:kern w:val="0"/>
      <w:szCs w:val="27"/>
      <w:lang w:bidi="ar"/>
    </w:rPr>
  </w:style>
  <w:style w:type="paragraph" w:styleId="6">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Arial" w:hAnsi="Arial" w:eastAsia="仿宋"/>
      <w:b/>
      <w:sz w:val="32"/>
      <w:szCs w:val="22"/>
    </w:rPr>
  </w:style>
  <w:style w:type="character" w:default="1" w:styleId="12">
    <w:name w:val="Default Paragraph Font"/>
    <w:semiHidden/>
    <w:unhideWhenUsed/>
    <w:qFormat/>
    <w:uiPriority w:val="1"/>
    <w:rPr>
      <w:rFonts w:ascii="黑体" w:hAnsi="黑体" w:eastAsia="黑体"/>
      <w:sz w:val="21"/>
      <w:lang w:val="en-US" w:eastAsia="zh-CN" w:bidi="ar-SA"/>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7">
    <w:name w:val="Body Text"/>
    <w:basedOn w:val="1"/>
    <w:next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0"/>
    <w:pPr>
      <w:ind w:firstLine="420" w:firstLineChars="100"/>
    </w:pPr>
  </w:style>
  <w:style w:type="character" w:customStyle="1" w:styleId="13">
    <w:name w:val="标题 1 Char"/>
    <w:basedOn w:val="12"/>
    <w:link w:val="3"/>
    <w:qFormat/>
    <w:uiPriority w:val="0"/>
    <w:rPr>
      <w:rFonts w:eastAsia="仿宋" w:cs="Times New Roman" w:asciiTheme="minorAscii" w:hAnsiTheme="minorAscii"/>
      <w:b/>
      <w:bCs/>
      <w:kern w:val="44"/>
      <w:sz w:val="28"/>
      <w:szCs w:val="44"/>
    </w:rPr>
  </w:style>
  <w:style w:type="character" w:customStyle="1" w:styleId="14">
    <w:name w:val="标题 3 Char"/>
    <w:link w:val="5"/>
    <w:qFormat/>
    <w:uiPriority w:val="0"/>
    <w:rPr>
      <w:rFonts w:ascii="宋体" w:hAnsi="宋体" w:eastAsia="仿宋" w:cs="Times New Roman"/>
      <w:b/>
      <w:bCs/>
      <w:sz w:val="28"/>
      <w:szCs w:val="32"/>
    </w:rPr>
  </w:style>
  <w:style w:type="character" w:customStyle="1" w:styleId="15">
    <w:name w:val="标题 2 字符"/>
    <w:basedOn w:val="12"/>
    <w:link w:val="4"/>
    <w:qFormat/>
    <w:uiPriority w:val="0"/>
    <w:rPr>
      <w:rFonts w:ascii="Arial" w:hAnsi="Arial" w:eastAsia="仿宋" w:cs="Times New Roman"/>
      <w:b/>
      <w:bCs/>
      <w:sz w:val="28"/>
      <w:szCs w:val="32"/>
    </w:rPr>
  </w:style>
  <w:style w:type="paragraph" w:customStyle="1" w:styleId="16">
    <w:name w:val="一级条标题"/>
    <w:link w:val="17"/>
    <w:qFormat/>
    <w:uiPriority w:val="0"/>
    <w:pPr>
      <w:numPr>
        <w:ilvl w:val="1"/>
        <w:numId w:val="1"/>
      </w:numPr>
      <w:spacing w:before="50" w:beforeLines="50" w:after="50" w:afterLines="50"/>
      <w:ind w:left="0"/>
      <w:outlineLvl w:val="2"/>
    </w:pPr>
    <w:rPr>
      <w:rFonts w:ascii="黑体" w:hAnsi="黑体" w:eastAsia="黑体" w:cstheme="minorBidi"/>
      <w:sz w:val="21"/>
      <w:szCs w:val="21"/>
      <w:lang w:val="en-US" w:eastAsia="zh-CN" w:bidi="ar-SA"/>
    </w:rPr>
  </w:style>
  <w:style w:type="character" w:customStyle="1" w:styleId="17">
    <w:name w:val="一级条标题 Char"/>
    <w:link w:val="16"/>
    <w:qFormat/>
    <w:uiPriority w:val="0"/>
    <w:rPr>
      <w:rFonts w:ascii="黑体" w:hAnsi="黑体" w:eastAsia="黑体"/>
      <w:sz w:val="21"/>
      <w:szCs w:val="21"/>
      <w:lang w:val="en-US" w:eastAsia="zh-CN" w:bidi="ar-SA"/>
    </w:rPr>
  </w:style>
  <w:style w:type="paragraph" w:customStyle="1" w:styleId="18">
    <w:name w:val="章标题"/>
    <w:link w:val="22"/>
    <w:qFormat/>
    <w:uiPriority w:val="0"/>
    <w:pPr>
      <w:numPr>
        <w:ilvl w:val="0"/>
        <w:numId w:val="1"/>
      </w:numPr>
      <w:spacing w:before="100" w:beforeLines="100" w:after="100" w:afterLines="100"/>
      <w:ind w:left="142"/>
      <w:jc w:val="left"/>
      <w:outlineLvl w:val="1"/>
    </w:pPr>
    <w:rPr>
      <w:rFonts w:ascii="黑体" w:hAnsi="黑体" w:eastAsia="黑体" w:cstheme="minorBidi"/>
      <w:sz w:val="21"/>
      <w:lang w:val="en-US" w:eastAsia="zh-CN" w:bidi="ar-SA"/>
    </w:rPr>
  </w:style>
  <w:style w:type="paragraph" w:customStyle="1" w:styleId="19">
    <w:name w:val="二级条标题"/>
    <w:basedOn w:val="1"/>
    <w:qFormat/>
    <w:uiPriority w:val="0"/>
    <w:pPr>
      <w:numPr>
        <w:ilvl w:val="2"/>
        <w:numId w:val="1"/>
      </w:numPr>
      <w:ind w:left="426"/>
    </w:pPr>
    <w:rPr>
      <w:rFonts w:ascii="黑体" w:hAnsi="黑体" w:eastAsia="黑体"/>
      <w:sz w:val="21"/>
      <w:lang w:val="en-US" w:eastAsia="zh-CN" w:bidi="ar-SA"/>
    </w:rPr>
  </w:style>
  <w:style w:type="paragraph" w:customStyle="1" w:styleId="20">
    <w:name w:val="四级条标题"/>
    <w:basedOn w:val="1"/>
    <w:qFormat/>
    <w:uiPriority w:val="0"/>
    <w:pPr>
      <w:numPr>
        <w:ilvl w:val="4"/>
        <w:numId w:val="1"/>
      </w:numPr>
      <w:ind w:left="142"/>
    </w:pPr>
    <w:rPr>
      <w:rFonts w:ascii="黑体" w:hAnsi="黑体" w:eastAsia="黑体"/>
      <w:sz w:val="21"/>
      <w:lang w:val="en-US" w:eastAsia="zh-CN" w:bidi="ar-SA"/>
    </w:rPr>
  </w:style>
  <w:style w:type="paragraph" w:customStyle="1" w:styleId="21">
    <w:name w:val="五级条标题"/>
    <w:basedOn w:val="1"/>
    <w:qFormat/>
    <w:uiPriority w:val="0"/>
    <w:pPr>
      <w:numPr>
        <w:ilvl w:val="5"/>
        <w:numId w:val="1"/>
      </w:numPr>
      <w:ind w:left="142"/>
    </w:pPr>
    <w:rPr>
      <w:rFonts w:ascii="黑体" w:hAnsi="黑体" w:eastAsia="黑体"/>
      <w:sz w:val="21"/>
      <w:lang w:val="en-US" w:eastAsia="zh-CN" w:bidi="ar-SA"/>
    </w:rPr>
  </w:style>
  <w:style w:type="character" w:customStyle="1" w:styleId="22">
    <w:name w:val="章标题 Char"/>
    <w:link w:val="18"/>
    <w:qFormat/>
    <w:uiPriority w:val="0"/>
    <w:rPr>
      <w:rFonts w:ascii="黑体" w:hAnsi="黑体" w:eastAsia="黑体"/>
      <w:sz w:val="21"/>
      <w:lang w:val="en-US" w:eastAsia="zh-CN" w:bidi="ar-SA"/>
    </w:rPr>
  </w:style>
  <w:style w:type="character" w:customStyle="1" w:styleId="23">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1236</Words>
  <Characters>1303</Characters>
  <Lines>0</Lines>
  <Paragraphs>0</Paragraphs>
  <TotalTime>0</TotalTime>
  <ScaleCrop>false</ScaleCrop>
  <LinksUpToDate>false</LinksUpToDate>
  <CharactersWithSpaces>1417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2024-05-14T17:54:00Z</dcterms:created>
  <dc:creator>赵昕</dc:creator>
  <cp:lastModifiedBy>greatwall</cp:lastModifiedBy>
  <cp:lastPrinted>2024-05-17T01:09:00Z</cp:lastPrinted>
  <dcterms:modified xsi:type="dcterms:W3CDTF">2025-05-09T16:12:27Z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2544DF91D7B54D92A7B41C220A515AC0_13</vt:lpwstr>
  </property>
  <property fmtid="{D5CDD505-2E9C-101B-9397-08002B2CF9AE}" pid="4" name="KSOTemplateDocerSaveRecord">
    <vt:lpwstr>eyJoZGlkIjoiYWU0OGI3YzEzYjBlZGMzYzEzZDRiZDI1YmE1MDEzNmIiLCJ1c2VySWQiOiIzNzQyMjU2OTMifQ==</vt:lpwstr>
  </property>
</Properties>
</file>