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eastAsia="黑体"/>
          <w:b/>
          <w:spacing w:val="40"/>
          <w:w w:val="66"/>
          <w:sz w:val="60"/>
          <w:szCs w:val="60"/>
        </w:rPr>
      </w:pPr>
      <w:r>
        <w:rPr>
          <w:rFonts w:hint="eastAsia" w:eastAsia="黑体"/>
          <w:b/>
          <w:spacing w:val="40"/>
          <w:w w:val="66"/>
          <w:sz w:val="60"/>
          <w:szCs w:val="60"/>
        </w:rPr>
        <w:t>天津市津南区司法局物业管理项目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color w:val="auto"/>
          <w:spacing w:val="40"/>
          <w:w w:val="66"/>
          <w:sz w:val="32"/>
          <w:szCs w:val="32"/>
        </w:rPr>
      </w:pPr>
      <w:r>
        <w:rPr>
          <w:rFonts w:eastAsia="黑体"/>
          <w:spacing w:val="40"/>
          <w:w w:val="66"/>
          <w:sz w:val="32"/>
          <w:szCs w:val="32"/>
        </w:rPr>
        <w:t>（项目</w:t>
      </w:r>
      <w:r>
        <w:rPr>
          <w:rFonts w:eastAsia="黑体"/>
          <w:color w:val="auto"/>
          <w:spacing w:val="40"/>
          <w:w w:val="66"/>
          <w:sz w:val="32"/>
          <w:szCs w:val="32"/>
        </w:rPr>
        <w:t>编号：</w:t>
      </w:r>
      <w:bookmarkStart w:id="8" w:name="_GoBack"/>
      <w:r>
        <w:rPr>
          <w:rFonts w:hint="eastAsia" w:eastAsia="黑体"/>
          <w:color w:val="auto"/>
          <w:spacing w:val="40"/>
          <w:w w:val="66"/>
          <w:sz w:val="32"/>
          <w:szCs w:val="32"/>
        </w:rPr>
        <w:t>TGPC-2023-D-0267</w:t>
      </w:r>
      <w:bookmarkEnd w:id="8"/>
      <w:r>
        <w:rPr>
          <w:rFonts w:eastAsia="黑体"/>
          <w:color w:val="auto"/>
          <w:spacing w:val="40"/>
          <w:w w:val="66"/>
          <w:sz w:val="32"/>
          <w:szCs w:val="32"/>
        </w:rPr>
        <w:t>）</w:t>
      </w:r>
    </w:p>
    <w:p>
      <w:pPr>
        <w:rPr>
          <w:color w:val="auto"/>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2023.</w:t>
      </w:r>
      <w:r>
        <w:rPr>
          <w:rFonts w:hint="eastAsia" w:eastAsia="仿宋_GB2312"/>
          <w:b/>
          <w:bCs/>
          <w:kern w:val="0"/>
          <w:sz w:val="44"/>
          <w:szCs w:val="44"/>
          <w:lang w:val="en-US" w:eastAsia="zh-CN"/>
        </w:rPr>
        <w:t>5</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7"/>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天津市津南区司法局</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天津市津南区司法局物业管理项目</w:t>
      </w:r>
      <w:r>
        <w:rPr>
          <w:rFonts w:ascii="Times New Roman" w:hAnsi="Times New Roman" w:cs="Times New Roman" w:eastAsiaTheme="minorEastAsia"/>
          <w:color w:val="auto"/>
          <w:szCs w:val="32"/>
        </w:rPr>
        <w:t>实施政府采购。现欢迎合格的供应商参加投标。</w:t>
      </w:r>
    </w:p>
    <w:p>
      <w:pPr>
        <w:pStyle w:val="27"/>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天津市津南区司法局物业管理项目</w:t>
      </w:r>
      <w:r>
        <w:rPr>
          <w:rFonts w:ascii="Times New Roman" w:hAnsi="Times New Roman" w:eastAsia="宋体" w:cs="Times New Roman"/>
          <w:color w:val="auto"/>
        </w:rPr>
        <w:t xml:space="preserve">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TGPC-2023-D-0267</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7"/>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pStyle w:val="27"/>
        <w:spacing w:line="360" w:lineRule="auto"/>
        <w:ind w:firstLine="448" w:firstLineChars="200"/>
        <w:jc w:val="both"/>
        <w:rPr>
          <w:rFonts w:ascii="Times New Roman" w:hAnsi="Times New Roman" w:cs="Times New Roman"/>
          <w:color w:val="auto"/>
        </w:rPr>
      </w:pPr>
      <w:r>
        <w:rPr>
          <w:rFonts w:ascii="Times New Roman" w:hAnsi="Times New Roman" w:cs="Times New Roman"/>
          <w:color w:val="auto"/>
        </w:rPr>
        <w:t>三、项目预算</w:t>
      </w:r>
    </w:p>
    <w:p>
      <w:pPr>
        <w:pStyle w:val="27"/>
        <w:spacing w:line="360" w:lineRule="auto"/>
        <w:ind w:firstLine="448" w:firstLineChars="200"/>
        <w:jc w:val="both"/>
        <w:rPr>
          <w:rFonts w:hint="eastAsia" w:ascii="Times New Roman" w:hAnsi="Times New Roman" w:cs="Times New Roman"/>
          <w:color w:val="auto"/>
          <w:lang w:val="en-US" w:eastAsia="zh-CN"/>
        </w:rPr>
      </w:pPr>
      <w:r>
        <w:rPr>
          <w:rFonts w:hint="eastAsia" w:ascii="Times New Roman" w:hAnsi="Times New Roman" w:cs="Times New Roman"/>
          <w:color w:val="auto"/>
        </w:rPr>
        <w:t>1898677</w:t>
      </w:r>
      <w:r>
        <w:rPr>
          <w:rFonts w:hint="eastAsia" w:ascii="Times New Roman" w:hAnsi="Times New Roman" w:cs="Times New Roman"/>
          <w:color w:val="auto"/>
          <w:lang w:val="en-US" w:eastAsia="zh-CN"/>
        </w:rPr>
        <w:t>元。</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ascii="Times New Roman" w:hAnsi="Times New Roman" w:cs="Times New Roman"/>
          <w:color w:val="auto"/>
        </w:rPr>
        <w:t>供应商资格要求（实质性要求）</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（一）供应商应具备独立法人资格。</w:t>
      </w:r>
    </w:p>
    <w:p>
      <w:pPr>
        <w:pStyle w:val="27"/>
        <w:spacing w:line="360" w:lineRule="auto"/>
        <w:ind w:firstLine="448" w:firstLineChars="200"/>
        <w:rPr>
          <w:rFonts w:hint="eastAsia"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A.经第三方会计师事务所审计的2021年度或2022年度财务报告扫描件。</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（四）本项目专门面向</w:t>
      </w:r>
      <w:r>
        <w:rPr>
          <w:rFonts w:hint="eastAsia" w:ascii="Times New Roman" w:hAnsi="Times New Roman" w:eastAsia="宋体" w:cs="Times New Roman"/>
          <w:color w:val="auto"/>
          <w:lang w:val="en-US" w:eastAsia="zh-CN"/>
        </w:rPr>
        <w:t>小型、微型</w:t>
      </w:r>
      <w:r>
        <w:rPr>
          <w:rFonts w:hint="eastAsia" w:ascii="Times New Roman" w:hAnsi="Times New Roman" w:eastAsia="宋体" w:cs="Times New Roman"/>
          <w:color w:val="auto"/>
        </w:rPr>
        <w:t>企业采购，提供《中小企业声明函》。</w:t>
      </w:r>
    </w:p>
    <w:bookmarkEnd w:id="1"/>
    <w:bookmarkEnd w:id="2"/>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五、项目需要落实的政府采购政策</w:t>
      </w:r>
    </w:p>
    <w:p>
      <w:pPr>
        <w:pStyle w:val="27"/>
        <w:spacing w:line="360" w:lineRule="auto"/>
        <w:ind w:firstLine="448" w:firstLineChars="200"/>
        <w:rPr>
          <w:rFonts w:hint="eastAsia" w:ascii="Times New Roman" w:hAnsi="Times New Roman" w:eastAsia="宋体" w:cs="Times New Roman"/>
          <w:color w:val="auto"/>
        </w:rPr>
      </w:pPr>
      <w:bookmarkStart w:id="3" w:name="OLE_LINK3"/>
      <w:bookmarkStart w:id="4" w:name="OLE_LINK4"/>
      <w:r>
        <w:rPr>
          <w:rFonts w:hint="eastAsia" w:ascii="Times New Roman" w:hAnsi="Times New Roman" w:eastAsia="宋体" w:cs="Times New Roman"/>
          <w:color w:val="auto"/>
        </w:rPr>
        <w:t>（一）</w:t>
      </w:r>
      <w:r>
        <w:rPr>
          <w:rFonts w:hint="eastAsia" w:ascii="Times New Roman" w:hAnsi="Times New Roman" w:eastAsia="宋体" w:cs="Times New Roman"/>
          <w:color w:val="auto"/>
          <w:lang w:val="en-US" w:eastAsia="zh-CN"/>
        </w:rPr>
        <w:t>本项目专门面向小型、微型企业采购</w:t>
      </w:r>
      <w:r>
        <w:rPr>
          <w:rFonts w:hint="eastAsia"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rPr>
        <w:t>监狱企业视同小微企业</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27"/>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（一）获取招标文件时间：2023年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16</w:t>
      </w:r>
      <w:r>
        <w:rPr>
          <w:rFonts w:ascii="Times New Roman" w:hAnsi="Times New Roman" w:eastAsia="宋体" w:cs="Times New Roman"/>
          <w:color w:val="auto"/>
        </w:rPr>
        <w:t>日至2023年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获取招标文件网址：使用天津市中环认证服务有限公司发出的CA数字证书（原天津市电子认证中心发出尚在有效期内的CA数字证书仍可使用）登录天津市政府采购中心网（网址：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4"/>
          <w:rFonts w:hint="eastAsia" w:ascii="Times New Roman" w:hAnsi="Times New Roman" w:eastAsia="宋体" w:cs="Times New Roman"/>
        </w:rPr>
        <w:t>http://tjgpc.zwfwb.tj.gov.cn</w:t>
      </w:r>
      <w:r>
        <w:rPr>
          <w:rStyle w:val="24"/>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（三）下载招标文件后如放弃投标，请于网上应答截止时间之前取消投标。</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（四）本项目不组织踏勘现场。</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（五）本项目不组织标前答疑会。</w:t>
      </w:r>
    </w:p>
    <w:p>
      <w:pPr>
        <w:pStyle w:val="27"/>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2023年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16</w:t>
      </w:r>
      <w:r>
        <w:rPr>
          <w:rFonts w:ascii="Times New Roman" w:hAnsi="Times New Roman" w:eastAsia="宋体" w:cs="Times New Roman"/>
          <w:color w:val="auto"/>
        </w:rPr>
        <w:t>日9:00至2023年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日8:30</w:t>
      </w:r>
      <w:r>
        <w:rPr>
          <w:rFonts w:ascii="Times New Roman" w:hAnsi="Times New Roman" w:eastAsia="宋体" w:cs="Times New Roman"/>
          <w:color w:val="auto"/>
        </w:rPr>
        <w:t>，使用天津市中环认证服务有限公司发出的CA数字证书（原天津市电子认证中心发出尚在有效期内的CA数字证书仍可使用）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时间：2023年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（一）开标解密时间：2023年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（三）网上开标公示时间：2023年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市中环认证服务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7"/>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7"/>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天津市津南区司法局 </w:t>
      </w:r>
      <w:r>
        <w:rPr>
          <w:rFonts w:ascii="Times New Roman" w:hAnsi="Times New Roman" w:eastAsia="宋体" w:cs="Times New Roman"/>
          <w:color w:val="auto"/>
        </w:rPr>
        <w:t xml:space="preserve"> </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天津市津南区咸水沽镇津歧路31号 </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邵名童 </w:t>
      </w:r>
      <w:r>
        <w:rPr>
          <w:rFonts w:ascii="Times New Roman" w:hAnsi="Times New Roman" w:eastAsia="宋体" w:cs="Times New Roman"/>
          <w:color w:val="auto"/>
        </w:rPr>
        <w:t xml:space="preserve">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28538288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1. 联系部门：天津市津南区司法局 </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2. 联系地址：天津市津南区咸水沽镇津歧路31号</w:t>
      </w:r>
    </w:p>
    <w:p>
      <w:pPr>
        <w:pStyle w:val="27"/>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3. 联 系 人：刘昊</w:t>
      </w:r>
    </w:p>
    <w:p>
      <w:pPr>
        <w:pStyle w:val="27"/>
        <w:spacing w:line="360" w:lineRule="auto"/>
        <w:ind w:firstLine="448"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 xml:space="preserve">022-28538288 </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pPr>
              <w:tabs>
                <w:tab w:val="left" w:pos="750"/>
                <w:tab w:val="left" w:pos="840"/>
              </w:tabs>
              <w:adjustRightInd w:val="0"/>
              <w:snapToGrid w:val="0"/>
              <w:jc w:val="center"/>
              <w:rPr>
                <w:color w:val="auto"/>
                <w:sz w:val="24"/>
              </w:rPr>
            </w:pPr>
            <w:r>
              <w:rPr>
                <w:color w:val="auto"/>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pPr>
              <w:tabs>
                <w:tab w:val="left" w:pos="750"/>
                <w:tab w:val="left" w:pos="840"/>
              </w:tabs>
              <w:adjustRightInd w:val="0"/>
              <w:snapToGrid w:val="0"/>
              <w:jc w:val="center"/>
              <w:rPr>
                <w:color w:val="auto"/>
                <w:sz w:val="24"/>
              </w:rPr>
            </w:pPr>
            <w:r>
              <w:rPr>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0.05%</w:t>
            </w:r>
          </w:p>
        </w:tc>
      </w:tr>
    </w:tbl>
    <w:p>
      <w:pPr>
        <w:tabs>
          <w:tab w:val="left" w:pos="700"/>
        </w:tabs>
        <w:autoSpaceDE w:val="0"/>
        <w:autoSpaceDN w:val="0"/>
        <w:adjustRightInd w:val="0"/>
        <w:spacing w:line="360" w:lineRule="auto"/>
        <w:ind w:firstLine="448"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其中中标金额以《中标通知书》为准。</w:t>
      </w:r>
    </w:p>
    <w:p>
      <w:pPr>
        <w:tabs>
          <w:tab w:val="left" w:pos="700"/>
        </w:tabs>
        <w:autoSpaceDE w:val="0"/>
        <w:autoSpaceDN w:val="0"/>
        <w:adjustRightInd w:val="0"/>
        <w:spacing w:line="360" w:lineRule="auto"/>
        <w:ind w:firstLine="448"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pPr>
        <w:pStyle w:val="27"/>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缴费及申请开票系统：http://www.tjggzy.cn/ztbxt</w:t>
      </w:r>
    </w:p>
    <w:p>
      <w:pPr>
        <w:pStyle w:val="27"/>
        <w:spacing w:line="360" w:lineRule="auto"/>
        <w:ind w:firstLine="448" w:firstLineChars="200"/>
        <w:jc w:val="both"/>
        <w:rPr>
          <w:rFonts w:ascii="Times New Roman" w:hAnsi="Times New Roman" w:eastAsia="宋体" w:cs="Times New Roman"/>
          <w:color w:val="auto"/>
          <w:kern w:val="2"/>
          <w:lang w:val="zh-CN"/>
        </w:rPr>
      </w:pPr>
      <w:r>
        <w:rPr>
          <w:rFonts w:hint="eastAsia" w:ascii="Times New Roman" w:hAnsi="Times New Roman" w:eastAsia="宋体" w:cs="Times New Roman"/>
          <w:color w:val="auto"/>
          <w:kern w:val="2"/>
          <w:lang w:val="zh-CN"/>
        </w:rPr>
        <w:t>缴费及开票咨询电话：022-24532012</w:t>
      </w:r>
    </w:p>
    <w:p>
      <w:pPr>
        <w:pStyle w:val="27"/>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asciiTheme="minorEastAsia" w:hAnsiTheme="minorEastAsia" w:eastAsiaTheme="minorEastAsia"/>
          <w:bCs/>
        </w:rPr>
        <w:t>和</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w:t>
      </w:r>
    </w:p>
    <w:p>
      <w:pPr>
        <w:pStyle w:val="27"/>
        <w:tabs>
          <w:tab w:val="left" w:pos="1158"/>
        </w:tabs>
        <w:spacing w:line="360" w:lineRule="auto"/>
        <w:ind w:firstLine="448" w:firstLineChars="200"/>
        <w:jc w:val="both"/>
        <w:rPr>
          <w:rFonts w:ascii="Times New Roman" w:hAnsi="Times New Roman" w:eastAsia="宋体" w:cs="Times New Roman"/>
          <w:color w:val="FF0000"/>
        </w:rPr>
      </w:pP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both"/>
        <w:rPr>
          <w:rFonts w:ascii="Times New Roman" w:hAnsi="Times New Roman" w:eastAsia="宋体" w:cs="Times New Roman"/>
          <w:color w:val="auto"/>
        </w:rPr>
      </w:pPr>
    </w:p>
    <w:p>
      <w:pPr>
        <w:pStyle w:val="27"/>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2023年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16</w:t>
      </w:r>
      <w:r>
        <w:rPr>
          <w:rFonts w:ascii="Times New Roman" w:hAnsi="Times New Roman" w:eastAsia="宋体" w:cs="Times New Roman"/>
          <w:color w:val="auto"/>
        </w:rPr>
        <w:t>日</w:t>
      </w:r>
    </w:p>
    <w:p>
      <w:pPr>
        <w:pStyle w:val="27"/>
        <w:spacing w:line="360" w:lineRule="auto"/>
        <w:ind w:right="892"/>
        <w:rPr>
          <w:rFonts w:ascii="Times New Roman" w:hAnsi="Times New Roman" w:eastAsia="宋体" w:cs="Times New Roman"/>
          <w:color w:val="auto"/>
        </w:rPr>
      </w:pPr>
    </w:p>
    <w:p>
      <w:pPr>
        <w:widowControl/>
        <w:jc w:val="left"/>
        <w:rPr>
          <w:kern w:val="0"/>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pPr>
        <w:spacing w:line="360" w:lineRule="exact"/>
        <w:ind w:firstLine="448" w:firstLineChars="200"/>
        <w:rPr>
          <w:b/>
          <w:bCs/>
          <w:kern w:val="28"/>
          <w:sz w:val="32"/>
          <w:szCs w:val="32"/>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pPr>
        <w:autoSpaceDE w:val="0"/>
        <w:autoSpaceDN w:val="0"/>
        <w:adjustRightInd w:val="0"/>
        <w:spacing w:line="360" w:lineRule="auto"/>
        <w:ind w:firstLine="448" w:firstLineChars="200"/>
        <w:rPr>
          <w:sz w:val="24"/>
        </w:rPr>
      </w:pPr>
      <w:r>
        <w:rPr>
          <w:sz w:val="24"/>
        </w:rPr>
        <w:t>1. 投标报价以人民币填列。</w:t>
      </w:r>
    </w:p>
    <w:p>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pPr>
        <w:autoSpaceDE w:val="0"/>
        <w:autoSpaceDN w:val="0"/>
        <w:adjustRightInd w:val="0"/>
        <w:spacing w:line="360" w:lineRule="auto"/>
        <w:ind w:firstLine="448" w:firstLineChars="200"/>
        <w:rPr>
          <w:color w:val="auto"/>
          <w:sz w:val="24"/>
        </w:rPr>
      </w:pPr>
      <w:r>
        <w:rPr>
          <w:sz w:val="24"/>
        </w:rPr>
        <w:t>（</w:t>
      </w:r>
      <w:r>
        <w:rPr>
          <w:rFonts w:hint="eastAsia"/>
          <w:sz w:val="24"/>
        </w:rPr>
        <w:t>二</w:t>
      </w:r>
      <w:r>
        <w:rPr>
          <w:sz w:val="24"/>
        </w:rPr>
        <w:t>）时</w:t>
      </w:r>
      <w:r>
        <w:rPr>
          <w:color w:val="auto"/>
          <w:sz w:val="24"/>
        </w:rPr>
        <w:t>间、地点要求</w:t>
      </w:r>
    </w:p>
    <w:p>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pPr>
        <w:autoSpaceDE w:val="0"/>
        <w:autoSpaceDN w:val="0"/>
        <w:adjustRightInd w:val="0"/>
        <w:spacing w:line="360" w:lineRule="auto"/>
        <w:ind w:firstLine="448" w:firstLineChars="200"/>
        <w:rPr>
          <w:color w:val="auto"/>
          <w:sz w:val="24"/>
        </w:rPr>
      </w:pPr>
      <w:r>
        <w:rPr>
          <w:color w:val="auto"/>
          <w:sz w:val="24"/>
        </w:rPr>
        <w:t>按</w:t>
      </w:r>
      <w:r>
        <w:rPr>
          <w:rFonts w:hint="eastAsia"/>
          <w:color w:val="auto"/>
          <w:sz w:val="24"/>
          <w:lang w:val="en-US" w:eastAsia="zh-CN"/>
        </w:rPr>
        <w:t>季度</w:t>
      </w:r>
      <w:r>
        <w:rPr>
          <w:color w:val="auto"/>
          <w:sz w:val="24"/>
        </w:rPr>
        <w:t>付款，每</w:t>
      </w:r>
      <w:r>
        <w:rPr>
          <w:rFonts w:hint="eastAsia"/>
          <w:color w:val="auto"/>
          <w:sz w:val="24"/>
          <w:lang w:val="en-US" w:eastAsia="zh-CN"/>
        </w:rPr>
        <w:t>季度首月</w:t>
      </w:r>
      <w:r>
        <w:rPr>
          <w:color w:val="auto"/>
          <w:sz w:val="24"/>
        </w:rPr>
        <w:t>15日前支付上一</w:t>
      </w:r>
      <w:r>
        <w:rPr>
          <w:rFonts w:hint="eastAsia"/>
          <w:color w:val="auto"/>
          <w:sz w:val="24"/>
          <w:lang w:val="en-US" w:eastAsia="zh-CN"/>
        </w:rPr>
        <w:t>季度</w:t>
      </w:r>
      <w:r>
        <w:rPr>
          <w:color w:val="auto"/>
          <w:sz w:val="24"/>
        </w:rPr>
        <w:t>服务费（特殊情况以合同为准）。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（四）具体需求详见本部分项目需求书。</w:t>
      </w:r>
    </w:p>
    <w:p>
      <w:pPr>
        <w:spacing w:line="360" w:lineRule="auto"/>
        <w:ind w:firstLine="448" w:firstLineChars="200"/>
        <w:outlineLvl w:val="0"/>
        <w:rPr>
          <w:sz w:val="24"/>
        </w:rPr>
      </w:pPr>
      <w:r>
        <w:rPr>
          <w:sz w:val="24"/>
        </w:rPr>
        <w:t>三、评分因素及评标标准</w:t>
      </w:r>
    </w:p>
    <w:tbl>
      <w:tblPr>
        <w:tblStyle w:val="21"/>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15</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pPr>
              <w:widowControl/>
              <w:adjustRightInd w:val="0"/>
              <w:snapToGrid w:val="0"/>
              <w:spacing w:line="360" w:lineRule="auto"/>
              <w:rPr>
                <w:rFonts w:hint="default" w:eastAsia="宋体"/>
                <w:color w:val="auto"/>
                <w:kern w:val="0"/>
                <w:sz w:val="24"/>
                <w:szCs w:val="24"/>
                <w:lang w:val="en-US" w:eastAsia="zh-CN"/>
              </w:rPr>
            </w:pPr>
            <w:r>
              <w:rPr>
                <w:color w:val="auto"/>
                <w:kern w:val="0"/>
                <w:sz w:val="24"/>
                <w:szCs w:val="24"/>
              </w:rPr>
              <w:t>（2）投标报价得分=（评标基准价/投标报价）×</w:t>
            </w:r>
            <w:r>
              <w:rPr>
                <w:rFonts w:hint="eastAsia"/>
                <w:color w:val="auto"/>
                <w:kern w:val="0"/>
                <w:sz w:val="24"/>
                <w:szCs w:val="24"/>
                <w:lang w:val="en-US" w:eastAsia="zh-CN"/>
              </w:rPr>
              <w:t>15</w:t>
            </w:r>
          </w:p>
          <w:p>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55</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完全按照以下要求提供投标人曾实施的非住宅物业服务业绩，提供的证明材料均不得遮挡涂黑，否则不予认定加分。</w:t>
            </w:r>
          </w:p>
          <w:p>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合同原件扫描件。包括合同金额、买卖双方名称及盖章、物业服务期限（合同服务起始日期为2020年1月1日或以后，且已经履行至少1年的时间）、物业服务内容</w:t>
            </w:r>
            <w:r>
              <w:rPr>
                <w:rFonts w:hint="eastAsia"/>
                <w:color w:val="auto"/>
                <w:kern w:val="0"/>
                <w:sz w:val="24"/>
                <w:szCs w:val="24"/>
                <w:lang w:eastAsia="zh-CN"/>
              </w:rPr>
              <w:t>。</w:t>
            </w:r>
          </w:p>
          <w:p>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投入的项目经理为投标单位正式员工，提供项目经理姓名、开标日前三个月中连续两个月的由投标单位或其分公司为该项目经理缴纳社会保险证明扫描件（单位职工缴费信息），否则不予认定加分。</w:t>
            </w:r>
          </w:p>
          <w:p>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（1）提供项目经理毕业证书扫描件，该项目经理具有大专以上（含大专）学历的：2分，其他：0分；</w:t>
            </w:r>
          </w:p>
          <w:p>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（2）提供项目经理用户服务证明扫描件（加盖用户单位公章），用户服务证明能表明该项目经理具备三年（含三年）以上非住宅物业管理经验的：2分，其他：0分；</w:t>
            </w:r>
          </w:p>
          <w:p>
            <w:pPr>
              <w:widowControl/>
              <w:adjustRightInd w:val="0"/>
              <w:snapToGrid w:val="0"/>
              <w:spacing w:line="360" w:lineRule="auto"/>
              <w:rPr>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60</w:t>
            </w:r>
            <w:r>
              <w:rPr>
                <w:rFonts w:hint="eastAsia"/>
                <w:color w:val="auto"/>
                <w:kern w:val="0"/>
                <w:sz w:val="24"/>
                <w:szCs w:val="24"/>
              </w:rPr>
              <w:t>周岁或以下的：1分，其他：0分；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秩序维护人员</w:t>
            </w:r>
            <w:r>
              <w:rPr>
                <w:rFonts w:hint="eastAsia"/>
                <w:color w:val="auto"/>
                <w:kern w:val="0"/>
                <w:sz w:val="24"/>
                <w:szCs w:val="24"/>
              </w:rPr>
              <w:t>：提供</w:t>
            </w:r>
            <w:r>
              <w:rPr>
                <w:rFonts w:hint="eastAsia" w:ascii="宋体" w:hAnsi="宋体" w:cs="宋体"/>
                <w:color w:val="auto"/>
                <w:sz w:val="24"/>
                <w:szCs w:val="24"/>
                <w:lang w:val="en-US" w:eastAsia="zh-CN"/>
              </w:rPr>
              <w:t>公安机关盖章的保安员证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10</w:t>
            </w:r>
            <w:r>
              <w:rPr>
                <w:rFonts w:hint="eastAsia"/>
                <w:color w:val="auto"/>
                <w:kern w:val="0"/>
                <w:sz w:val="24"/>
                <w:szCs w:val="24"/>
              </w:rPr>
              <w:t>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rPr>
              <w:t>秩序维护人员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5</w:t>
            </w:r>
            <w:r>
              <w:rPr>
                <w:rFonts w:hint="eastAsia"/>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厨师</w:t>
            </w:r>
            <w:r>
              <w:rPr>
                <w:rFonts w:hint="eastAsia" w:ascii="宋体" w:hAnsi="宋体" w:cs="宋体"/>
                <w:color w:val="auto"/>
                <w:sz w:val="24"/>
                <w:szCs w:val="24"/>
                <w:lang w:eastAsia="zh-CN"/>
              </w:rPr>
              <w:t>、</w:t>
            </w:r>
            <w:r>
              <w:rPr>
                <w:rFonts w:hint="eastAsia" w:ascii="宋体" w:hAnsi="宋体" w:eastAsia="宋体" w:cs="宋体"/>
                <w:color w:val="auto"/>
                <w:sz w:val="24"/>
                <w:szCs w:val="24"/>
              </w:rPr>
              <w:t>面点师</w:t>
            </w:r>
            <w:r>
              <w:rPr>
                <w:rFonts w:hint="eastAsia" w:ascii="宋体" w:hAnsi="宋体" w:cs="宋体"/>
                <w:color w:val="auto"/>
                <w:sz w:val="24"/>
                <w:szCs w:val="24"/>
                <w:lang w:eastAsia="zh-CN"/>
              </w:rPr>
              <w:t>、</w:t>
            </w:r>
            <w:r>
              <w:rPr>
                <w:rFonts w:hint="eastAsia" w:ascii="宋体" w:hAnsi="宋体" w:eastAsia="宋体" w:cs="宋体"/>
                <w:color w:val="auto"/>
                <w:sz w:val="24"/>
                <w:szCs w:val="24"/>
              </w:rPr>
              <w:t>帮厨</w:t>
            </w:r>
            <w:r>
              <w:rPr>
                <w:rFonts w:hint="eastAsia"/>
                <w:color w:val="auto"/>
                <w:kern w:val="0"/>
                <w:sz w:val="24"/>
                <w:szCs w:val="24"/>
              </w:rPr>
              <w:t>：提供</w:t>
            </w:r>
            <w:r>
              <w:rPr>
                <w:rFonts w:hint="eastAsia" w:ascii="宋体" w:hAnsi="宋体" w:eastAsia="宋体" w:cs="宋体"/>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厨师</w:t>
            </w:r>
            <w:r>
              <w:rPr>
                <w:rFonts w:hint="eastAsia" w:ascii="宋体" w:hAnsi="宋体" w:cs="宋体"/>
                <w:color w:val="auto"/>
                <w:sz w:val="24"/>
                <w:szCs w:val="24"/>
                <w:lang w:eastAsia="zh-CN"/>
              </w:rPr>
              <w:t>、</w:t>
            </w:r>
            <w:r>
              <w:rPr>
                <w:rFonts w:hint="eastAsia" w:ascii="宋体" w:hAnsi="宋体" w:eastAsia="宋体" w:cs="宋体"/>
                <w:color w:val="auto"/>
                <w:sz w:val="24"/>
                <w:szCs w:val="24"/>
              </w:rPr>
              <w:t>面点师</w:t>
            </w:r>
            <w:r>
              <w:rPr>
                <w:rFonts w:hint="eastAsia" w:ascii="宋体" w:hAnsi="宋体" w:cs="宋体"/>
                <w:color w:val="auto"/>
                <w:sz w:val="24"/>
                <w:szCs w:val="24"/>
                <w:lang w:eastAsia="zh-CN"/>
              </w:rPr>
              <w:t>、</w:t>
            </w:r>
            <w:r>
              <w:rPr>
                <w:rFonts w:hint="eastAsia" w:ascii="宋体" w:hAnsi="宋体" w:eastAsia="宋体" w:cs="宋体"/>
                <w:color w:val="auto"/>
                <w:sz w:val="24"/>
                <w:szCs w:val="24"/>
              </w:rPr>
              <w:t>帮厨</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3</w:t>
            </w:r>
            <w:r>
              <w:rPr>
                <w:rFonts w:hint="eastAsia"/>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维修工</w:t>
            </w:r>
            <w:r>
              <w:rPr>
                <w:rFonts w:hint="eastAsia"/>
                <w:color w:val="auto"/>
                <w:kern w:val="0"/>
                <w:sz w:val="24"/>
                <w:szCs w:val="24"/>
              </w:rPr>
              <w:t>：提供</w:t>
            </w:r>
            <w:r>
              <w:rPr>
                <w:rFonts w:hint="eastAsia" w:ascii="宋体" w:hAnsi="宋体" w:cs="宋体"/>
                <w:color w:val="auto"/>
                <w:sz w:val="24"/>
                <w:szCs w:val="24"/>
                <w:lang w:val="en-US" w:eastAsia="zh-CN"/>
              </w:rPr>
              <w:t>《特种作业操作证（低压电工作业）》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6</w:t>
            </w:r>
            <w:r>
              <w:rPr>
                <w:rFonts w:hint="eastAsia"/>
                <w:color w:val="auto"/>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综合维修、餐饮服务</w:t>
            </w:r>
            <w:r>
              <w:rPr>
                <w:color w:val="auto"/>
                <w:kern w:val="0"/>
                <w:sz w:val="24"/>
                <w:szCs w:val="24"/>
              </w:rPr>
              <w:t>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color w:val="auto"/>
                <w:sz w:val="24"/>
              </w:rPr>
            </w:pPr>
            <w:r>
              <w:rPr>
                <w:rFonts w:hint="eastAsia"/>
                <w:color w:val="auto"/>
                <w:sz w:val="24"/>
              </w:rPr>
              <w:t>价格测算方案科学合理，无瑕疵：3分；</w:t>
            </w:r>
          </w:p>
          <w:p>
            <w:pPr>
              <w:widowControl/>
              <w:adjustRightInd w:val="0"/>
              <w:snapToGrid w:val="0"/>
              <w:spacing w:line="360" w:lineRule="auto"/>
              <w:rPr>
                <w:color w:val="auto"/>
                <w:sz w:val="24"/>
              </w:rPr>
            </w:pPr>
            <w:r>
              <w:rPr>
                <w:rFonts w:hint="eastAsia"/>
                <w:color w:val="auto"/>
                <w:sz w:val="24"/>
              </w:rPr>
              <w:t>内容存在1处瑕疵：2分；</w:t>
            </w:r>
          </w:p>
          <w:p>
            <w:pPr>
              <w:widowControl/>
              <w:adjustRightInd w:val="0"/>
              <w:snapToGrid w:val="0"/>
              <w:spacing w:line="360" w:lineRule="auto"/>
              <w:rPr>
                <w:color w:val="auto"/>
                <w:sz w:val="24"/>
              </w:rPr>
            </w:pPr>
            <w:r>
              <w:rPr>
                <w:rFonts w:hint="eastAsia"/>
                <w:color w:val="auto"/>
                <w:sz w:val="24"/>
              </w:rPr>
              <w:t>内容存在2处瑕疵：1分；</w:t>
            </w:r>
          </w:p>
          <w:p>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
          <w:bCs/>
          <w:sz w:val="24"/>
        </w:rPr>
      </w:pPr>
      <w:r>
        <w:rPr>
          <w:rFonts w:hint="eastAsia"/>
          <w:b/>
          <w:bCs/>
          <w:sz w:val="24"/>
        </w:rPr>
        <w:t>一、项目背景</w:t>
      </w:r>
    </w:p>
    <w:p>
      <w:pPr>
        <w:widowControl/>
        <w:ind w:firstLine="448" w:firstLineChars="200"/>
        <w:jc w:val="left"/>
        <w:rPr>
          <w:sz w:val="24"/>
        </w:rPr>
      </w:pPr>
      <w:r>
        <w:rPr>
          <w:rFonts w:hint="eastAsia"/>
          <w:sz w:val="24"/>
        </w:rPr>
        <w:t>天津市津南区司法局物业服务项目共涉及四处场所，分别为：津南区司法局机关（天津市津南区咸水沽镇津歧路31号）、公共法律服务中心（天津市津南区咸水沽镇体育场北路9号）、社区矫正中心（天津市津南区咸水沽镇南环路老税务局院内）与交通事故联合调解中心（天津市津南区咸水沽镇津港公路与317省道交叉口东北200米）。总办公用房面积4460.915平方米，其中：局机关包括办公楼1-4层、车库和外部设施；公共法律服务中心包括办公大厅1-2层；社区矫正中心包括办公楼1-3层；交通事故联合调解中心包括办公大厅1层。</w:t>
      </w:r>
    </w:p>
    <w:p>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09"/>
        <w:gridCol w:w="778"/>
        <w:gridCol w:w="3913"/>
        <w:gridCol w:w="1269"/>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0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岗位名称</w:t>
            </w:r>
          </w:p>
        </w:tc>
        <w:tc>
          <w:tcPr>
            <w:tcW w:w="778"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人数</w:t>
            </w:r>
          </w:p>
        </w:tc>
        <w:tc>
          <w:tcPr>
            <w:tcW w:w="3913"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c>
          <w:tcPr>
            <w:tcW w:w="126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是否接受退休人员</w:t>
            </w:r>
          </w:p>
        </w:tc>
        <w:tc>
          <w:tcPr>
            <w:tcW w:w="1463"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0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778"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13" w:type="dxa"/>
            <w:noWrap w:val="0"/>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负责项目人、财、物的综合管理，管理项目现场</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大专或以上学历，3年或以上非住宅物业管理经验，60周岁以下。</w:t>
            </w:r>
          </w:p>
        </w:tc>
        <w:tc>
          <w:tcPr>
            <w:tcW w:w="126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3"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pPr>
              <w:keepNext w:val="0"/>
              <w:keepLines w:val="0"/>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0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保洁员</w:t>
            </w:r>
          </w:p>
        </w:tc>
        <w:tc>
          <w:tcPr>
            <w:tcW w:w="778"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3913" w:type="dxa"/>
            <w:noWrap w:val="0"/>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负责天津市津南区司法局机关、公共法律服务中心及社矫中心的大厅、走廊、楼梯、卫生间、值班室等公共区域的巡回保洁及管辖区域的保洁保养及控烟管理</w:t>
            </w:r>
            <w:r>
              <w:rPr>
                <w:rFonts w:hint="eastAsia" w:ascii="宋体" w:hAnsi="宋体" w:eastAsia="宋体" w:cs="宋体"/>
                <w:color w:val="auto"/>
                <w:sz w:val="24"/>
                <w:szCs w:val="24"/>
                <w:lang w:eastAsia="zh-CN"/>
              </w:rPr>
              <w:t>，办公室门窗，地面，茶具的保洁清扫</w:t>
            </w:r>
            <w:r>
              <w:rPr>
                <w:rFonts w:hint="eastAsia" w:ascii="宋体" w:hAnsi="宋体" w:eastAsia="宋体" w:cs="宋体"/>
                <w:color w:val="auto"/>
                <w:sz w:val="24"/>
                <w:szCs w:val="24"/>
              </w:rPr>
              <w:t>。</w:t>
            </w:r>
          </w:p>
        </w:tc>
        <w:tc>
          <w:tcPr>
            <w:tcW w:w="126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3"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0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秩序维护人员</w:t>
            </w:r>
          </w:p>
        </w:tc>
        <w:tc>
          <w:tcPr>
            <w:tcW w:w="778"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3913" w:type="dxa"/>
            <w:noWrap w:val="0"/>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负责天津市津南区司法局机关、公共法律服务中心、社矫中心及交调中心，门卫人员及车辆的出入登记秩序维护工作</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均具备公安机关盖章的保安员证。</w:t>
            </w:r>
          </w:p>
        </w:tc>
        <w:tc>
          <w:tcPr>
            <w:tcW w:w="126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3"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其中</w:t>
            </w:r>
            <w:r>
              <w:rPr>
                <w:rFonts w:hint="eastAsia" w:ascii="宋体" w:hAnsi="宋体" w:eastAsia="宋体" w:cs="宋体"/>
                <w:color w:val="auto"/>
                <w:sz w:val="24"/>
                <w:szCs w:val="24"/>
                <w:lang w:val="en-US" w:eastAsia="zh-CN"/>
              </w:rPr>
              <w:t>3人</w:t>
            </w:r>
            <w:r>
              <w:rPr>
                <w:rFonts w:hint="eastAsia" w:ascii="宋体" w:hAnsi="宋体" w:cs="宋体"/>
                <w:color w:val="auto"/>
                <w:sz w:val="24"/>
                <w:szCs w:val="24"/>
                <w:lang w:val="en-US" w:eastAsia="zh-CN"/>
              </w:rPr>
              <w:t>：</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每日8小时</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每周5天；</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其余人员</w:t>
            </w:r>
            <w:r>
              <w:rPr>
                <w:rFonts w:hint="eastAsia" w:ascii="宋体" w:hAnsi="宋体" w:cs="宋体"/>
                <w:color w:val="auto"/>
                <w:sz w:val="24"/>
                <w:szCs w:val="24"/>
                <w:lang w:eastAsia="zh-CN"/>
              </w:rPr>
              <w:t>：</w:t>
            </w:r>
            <w:r>
              <w:rPr>
                <w:rFonts w:hint="eastAsia" w:ascii="宋体" w:hAnsi="宋体" w:eastAsia="宋体" w:cs="宋体"/>
                <w:color w:val="auto"/>
                <w:sz w:val="24"/>
                <w:szCs w:val="24"/>
              </w:rPr>
              <w:t>24小时</w:t>
            </w:r>
            <w:r>
              <w:rPr>
                <w:rFonts w:hint="eastAsia" w:ascii="宋体" w:hAnsi="宋体" w:cs="宋体"/>
                <w:color w:val="auto"/>
                <w:sz w:val="24"/>
                <w:szCs w:val="24"/>
                <w:lang w:val="en-US" w:eastAsia="zh-CN"/>
              </w:rPr>
              <w:t>值守；四班三运转。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0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厨师</w:t>
            </w:r>
          </w:p>
        </w:tc>
        <w:tc>
          <w:tcPr>
            <w:tcW w:w="778"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913" w:type="dxa"/>
            <w:noWrap w:val="0"/>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负责天津市津南区司法局机关、公共法律服务中心、社矫中心，食堂管理辖区的菜品烹饪制作。</w:t>
            </w:r>
            <w:r>
              <w:rPr>
                <w:rFonts w:hint="eastAsia" w:ascii="宋体" w:hAnsi="宋体" w:cs="宋体"/>
                <w:color w:val="auto"/>
                <w:sz w:val="24"/>
                <w:szCs w:val="24"/>
                <w:lang w:val="en-US" w:eastAsia="zh-CN"/>
              </w:rPr>
              <w:t>具备</w:t>
            </w:r>
            <w:r>
              <w:rPr>
                <w:rFonts w:hint="eastAsia" w:ascii="宋体" w:hAnsi="宋体" w:eastAsia="宋体" w:cs="宋体"/>
                <w:color w:val="auto"/>
                <w:sz w:val="24"/>
                <w:szCs w:val="24"/>
              </w:rPr>
              <w:t>卫生防疫部门或医疗机构颁发的健康证</w:t>
            </w:r>
            <w:r>
              <w:rPr>
                <w:rFonts w:hint="eastAsia" w:ascii="宋体" w:hAnsi="宋体" w:cs="宋体"/>
                <w:color w:val="auto"/>
                <w:sz w:val="24"/>
                <w:szCs w:val="24"/>
                <w:lang w:eastAsia="zh-CN"/>
              </w:rPr>
              <w:t>。</w:t>
            </w:r>
          </w:p>
        </w:tc>
        <w:tc>
          <w:tcPr>
            <w:tcW w:w="126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3"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0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面点师</w:t>
            </w:r>
          </w:p>
        </w:tc>
        <w:tc>
          <w:tcPr>
            <w:tcW w:w="778"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913" w:type="dxa"/>
            <w:noWrap w:val="0"/>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负责天津市津南区司法局机关、公共法律服务中心、社矫中心，食堂管理辖区面食制作。</w:t>
            </w:r>
            <w:r>
              <w:rPr>
                <w:rFonts w:hint="eastAsia" w:ascii="宋体" w:hAnsi="宋体" w:cs="宋体"/>
                <w:color w:val="auto"/>
                <w:sz w:val="24"/>
                <w:szCs w:val="24"/>
                <w:lang w:val="en-US" w:eastAsia="zh-CN"/>
              </w:rPr>
              <w:t>具备</w:t>
            </w:r>
            <w:r>
              <w:rPr>
                <w:rFonts w:hint="eastAsia" w:ascii="宋体" w:hAnsi="宋体" w:eastAsia="宋体" w:cs="宋体"/>
                <w:color w:val="auto"/>
                <w:sz w:val="24"/>
                <w:szCs w:val="24"/>
              </w:rPr>
              <w:t>卫生防疫部门或医疗机构颁发的健康证</w:t>
            </w:r>
            <w:r>
              <w:rPr>
                <w:rFonts w:hint="eastAsia" w:ascii="宋体" w:hAnsi="宋体" w:cs="宋体"/>
                <w:color w:val="auto"/>
                <w:sz w:val="24"/>
                <w:szCs w:val="24"/>
                <w:lang w:eastAsia="zh-CN"/>
              </w:rPr>
              <w:t>。</w:t>
            </w:r>
          </w:p>
        </w:tc>
        <w:tc>
          <w:tcPr>
            <w:tcW w:w="126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3"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0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帮厨</w:t>
            </w:r>
          </w:p>
        </w:tc>
        <w:tc>
          <w:tcPr>
            <w:tcW w:w="778"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3913" w:type="dxa"/>
            <w:noWrap w:val="0"/>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负责天津市津南区司法局机关、公共法律服务中心、社矫中心食堂协助工作</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具备</w:t>
            </w:r>
            <w:r>
              <w:rPr>
                <w:rFonts w:hint="eastAsia" w:ascii="宋体" w:hAnsi="宋体" w:eastAsia="宋体" w:cs="宋体"/>
                <w:color w:val="auto"/>
                <w:sz w:val="24"/>
                <w:szCs w:val="24"/>
              </w:rPr>
              <w:t>卫生防疫部门或医疗机构颁发的健康证</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具备</w:t>
            </w:r>
            <w:r>
              <w:rPr>
                <w:rFonts w:hint="eastAsia" w:ascii="宋体" w:hAnsi="宋体" w:eastAsia="宋体" w:cs="宋体"/>
                <w:color w:val="auto"/>
                <w:sz w:val="24"/>
                <w:szCs w:val="24"/>
              </w:rPr>
              <w:t>卫生防疫部门或医疗机构颁发的健康证</w:t>
            </w:r>
            <w:r>
              <w:rPr>
                <w:rFonts w:hint="eastAsia" w:ascii="宋体" w:hAnsi="宋体" w:cs="宋体"/>
                <w:color w:val="auto"/>
                <w:sz w:val="24"/>
                <w:szCs w:val="24"/>
                <w:lang w:eastAsia="zh-CN"/>
              </w:rPr>
              <w:t>。</w:t>
            </w:r>
          </w:p>
        </w:tc>
        <w:tc>
          <w:tcPr>
            <w:tcW w:w="126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3"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0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维修工</w:t>
            </w:r>
          </w:p>
        </w:tc>
        <w:tc>
          <w:tcPr>
            <w:tcW w:w="778"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913" w:type="dxa"/>
            <w:noWrap w:val="0"/>
            <w:vAlign w:val="center"/>
          </w:tcPr>
          <w:p>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负责天津市津南区司法局机关、公共法律服务中心、社矫中心，零星维修</w:t>
            </w:r>
            <w:r>
              <w:rPr>
                <w:rFonts w:hint="eastAsia" w:ascii="宋体" w:hAnsi="宋体" w:eastAsia="宋体" w:cs="宋体"/>
                <w:color w:val="auto"/>
                <w:sz w:val="24"/>
                <w:szCs w:val="24"/>
                <w:lang w:eastAsia="zh-CN"/>
              </w:rPr>
              <w:t>和日常维护</w:t>
            </w:r>
            <w:r>
              <w:rPr>
                <w:rFonts w:hint="eastAsia" w:ascii="宋体" w:hAnsi="宋体" w:eastAsia="宋体" w:cs="宋体"/>
                <w:color w:val="auto"/>
                <w:sz w:val="24"/>
                <w:szCs w:val="24"/>
              </w:rPr>
              <w:t>工作</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具备《特种作业操作证（低压电工作业）》。</w:t>
            </w:r>
          </w:p>
        </w:tc>
        <w:tc>
          <w:tcPr>
            <w:tcW w:w="1269"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3" w:type="dxa"/>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每日8小时</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3" w:type="dxa"/>
            <w:gridSpan w:val="3"/>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总计服务人员</w:t>
            </w:r>
          </w:p>
        </w:tc>
        <w:tc>
          <w:tcPr>
            <w:tcW w:w="6645" w:type="dxa"/>
            <w:gridSpan w:val="3"/>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人</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b/>
          <w:bCs/>
          <w:color w:val="auto"/>
          <w:sz w:val="24"/>
        </w:rPr>
      </w:pPr>
      <w:r>
        <w:rPr>
          <w:rFonts w:hint="eastAsia" w:ascii="宋体" w:hAnsi="宋体" w:cs="宋体"/>
          <w:b/>
          <w:bCs/>
          <w:color w:val="auto"/>
          <w:sz w:val="24"/>
          <w:lang w:val="en-US" w:eastAsia="zh-CN"/>
        </w:rPr>
        <w:t>三</w:t>
      </w:r>
      <w:r>
        <w:rPr>
          <w:rFonts w:hint="eastAsia" w:ascii="宋体" w:hAnsi="宋体" w:cs="宋体"/>
          <w:b/>
          <w:bCs/>
          <w:color w:val="auto"/>
          <w:sz w:val="24"/>
        </w:rPr>
        <w:t>、各岗位人员具体工作内容、职责及服务标准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w:t>
      </w:r>
      <w:r>
        <w:rPr>
          <w:rFonts w:hint="eastAsia" w:ascii="宋体" w:hAnsi="宋体" w:cs="宋体"/>
          <w:b/>
          <w:color w:val="auto"/>
          <w:sz w:val="24"/>
        </w:rPr>
        <w:t>保洁服务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b/>
          <w:color w:val="auto"/>
          <w:sz w:val="24"/>
        </w:rPr>
      </w:pPr>
      <w:r>
        <w:rPr>
          <w:rFonts w:hint="eastAsia" w:ascii="宋体" w:hAnsi="宋体" w:cs="宋体"/>
          <w:b/>
          <w:color w:val="auto"/>
          <w:sz w:val="24"/>
        </w:rPr>
        <w:t>（1）服务内容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rPr>
        <w:t>1.1清洁：院落、道路、行政办公区域等所有公共区域及办公室，包括但不限于大厅、通道及走廊、楼梯、屋面、洗手间、浴室、杂物间、食堂、会议室、清洁间、活动室</w:t>
      </w:r>
      <w:r>
        <w:rPr>
          <w:rFonts w:hint="eastAsia" w:ascii="宋体" w:hAnsi="宋体" w:cs="宋体"/>
          <w:color w:val="auto"/>
          <w:sz w:val="24"/>
          <w:lang w:eastAsia="zh-CN"/>
        </w:rPr>
        <w:t>、办公室</w:t>
      </w:r>
      <w:r>
        <w:rPr>
          <w:rFonts w:hint="eastAsia" w:ascii="宋体" w:hAnsi="宋体" w:cs="宋体"/>
          <w:color w:val="auto"/>
          <w:sz w:val="24"/>
        </w:rPr>
        <w:t>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rPr>
        <w:t>1.2外围清洁、保洁；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rPr>
        <w:t>1.3垃圾处理：生活垃圾及办公垃圾的收集、定点存放；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b/>
          <w:color w:val="auto"/>
          <w:sz w:val="24"/>
        </w:rPr>
      </w:pPr>
      <w:r>
        <w:rPr>
          <w:rFonts w:hint="eastAsia" w:ascii="宋体" w:hAnsi="宋体" w:cs="宋体"/>
          <w:b/>
          <w:color w:val="auto"/>
          <w:sz w:val="24"/>
        </w:rPr>
        <w:t>（2）服务标准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2.1</w:t>
      </w:r>
      <w:r>
        <w:rPr>
          <w:rFonts w:hint="eastAsia" w:ascii="宋体" w:hAnsi="宋体" w:cs="宋体"/>
          <w:color w:val="auto"/>
          <w:sz w:val="24"/>
        </w:rPr>
        <w:t>接待室，地面每日上、下午至少各推尘四次，随时保持干净，每周大清一次。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2.2</w:t>
      </w:r>
      <w:r>
        <w:rPr>
          <w:rFonts w:hint="eastAsia" w:ascii="宋体" w:hAnsi="宋体" w:cs="宋体"/>
          <w:color w:val="auto"/>
          <w:sz w:val="24"/>
        </w:rPr>
        <w:t>楼道地面每天整天擦洗2遍，随时保持干净，要求无污渍、印迹、纸削、烟蒂等杂物。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2.3</w:t>
      </w:r>
      <w:r>
        <w:rPr>
          <w:rFonts w:hint="eastAsia" w:ascii="宋体" w:hAnsi="宋体" w:cs="宋体"/>
          <w:color w:val="auto"/>
          <w:sz w:val="24"/>
        </w:rPr>
        <w:t>大厅、走廊、楼梯间、电梯间、栏杆、瓷砖墙面、护墙板、踢脚线、窗台、窗户沟槽、消防栓、画框、各类指示牌、形象墙、告示栏、桌椅家具、各类开关等公共设施。玻璃门每日刮擦一次，随时污染随时清洁：饰物、墙壁（人力可及处）及其附着物每日至少清洁一次。标准：地面光亮、洁净，无污渍、无污物，其他清洁物洁净、无污渍；春节、五一</w:t>
      </w:r>
      <w:r>
        <w:rPr>
          <w:rFonts w:hint="eastAsia" w:ascii="宋体" w:hAnsi="宋体" w:cs="宋体"/>
          <w:color w:val="auto"/>
          <w:sz w:val="24"/>
          <w:lang w:eastAsia="zh-CN"/>
        </w:rPr>
        <w:t>、</w:t>
      </w:r>
      <w:r>
        <w:rPr>
          <w:rFonts w:hint="eastAsia" w:ascii="宋体" w:hAnsi="宋体" w:cs="宋体"/>
          <w:color w:val="auto"/>
          <w:sz w:val="24"/>
        </w:rPr>
        <w:t>国庆节前要进行全面大扫除，包括所有门窗玻璃。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2.4</w:t>
      </w:r>
      <w:r>
        <w:rPr>
          <w:rFonts w:hint="eastAsia" w:ascii="宋体" w:hAnsi="宋体" w:cs="宋体"/>
          <w:color w:val="auto"/>
          <w:sz w:val="24"/>
        </w:rPr>
        <w:t>楼梯、消防通道、消防器材每天整体擦洗2遍，要求干净整洁，护栏扶手每日至少擦拭2遍，要求表面光亮无尘，墙面每周清扫一遍，要求无尘，消防器材每日擦拭1遍，要求无尘，无污渍、无烟蒂等杂物。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2.5</w:t>
      </w:r>
      <w:r>
        <w:rPr>
          <w:rFonts w:hint="eastAsia" w:ascii="宋体" w:hAnsi="宋体" w:cs="宋体"/>
          <w:color w:val="auto"/>
          <w:sz w:val="24"/>
        </w:rPr>
        <w:t>楼道顶蓬、楼道扶手、顶蓬每月擦拭1遍，要求无污渍、印迹。楼道扶手每天擦拭2遍，要求表面光亮、无印迹。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2.6</w:t>
      </w:r>
      <w:r>
        <w:rPr>
          <w:rFonts w:hint="eastAsia" w:ascii="宋体" w:hAnsi="宋体" w:cs="宋体"/>
          <w:color w:val="auto"/>
          <w:sz w:val="24"/>
        </w:rPr>
        <w:t>楼道、大厅内公共设施及桌椅每天整体擦拭1遍，随时保持干净，要求无污渍、表面光亮。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2.7</w:t>
      </w:r>
      <w:r>
        <w:rPr>
          <w:rFonts w:hint="eastAsia" w:ascii="宋体" w:hAnsi="宋体" w:cs="宋体"/>
          <w:color w:val="auto"/>
          <w:sz w:val="24"/>
        </w:rPr>
        <w:t>接待室、会议室、值班室、宿舍，每日清洁桌面，地面、座椅、饰物、烟缸等，每周大清一次。标准：地面洁净、桌面光亮、无污渍、无污物。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eastAsia="宋体" w:cs="宋体"/>
          <w:color w:val="auto"/>
          <w:sz w:val="24"/>
        </w:rPr>
      </w:pPr>
      <w:r>
        <w:rPr>
          <w:rFonts w:hint="eastAsia" w:ascii="宋体" w:hAnsi="宋体" w:cs="宋体"/>
          <w:color w:val="auto"/>
          <w:sz w:val="24"/>
          <w:lang w:val="en-US" w:eastAsia="zh-CN"/>
        </w:rPr>
        <w:t>2.8</w:t>
      </w:r>
      <w:r>
        <w:rPr>
          <w:rFonts w:hint="eastAsia" w:ascii="宋体" w:hAnsi="宋体" w:cs="宋体"/>
          <w:color w:val="auto"/>
          <w:sz w:val="24"/>
        </w:rPr>
        <w:t>卫生间洗手池、洁池每天整体擦拭1遍，保持干净，要求无污渍、无碱锈、无异味。门窗、玻璃、顶蓬、管道、墙壁每天整体擦拭1遍，随时保持干净，要求无浮尘、无污渍、垃圾袋每天至少更换</w:t>
      </w:r>
      <w:r>
        <w:rPr>
          <w:rFonts w:hint="eastAsia" w:ascii="宋体" w:hAnsi="宋体" w:cs="宋体"/>
          <w:color w:val="auto"/>
          <w:sz w:val="24"/>
          <w:lang w:val="en-US" w:eastAsia="zh-CN"/>
        </w:rPr>
        <w:t>3</w:t>
      </w:r>
      <w:r>
        <w:rPr>
          <w:rFonts w:hint="eastAsia" w:ascii="宋体" w:hAnsi="宋体" w:cs="宋体"/>
          <w:color w:val="auto"/>
          <w:sz w:val="24"/>
        </w:rPr>
        <w:t>次，垃圾运送道指定地点</w:t>
      </w:r>
      <w:r>
        <w:rPr>
          <w:rFonts w:hint="eastAsia" w:ascii="宋体" w:hAnsi="宋体" w:cs="宋体"/>
          <w:color w:val="auto"/>
          <w:sz w:val="24"/>
          <w:lang w:eastAsia="zh-CN"/>
        </w:rPr>
        <w:t>，卫</w:t>
      </w:r>
      <w:r>
        <w:rPr>
          <w:rFonts w:hint="eastAsia" w:ascii="宋体" w:hAnsi="宋体" w:eastAsia="宋体" w:cs="宋体"/>
          <w:color w:val="auto"/>
          <w:sz w:val="24"/>
          <w:lang w:eastAsia="zh-CN"/>
        </w:rPr>
        <w:t>生间地面每天擦拭</w:t>
      </w:r>
      <w:r>
        <w:rPr>
          <w:rFonts w:hint="eastAsia" w:ascii="宋体" w:hAnsi="宋体" w:eastAsia="宋体" w:cs="宋体"/>
          <w:color w:val="auto"/>
          <w:sz w:val="24"/>
          <w:lang w:val="en-US" w:eastAsia="zh-CN"/>
        </w:rPr>
        <w:t>3遍，</w:t>
      </w:r>
      <w:r>
        <w:rPr>
          <w:rFonts w:hint="eastAsia" w:ascii="宋体" w:hAnsi="宋体" w:eastAsia="宋体" w:cs="宋体"/>
          <w:color w:val="auto"/>
          <w:sz w:val="24"/>
          <w:lang w:eastAsia="zh-CN"/>
        </w:rPr>
        <w:t>擦洗后擦干防止滑倒。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2.9</w:t>
      </w:r>
      <w:r>
        <w:rPr>
          <w:rFonts w:hint="eastAsia" w:ascii="宋体" w:hAnsi="宋体" w:eastAsia="宋体" w:cs="宋体"/>
          <w:color w:val="auto"/>
          <w:sz w:val="24"/>
          <w:lang w:eastAsia="zh-CN"/>
        </w:rPr>
        <w:t>值班室和带班室床单、被罩、枕套每周清洗一次。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2.10</w:t>
      </w:r>
      <w:r>
        <w:rPr>
          <w:rFonts w:hint="eastAsia" w:ascii="宋体" w:hAnsi="宋体" w:eastAsia="宋体" w:cs="宋体"/>
          <w:color w:val="auto"/>
          <w:sz w:val="24"/>
          <w:lang w:eastAsia="zh-CN"/>
        </w:rPr>
        <w:t>各办公室，每日清洁门框、地面、烟缸，茶具等，每日</w:t>
      </w:r>
      <w:r>
        <w:rPr>
          <w:rFonts w:hint="eastAsia" w:ascii="宋体" w:hAnsi="宋体" w:eastAsia="宋体" w:cs="宋体"/>
          <w:color w:val="auto"/>
          <w:sz w:val="24"/>
          <w:lang w:val="en-US" w:eastAsia="zh-CN"/>
        </w:rPr>
        <w:t>4点前</w:t>
      </w:r>
      <w:r>
        <w:rPr>
          <w:rFonts w:hint="eastAsia" w:ascii="宋体" w:hAnsi="宋体" w:eastAsia="宋体" w:cs="宋体"/>
          <w:color w:val="auto"/>
          <w:sz w:val="24"/>
          <w:lang w:eastAsia="zh-CN"/>
        </w:rPr>
        <w:t>收取垃圾。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2.11 领导办公室，每日清洁桌面，地面、座椅、饰物、烟缸等，每周大清一次。标准：地面洁净、桌面光亮、无污渍、无污物。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2.12</w:t>
      </w:r>
      <w:r>
        <w:rPr>
          <w:rFonts w:hint="eastAsia" w:ascii="宋体" w:hAnsi="宋体" w:eastAsia="宋体" w:cs="宋体"/>
          <w:color w:val="auto"/>
          <w:sz w:val="24"/>
        </w:rPr>
        <w:t>院区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eastAsia="zh-CN"/>
        </w:rPr>
        <w:t>①</w:t>
      </w:r>
      <w:r>
        <w:rPr>
          <w:rFonts w:hint="eastAsia" w:ascii="宋体" w:hAnsi="宋体" w:cs="宋体"/>
          <w:color w:val="auto"/>
          <w:sz w:val="24"/>
        </w:rPr>
        <w:t>大院</w:t>
      </w:r>
      <w:r>
        <w:rPr>
          <w:rFonts w:hint="eastAsia" w:ascii="宋体" w:hAnsi="宋体" w:cs="宋体"/>
          <w:color w:val="auto"/>
          <w:sz w:val="24"/>
          <w:lang w:eastAsia="zh-CN"/>
        </w:rPr>
        <w:t>明确专人</w:t>
      </w:r>
      <w:r>
        <w:rPr>
          <w:rFonts w:hint="eastAsia" w:ascii="宋体" w:hAnsi="宋体" w:cs="宋体"/>
          <w:color w:val="auto"/>
          <w:sz w:val="24"/>
        </w:rPr>
        <w:t>每天早7:30前清扫1次，每日巡视随清，确保无杂物堆积，院区摆设每日清洁。标准：无尘土，无污渍。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eastAsia="zh-CN"/>
        </w:rPr>
        <w:t>②</w:t>
      </w:r>
      <w:r>
        <w:rPr>
          <w:rFonts w:hint="eastAsia" w:ascii="宋体" w:hAnsi="宋体" w:cs="宋体"/>
          <w:color w:val="auto"/>
          <w:sz w:val="24"/>
        </w:rPr>
        <w:t>大门口周边及院区每日循环清洁，每周大清一次。标准：无烟头、无纸屑、无杂物。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eastAsia="zh-CN"/>
        </w:rPr>
        <w:t>③</w:t>
      </w:r>
      <w:r>
        <w:rPr>
          <w:rFonts w:hint="eastAsia" w:ascii="宋体" w:hAnsi="宋体" w:cs="宋体"/>
          <w:color w:val="auto"/>
          <w:sz w:val="24"/>
        </w:rPr>
        <w:t>雨雪天气及时对门前场院积水、积雪进行清扫，夜间降雪在次日8点前清扫完毕。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2.13</w:t>
      </w:r>
      <w:r>
        <w:rPr>
          <w:rFonts w:hint="eastAsia" w:ascii="宋体" w:hAnsi="宋体" w:cs="宋体"/>
          <w:color w:val="auto"/>
          <w:sz w:val="24"/>
          <w:lang w:eastAsia="zh-CN"/>
        </w:rPr>
        <w:t>公共区域内</w:t>
      </w:r>
      <w:r>
        <w:rPr>
          <w:rFonts w:hint="eastAsia" w:ascii="宋体" w:hAnsi="宋体" w:cs="宋体"/>
          <w:color w:val="auto"/>
          <w:sz w:val="24"/>
        </w:rPr>
        <w:t>玻璃，所有玻璃（防火墙、雨厦、外檐）每月至少整体清洗1遍，雨后及时清洗，保持干净。要求玻璃保持明亮、框槽无尘土、无污渍、印迹。玻璃门随时擦拭，保持干净。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2.14</w:t>
      </w:r>
      <w:r>
        <w:rPr>
          <w:rFonts w:hint="eastAsia" w:ascii="宋体" w:hAnsi="宋体" w:cs="宋体"/>
          <w:color w:val="auto"/>
          <w:sz w:val="24"/>
        </w:rPr>
        <w:t>门前坡道、台阶、垃圾桶、不锈钢栏杆、地面随时清扫，垃圾袋随时更换，要求地面干净、无杂物、纸削、烟蒂等。垃圾桶、栏杆表面光亮整洁、无印迹。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2.15</w:t>
      </w:r>
      <w:r>
        <w:rPr>
          <w:rFonts w:hint="eastAsia" w:ascii="宋体" w:hAnsi="宋体" w:cs="宋体"/>
          <w:color w:val="auto"/>
          <w:sz w:val="24"/>
        </w:rPr>
        <w:t>在进行湿拖、洗地机作业、雨天时要在作业区醒目位置放置警示牌，放置人员滑到或绊倒。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2.16</w:t>
      </w:r>
      <w:r>
        <w:rPr>
          <w:rFonts w:hint="eastAsia" w:ascii="宋体" w:hAnsi="宋体" w:cs="宋体"/>
          <w:color w:val="auto"/>
          <w:sz w:val="24"/>
        </w:rPr>
        <w:t>检查保洁范围要求有专人每小时巡视检查1遍，发现问题随时解决，及时填写检查记录。</w:t>
      </w:r>
    </w:p>
    <w:p>
      <w:pPr>
        <w:pStyle w:val="2"/>
        <w:ind w:firstLine="448" w:firstLineChars="200"/>
      </w:pPr>
      <w:r>
        <w:rPr>
          <w:rFonts w:hint="eastAsia" w:ascii="宋体" w:hAnsi="宋体" w:cs="宋体"/>
          <w:sz w:val="24"/>
        </w:rPr>
        <w:t>2.17五一、十一、春节三个时间节点的清洗玻璃和全区域大扫除服务，所需清洁用品由中标供应商负责提供。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b/>
          <w:color w:val="auto"/>
          <w:sz w:val="24"/>
        </w:rPr>
      </w:pPr>
      <w:r>
        <w:rPr>
          <w:rFonts w:hint="eastAsia" w:ascii="宋体" w:hAnsi="宋体" w:cs="宋体"/>
          <w:b/>
          <w:color w:val="auto"/>
          <w:sz w:val="24"/>
          <w:lang w:val="en-US" w:eastAsia="zh-CN"/>
        </w:rPr>
        <w:t>2.</w:t>
      </w:r>
      <w:r>
        <w:rPr>
          <w:rFonts w:hint="eastAsia" w:ascii="宋体" w:hAnsi="宋体" w:cs="宋体"/>
          <w:b/>
          <w:color w:val="auto"/>
          <w:sz w:val="24"/>
        </w:rPr>
        <w:t>秩序维护</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rightChars="0" w:firstLine="448" w:firstLineChars="200"/>
        <w:textAlignment w:val="auto"/>
        <w:rPr>
          <w:rFonts w:hint="eastAsia" w:ascii="宋体" w:hAnsi="宋体" w:cs="宋体"/>
          <w:b/>
          <w:color w:val="auto"/>
          <w:sz w:val="24"/>
        </w:rPr>
      </w:pPr>
      <w:r>
        <w:rPr>
          <w:rFonts w:hint="eastAsia" w:ascii="宋体" w:hAnsi="宋体" w:cs="宋体"/>
          <w:b/>
          <w:color w:val="auto"/>
          <w:sz w:val="24"/>
        </w:rPr>
        <w:t>（1）服务内容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rPr>
        <w:t>秩序维护管理服务范围包括司法局机关大楼、公共法律服务中心、矫正中心及交调中心的所有区域；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.1 服务范围内导行、值勤、巡逻、秩序维护；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.2 区域内车辆管理；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.3 消防设施巡视、管理；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.4 突发事件应急处理。</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rightChars="0" w:firstLine="448" w:firstLineChars="200"/>
        <w:textAlignment w:val="auto"/>
        <w:rPr>
          <w:rFonts w:hint="eastAsia" w:ascii="宋体" w:hAnsi="宋体" w:cs="宋体"/>
          <w:b/>
          <w:color w:val="auto"/>
          <w:sz w:val="24"/>
        </w:rPr>
      </w:pPr>
      <w:r>
        <w:rPr>
          <w:rFonts w:hint="eastAsia" w:ascii="宋体" w:hAnsi="宋体" w:cs="宋体"/>
          <w:b/>
          <w:color w:val="auto"/>
          <w:sz w:val="24"/>
        </w:rPr>
        <w:t>（2）服务标准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2.1</w:t>
      </w:r>
      <w:r>
        <w:rPr>
          <w:rFonts w:hint="eastAsia" w:ascii="宋体" w:hAnsi="宋体" w:cs="宋体"/>
          <w:color w:val="auto"/>
          <w:sz w:val="24"/>
        </w:rPr>
        <w:t>办公秩序井然。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2.2</w:t>
      </w:r>
      <w:r>
        <w:rPr>
          <w:rFonts w:hint="eastAsia" w:ascii="宋体" w:hAnsi="宋体" w:cs="宋体"/>
          <w:color w:val="auto"/>
          <w:sz w:val="24"/>
        </w:rPr>
        <w:t>仪表整洁、言行举止得体。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2.3</w:t>
      </w:r>
      <w:r>
        <w:rPr>
          <w:rFonts w:hint="eastAsia" w:ascii="宋体" w:hAnsi="宋体" w:cs="宋体"/>
          <w:color w:val="auto"/>
          <w:sz w:val="24"/>
        </w:rPr>
        <w:t>模范遵守国家法令、法规，依法办事。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2.4</w:t>
      </w:r>
      <w:r>
        <w:rPr>
          <w:rFonts w:hint="eastAsia" w:ascii="宋体" w:hAnsi="宋体" w:cs="宋体"/>
          <w:color w:val="auto"/>
          <w:sz w:val="24"/>
        </w:rPr>
        <w:t>坚守岗位，保持高度警惕，预防治安案件的发生。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2.5</w:t>
      </w:r>
      <w:r>
        <w:rPr>
          <w:rFonts w:hint="eastAsia" w:ascii="宋体" w:hAnsi="宋体" w:cs="宋体"/>
          <w:color w:val="auto"/>
          <w:sz w:val="24"/>
        </w:rPr>
        <w:t>积极配合会议服务、维修等其它服务，制止违章行为；防止破坏，不能制止解决的向主管报告。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2.6</w:t>
      </w:r>
      <w:r>
        <w:rPr>
          <w:rFonts w:hint="eastAsia" w:ascii="宋体" w:hAnsi="宋体" w:cs="宋体"/>
          <w:color w:val="auto"/>
          <w:sz w:val="24"/>
        </w:rPr>
        <w:t>熟悉和爱护配套公共设施、消防器材，并熟练掌握各种灭火器材的使用方法。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b/>
          <w:color w:val="auto"/>
          <w:sz w:val="24"/>
          <w:lang w:val="en-US" w:eastAsia="zh-CN"/>
        </w:rPr>
        <w:t>.</w:t>
      </w:r>
      <w:r>
        <w:rPr>
          <w:rFonts w:hint="eastAsia" w:ascii="宋体" w:hAnsi="宋体" w:cs="宋体"/>
          <w:b/>
          <w:color w:val="auto"/>
          <w:sz w:val="24"/>
        </w:rPr>
        <w:t>设备维护服务</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rightChars="0" w:firstLine="448" w:firstLineChars="200"/>
        <w:textAlignment w:val="auto"/>
        <w:rPr>
          <w:rFonts w:hint="eastAsia" w:ascii="宋体" w:hAnsi="宋体" w:cs="宋体"/>
          <w:color w:val="auto"/>
          <w:sz w:val="24"/>
        </w:rPr>
      </w:pPr>
      <w:r>
        <w:rPr>
          <w:rFonts w:hint="eastAsia" w:ascii="宋体" w:hAnsi="宋体" w:cs="宋体"/>
          <w:b/>
          <w:color w:val="auto"/>
          <w:sz w:val="24"/>
        </w:rPr>
        <w:t>（1）服务内容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日常零星维修作业。消防系统进行日常巡视管理。</w:t>
      </w:r>
      <w:r>
        <w:rPr>
          <w:rFonts w:hint="eastAsia" w:ascii="宋体" w:hAnsi="宋体" w:cs="宋体"/>
          <w:color w:val="auto"/>
          <w:sz w:val="24"/>
          <w:lang w:eastAsia="zh-CN"/>
        </w:rPr>
        <w:t>日常需对办公环境主动进行维护，对墙面破损进行粉刷，对破损部位主动进行修缮。</w:t>
      </w:r>
    </w:p>
    <w:p>
      <w:pPr>
        <w:pStyle w:val="2"/>
        <w:keepNext w:val="0"/>
        <w:keepLines w:val="0"/>
        <w:pageBreakBefore w:val="0"/>
        <w:widowControl w:val="0"/>
        <w:kinsoku/>
        <w:wordWrap/>
        <w:overflowPunct/>
        <w:topLinePunct w:val="0"/>
        <w:autoSpaceDE/>
        <w:autoSpaceDN/>
        <w:bidi w:val="0"/>
        <w:adjustRightInd/>
        <w:snapToGrid/>
        <w:spacing w:after="0" w:line="360" w:lineRule="auto"/>
        <w:ind w:right="0" w:rightChars="0" w:firstLine="448" w:firstLineChars="200"/>
        <w:textAlignment w:val="auto"/>
        <w:rPr>
          <w:rFonts w:hint="eastAsia" w:ascii="宋体" w:hAnsi="宋体" w:eastAsia="宋体" w:cs="宋体"/>
          <w:b/>
          <w:color w:val="auto"/>
          <w:sz w:val="24"/>
        </w:rPr>
      </w:pP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2</w:t>
      </w:r>
      <w:r>
        <w:rPr>
          <w:rFonts w:hint="eastAsia" w:ascii="宋体" w:hAnsi="宋体" w:eastAsia="宋体" w:cs="宋体"/>
          <w:b/>
          <w:color w:val="auto"/>
          <w:sz w:val="24"/>
          <w:lang w:eastAsia="zh-CN"/>
        </w:rPr>
        <w:t>）</w:t>
      </w:r>
      <w:r>
        <w:rPr>
          <w:rFonts w:hint="eastAsia" w:ascii="宋体" w:hAnsi="宋体" w:eastAsia="宋体" w:cs="宋体"/>
          <w:b/>
          <w:color w:val="auto"/>
          <w:sz w:val="24"/>
        </w:rPr>
        <w:t>服务标准</w:t>
      </w:r>
    </w:p>
    <w:p>
      <w:pPr>
        <w:keepNext w:val="0"/>
        <w:keepLines w:val="0"/>
        <w:pageBreakBefore w:val="0"/>
        <w:widowControl w:val="0"/>
        <w:numPr>
          <w:ilvl w:val="0"/>
          <w:numId w:val="0"/>
        </w:numPr>
        <w:tabs>
          <w:tab w:val="left" w:pos="2880"/>
        </w:tabs>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2.1</w:t>
      </w:r>
      <w:r>
        <w:rPr>
          <w:rFonts w:hint="eastAsia" w:ascii="宋体" w:hAnsi="宋体" w:cs="宋体"/>
          <w:color w:val="auto"/>
          <w:sz w:val="24"/>
        </w:rPr>
        <w:t>每天巡查楼宇设施，责任明确、记录清晰、管理严格。持证上岗率100%</w:t>
      </w:r>
    </w:p>
    <w:p>
      <w:pPr>
        <w:keepNext w:val="0"/>
        <w:keepLines w:val="0"/>
        <w:pageBreakBefore w:val="0"/>
        <w:widowControl w:val="0"/>
        <w:numPr>
          <w:ilvl w:val="0"/>
          <w:numId w:val="0"/>
        </w:numPr>
        <w:tabs>
          <w:tab w:val="left" w:pos="2880"/>
        </w:tabs>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2.2</w:t>
      </w:r>
      <w:r>
        <w:rPr>
          <w:rFonts w:hint="eastAsia" w:ascii="宋体" w:hAnsi="宋体" w:cs="宋体"/>
          <w:color w:val="auto"/>
          <w:sz w:val="24"/>
        </w:rPr>
        <w:t>服务质量满意率：95％</w:t>
      </w:r>
    </w:p>
    <w:p>
      <w:pPr>
        <w:keepNext w:val="0"/>
        <w:keepLines w:val="0"/>
        <w:pageBreakBefore w:val="0"/>
        <w:widowControl w:val="0"/>
        <w:tabs>
          <w:tab w:val="left" w:pos="6"/>
          <w:tab w:val="left" w:pos="2880"/>
        </w:tabs>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2.3</w:t>
      </w:r>
      <w:r>
        <w:rPr>
          <w:rFonts w:hint="eastAsia" w:ascii="宋体" w:hAnsi="宋体" w:cs="宋体"/>
          <w:color w:val="auto"/>
          <w:sz w:val="24"/>
        </w:rPr>
        <w:t>维修时间：接到维修申请后无特殊情况10分钟内到达。原则上小故障30分钟内，一般故障2小时内（不超过8小时），较难故障不超过2天。</w:t>
      </w:r>
    </w:p>
    <w:p>
      <w:pPr>
        <w:keepNext w:val="0"/>
        <w:keepLines w:val="0"/>
        <w:pageBreakBefore w:val="0"/>
        <w:widowControl w:val="0"/>
        <w:tabs>
          <w:tab w:val="left" w:pos="1416"/>
        </w:tabs>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2.4</w:t>
      </w:r>
      <w:r>
        <w:rPr>
          <w:rFonts w:hint="eastAsia" w:ascii="宋体" w:hAnsi="宋体" w:cs="宋体"/>
          <w:color w:val="auto"/>
          <w:sz w:val="24"/>
        </w:rPr>
        <w:t>紧急维修要求5分钟之内到达现场处理，维修及时率100%。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2.5</w:t>
      </w:r>
      <w:r>
        <w:rPr>
          <w:rFonts w:hint="eastAsia" w:ascii="宋体" w:hAnsi="宋体" w:cs="宋体"/>
          <w:color w:val="auto"/>
          <w:sz w:val="24"/>
        </w:rPr>
        <w:t>公共设施视具体情况按天、周、月检查，随坏随修，发现问题及时处理。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b/>
          <w:color w:val="auto"/>
          <w:sz w:val="24"/>
        </w:rPr>
      </w:pPr>
      <w:r>
        <w:rPr>
          <w:rFonts w:hint="eastAsia" w:ascii="宋体" w:hAnsi="宋体" w:cs="宋体"/>
          <w:b/>
          <w:color w:val="auto"/>
          <w:sz w:val="24"/>
        </w:rPr>
        <w:t>4</w:t>
      </w:r>
      <w:r>
        <w:rPr>
          <w:rFonts w:hint="eastAsia" w:ascii="宋体" w:hAnsi="宋体" w:cs="宋体"/>
          <w:b/>
          <w:color w:val="auto"/>
          <w:sz w:val="24"/>
          <w:lang w:val="en-US" w:eastAsia="zh-CN"/>
        </w:rPr>
        <w:t>.</w:t>
      </w:r>
      <w:r>
        <w:rPr>
          <w:rFonts w:hint="eastAsia" w:ascii="宋体" w:hAnsi="宋体" w:cs="宋体"/>
          <w:b/>
          <w:color w:val="auto"/>
          <w:sz w:val="24"/>
        </w:rPr>
        <w:t>食堂管理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b/>
          <w:color w:val="auto"/>
          <w:sz w:val="24"/>
        </w:rPr>
      </w:pPr>
      <w:r>
        <w:rPr>
          <w:rFonts w:hint="eastAsia" w:ascii="宋体" w:hAnsi="宋体" w:cs="宋体"/>
          <w:b/>
          <w:color w:val="auto"/>
          <w:sz w:val="24"/>
        </w:rPr>
        <w:t>（1）食堂服务内容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rPr>
        <w:t>安排专职人员做好食品验收、保管，早中餐的安排、制作、食堂的环境与卫生、安全防范与设备保养、库房管理、炊事机械管理。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color w:val="auto"/>
          <w:lang w:val="en-US" w:eastAsia="zh-CN"/>
        </w:rPr>
      </w:pPr>
      <w:r>
        <w:rPr>
          <w:rFonts w:hint="eastAsia" w:ascii="宋体" w:hAnsi="宋体" w:cs="宋体"/>
          <w:b/>
          <w:color w:val="auto"/>
          <w:sz w:val="24"/>
        </w:rPr>
        <w:t>（</w:t>
      </w:r>
      <w:r>
        <w:rPr>
          <w:rFonts w:hint="eastAsia" w:ascii="宋体" w:hAnsi="宋体" w:cs="宋体"/>
          <w:b/>
          <w:color w:val="auto"/>
          <w:sz w:val="24"/>
          <w:lang w:val="en-US" w:eastAsia="zh-CN"/>
        </w:rPr>
        <w:t>2</w:t>
      </w:r>
      <w:r>
        <w:rPr>
          <w:rFonts w:hint="eastAsia" w:ascii="宋体" w:hAnsi="宋体" w:cs="宋体"/>
          <w:b/>
          <w:color w:val="auto"/>
          <w:sz w:val="24"/>
        </w:rPr>
        <w:t>）用餐标准及人数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rPr>
        <w:t>司法局机关工作日早午餐用餐人数50人，餐费标准早餐5元/人，午餐12元/人，晚餐用餐人数2人，餐费标准晚餐10元/人；节假日用餐人数2人，餐费标准早餐5元/人，午餐12元/人，晚餐10元/人。公共法律服务中心工作日早午餐用餐人数32人，周六早午餐用餐人数4人，餐费标准早餐5元/人，午餐12元/人。社区矫正中心工作日早午餐用餐人数13人，餐费标准早餐5元/人，午餐12元/人。（如涉及人员新增、人员减少或有临时用餐人员，以实际用餐人数为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）食堂服务标准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rPr>
        <w:t>食堂管理应遵循以人为本的原则；安全第一的原则；低成本高营养的原则；规范统一的原则，确保广大干部职工吃饱吃好吃得健康</w:t>
      </w:r>
      <w:r>
        <w:rPr>
          <w:rFonts w:hint="eastAsia" w:ascii="宋体" w:hAnsi="宋体" w:cs="宋体"/>
          <w:color w:val="auto"/>
          <w:sz w:val="24"/>
          <w:lang w:val="en-US" w:eastAsia="zh-CN"/>
        </w:rPr>
        <w:t>,保证菜品多样化，翻新满足大众口味</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3.1</w:t>
      </w:r>
      <w:r>
        <w:rPr>
          <w:rFonts w:hint="eastAsia" w:ascii="宋体" w:hAnsi="宋体" w:cs="宋体"/>
          <w:color w:val="auto"/>
          <w:sz w:val="24"/>
        </w:rPr>
        <w:t>食堂工作人员必须定期进行身体检查，持有健康合格证。严格执行《中华人民共和国食品</w:t>
      </w:r>
      <w:r>
        <w:rPr>
          <w:rFonts w:hint="eastAsia" w:ascii="宋体" w:hAnsi="宋体" w:cs="宋体"/>
          <w:color w:val="auto"/>
          <w:sz w:val="24"/>
          <w:lang w:val="en-US" w:eastAsia="zh-CN"/>
        </w:rPr>
        <w:t>安全</w:t>
      </w:r>
      <w:r>
        <w:rPr>
          <w:rFonts w:hint="eastAsia" w:ascii="宋体" w:hAnsi="宋体" w:cs="宋体"/>
          <w:color w:val="auto"/>
          <w:sz w:val="24"/>
        </w:rPr>
        <w:t>法》，保证就餐人员的饮食卫生。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2食堂工作人员必须保持食品和冰箱存放食品的清洁卫生。合理储存食品，做到餐具和食品生熟、荤素分开，防止食品相互交叉污染。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3工作人员要坚持厨房、餐厅每天清扫、擦净，保持卫生、整洁。要求做到墙面洁白、无蛛网、浮灰，厨房无油污，桌面、凳子无油迹，地面光亮。食堂工作人员上灶要戴工作帽、穿工作服，保持衣服整洁。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4餐具一律每天清洗、消毒，严禁不洁餐具使用。对燃气灶具开关、燃气管、减压阀等设备定期进行安全检查。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5提前一周向甲方提供下周的食谱，并因节假日、民俗等因素,对食谱适时进行调整，并对当日的材料消耗进行成本核算，报送司法局机关相关科室。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6午餐一般一个大荤餐、两个荤菜、三个素菜、两个汤、主食两种以上；早餐主食两种以上，汤粥两种以上，小菜6个。</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8"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7食堂每月至少一次征求甲方意见，满意度要求达到90%以上，如一个月达不到90%以上满意度，扣除当月食材费用20%，如三个月达不到90%满意度，甲方有权解除合同。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四</w:t>
      </w:r>
      <w:r>
        <w:rPr>
          <w:rFonts w:hint="eastAsia" w:ascii="Times New Roman" w:hAnsi="Times New Roman" w:cs="Times New Roman"/>
          <w:b/>
          <w:color w:val="auto"/>
          <w:sz w:val="24"/>
          <w:szCs w:val="24"/>
        </w:rPr>
        <w:t>、应急服务要求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当出现不可预知紧急情况时</w:t>
      </w:r>
      <w:r>
        <w:rPr>
          <w:rFonts w:hint="eastAsia" w:ascii="Times New Roman" w:hAnsi="Times New Roman" w:cs="Times New Roman"/>
          <w:color w:val="auto"/>
          <w:sz w:val="24"/>
          <w:szCs w:val="24"/>
        </w:rPr>
        <w:t>（例如停水停电、极端天气、群体事件、自然灾害等，可根据项目具体情况列举），</w:t>
      </w:r>
      <w:r>
        <w:rPr>
          <w:rFonts w:ascii="Times New Roman" w:hAnsi="Times New Roman" w:cs="Times New Roman"/>
          <w:color w:val="auto"/>
          <w:sz w:val="24"/>
          <w:szCs w:val="24"/>
        </w:rPr>
        <w:t>保证服务正常运转的措施</w:t>
      </w:r>
      <w:r>
        <w:rPr>
          <w:rFonts w:hint="eastAsia" w:ascii="Times New Roman" w:hAnsi="Times New Roman" w:cs="Times New Roman"/>
          <w:color w:val="auto"/>
          <w:sz w:val="24"/>
          <w:szCs w:val="24"/>
        </w:rPr>
        <w:t>，包括但不限于</w:t>
      </w:r>
      <w:r>
        <w:rPr>
          <w:rFonts w:ascii="Times New Roman" w:hAnsi="Times New Roman" w:cs="Times New Roman"/>
          <w:color w:val="auto"/>
          <w:sz w:val="24"/>
          <w:szCs w:val="24"/>
        </w:rPr>
        <w:t>临时增配人员</w:t>
      </w:r>
      <w:r>
        <w:rPr>
          <w:rFonts w:hint="eastAsia" w:ascii="Times New Roman" w:hAnsi="Times New Roman" w:cs="Times New Roman"/>
          <w:color w:val="auto"/>
          <w:sz w:val="24"/>
          <w:szCs w:val="24"/>
        </w:rPr>
        <w:t>、临时调集设备、现有人员岗位职责临时增加、与相关政府部门协调配合等。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五</w:t>
      </w:r>
      <w:r>
        <w:rPr>
          <w:rFonts w:hint="eastAsia" w:ascii="Times New Roman" w:hAnsi="Times New Roman" w:cs="Times New Roman"/>
          <w:b/>
          <w:color w:val="auto"/>
          <w:sz w:val="24"/>
          <w:szCs w:val="24"/>
        </w:rPr>
        <w:t>、人员保密要求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保证服务过程中有可能获取的保密信息不泄露的措施，包括但不限于制定保密制度、服务人员保密培训、重点岗位双人服务、泄密惩罚办法。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六</w:t>
      </w:r>
      <w:r>
        <w:rPr>
          <w:rFonts w:hint="eastAsia" w:ascii="Times New Roman" w:hAnsi="Times New Roman" w:cs="Times New Roman"/>
          <w:b/>
          <w:color w:val="auto"/>
          <w:sz w:val="24"/>
          <w:szCs w:val="24"/>
        </w:rPr>
        <w:t>、人员稳定性要求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在整个服务期内，人员更换率不得超过</w:t>
      </w:r>
      <w:r>
        <w:rPr>
          <w:rFonts w:hint="eastAsia" w:ascii="Times New Roman" w:hAnsi="Times New Roman" w:cs="Times New Roman"/>
          <w:color w:val="auto"/>
          <w:sz w:val="24"/>
          <w:szCs w:val="24"/>
          <w:u w:val="single"/>
        </w:rPr>
        <w:t xml:space="preserve"> </w:t>
      </w:r>
      <w:r>
        <w:rPr>
          <w:rFonts w:hint="eastAsia" w:ascii="Times New Roman" w:hAnsi="Times New Roman" w:cs="Times New Roman"/>
          <w:color w:val="auto"/>
          <w:sz w:val="24"/>
          <w:szCs w:val="24"/>
          <w:u w:val="single"/>
          <w:lang w:val="en-US" w:eastAsia="zh-CN"/>
        </w:rPr>
        <w:t xml:space="preserve">10 </w:t>
      </w:r>
      <w:r>
        <w:rPr>
          <w:rFonts w:hint="eastAsia" w:ascii="Times New Roman" w:hAnsi="Times New Roman" w:cs="Times New Roman"/>
          <w:color w:val="auto"/>
          <w:sz w:val="24"/>
          <w:szCs w:val="24"/>
        </w:rPr>
        <w:t>%，更换人员不得低于采购需求，且应经采购人同意。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七</w:t>
      </w:r>
      <w:r>
        <w:rPr>
          <w:rFonts w:hint="eastAsia" w:ascii="Times New Roman" w:hAnsi="Times New Roman" w:cs="Times New Roman"/>
          <w:b/>
          <w:color w:val="auto"/>
          <w:sz w:val="24"/>
          <w:szCs w:val="24"/>
        </w:rPr>
        <w:t>、进驻和接管要求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八</w:t>
      </w:r>
      <w:r>
        <w:rPr>
          <w:rFonts w:hint="eastAsia" w:ascii="Times New Roman" w:hAnsi="Times New Roman" w:cs="Times New Roman"/>
          <w:b/>
          <w:color w:val="auto"/>
          <w:sz w:val="24"/>
          <w:szCs w:val="24"/>
        </w:rPr>
        <w:t>、费用分割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日常工作中所用到的保洁工具及消耗品如：清洁剂、洁厕灵、拖把、生活垃圾袋、洗手液、卷纸及大盘纸等均由</w:t>
      </w:r>
      <w:r>
        <w:rPr>
          <w:rFonts w:hint="eastAsia" w:ascii="宋体" w:hAnsi="宋体" w:cs="宋体"/>
          <w:color w:val="auto"/>
          <w:sz w:val="24"/>
          <w:lang w:val="en-US" w:eastAsia="zh-CN"/>
        </w:rPr>
        <w:t>中标供应商</w:t>
      </w:r>
      <w:r>
        <w:rPr>
          <w:rFonts w:hint="eastAsia" w:ascii="宋体" w:hAnsi="宋体" w:cs="宋体"/>
          <w:color w:val="auto"/>
          <w:sz w:val="24"/>
        </w:rPr>
        <w:t>提供；</w:t>
      </w:r>
      <w:r>
        <w:rPr>
          <w:rFonts w:hint="eastAsia" w:ascii="宋体" w:hAnsi="宋体" w:cs="宋体"/>
          <w:sz w:val="24"/>
        </w:rPr>
        <w:t>秩序维护工具耗材由中标供应商提供</w:t>
      </w:r>
      <w:r>
        <w:rPr>
          <w:rFonts w:hint="eastAsia" w:ascii="宋体" w:hAnsi="宋体" w:cs="宋体"/>
          <w:sz w:val="24"/>
          <w:lang w:eastAsia="zh-CN"/>
        </w:rPr>
        <w:t>；</w:t>
      </w:r>
      <w:r>
        <w:rPr>
          <w:rFonts w:hint="eastAsia" w:ascii="宋体" w:hAnsi="宋体" w:cs="宋体"/>
          <w:color w:val="auto"/>
          <w:sz w:val="24"/>
        </w:rPr>
        <w:t>维修工具及材料由采购人提供。采购人将提供存放工具、换衣、休息等场所，具体面积及数量由</w:t>
      </w:r>
      <w:r>
        <w:rPr>
          <w:rFonts w:hint="eastAsia" w:ascii="宋体" w:hAnsi="宋体" w:cs="宋体"/>
          <w:color w:val="auto"/>
          <w:sz w:val="24"/>
          <w:lang w:val="en-US" w:eastAsia="zh-CN"/>
        </w:rPr>
        <w:t>中标供应商</w:t>
      </w:r>
      <w:r>
        <w:rPr>
          <w:rFonts w:hint="eastAsia" w:ascii="宋体" w:hAnsi="宋体" w:cs="宋体"/>
          <w:color w:val="auto"/>
          <w:sz w:val="24"/>
        </w:rPr>
        <w:t>出采购人协商确定，此类场所不计租金，水电费、管理费。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rPr>
      </w:pPr>
      <w:r>
        <w:rPr>
          <w:rFonts w:hint="eastAsia" w:ascii="宋体" w:hAnsi="宋体" w:cs="宋体"/>
          <w:strike w:val="0"/>
          <w:dstrike w:val="0"/>
          <w:color w:val="auto"/>
          <w:sz w:val="24"/>
          <w:lang w:val="en-US" w:eastAsia="zh-CN"/>
        </w:rPr>
        <w:t>2.</w:t>
      </w:r>
      <w:r>
        <w:rPr>
          <w:rFonts w:hint="eastAsia" w:ascii="宋体" w:hAnsi="宋体" w:cs="宋体"/>
          <w:strike w:val="0"/>
          <w:dstrike w:val="0"/>
          <w:color w:val="auto"/>
          <w:sz w:val="24"/>
        </w:rPr>
        <w:t>采购人负责配备足够的厨房设施设备以满足日常工作需要。如因硬件条件不达标导致的检查验收不合格或满足不了服务需求，采购人负责改造和增加设备。食堂零星小型</w:t>
      </w:r>
      <w:r>
        <w:rPr>
          <w:rFonts w:hint="eastAsia" w:ascii="宋体" w:hAnsi="宋体" w:cs="宋体"/>
          <w:color w:val="auto"/>
          <w:sz w:val="24"/>
        </w:rPr>
        <w:t>锅碗瓢盆、餐盘、杯子、电饭锅等（不包含大批更换）由</w:t>
      </w:r>
      <w:r>
        <w:rPr>
          <w:rFonts w:hint="eastAsia" w:ascii="宋体" w:hAnsi="宋体" w:cs="宋体"/>
          <w:color w:val="auto"/>
          <w:sz w:val="24"/>
          <w:lang w:eastAsia="zh-CN"/>
        </w:rPr>
        <w:t>采购人</w:t>
      </w:r>
      <w:r>
        <w:rPr>
          <w:rFonts w:hint="eastAsia" w:ascii="宋体" w:hAnsi="宋体" w:cs="宋体"/>
          <w:color w:val="auto"/>
          <w:sz w:val="24"/>
        </w:rPr>
        <w:t>负责购买。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食堂餐饮服务中使用的水、电、气及日日用耗材等费用由采购人提供。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4.餐饮服务中涉及的食材、调料等采买费用由供应商承担。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5.公共法律服务中心工作人员的早餐和午餐由社矫中心食堂做好，并于早8：00前和中午11：15分之前送到公共法律服务中心并做好分餐服务，送餐的车辆和人员费用包含在报价中。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6.物业服务人员的服装，由中标供应商自行提供。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7.中标供应商自备办公设备和耗材。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hint="default" w:eastAsia="宋体"/>
          <w:color w:val="auto"/>
          <w:lang w:val="en-US" w:eastAsia="zh-CN"/>
        </w:rPr>
      </w:pPr>
      <w:r>
        <w:rPr>
          <w:rFonts w:hint="eastAsia" w:ascii="宋体" w:hAnsi="宋体" w:cs="宋体"/>
          <w:color w:val="auto"/>
          <w:sz w:val="24"/>
          <w:lang w:val="en-US" w:eastAsia="zh-CN"/>
        </w:rPr>
        <w:t>8.</w:t>
      </w:r>
      <w:r>
        <w:rPr>
          <w:rFonts w:hint="eastAsia" w:ascii="宋体" w:hAnsi="宋体" w:cs="宋体"/>
          <w:color w:val="auto"/>
          <w:sz w:val="24"/>
        </w:rPr>
        <w:t>采购人不安排</w:t>
      </w:r>
      <w:r>
        <w:rPr>
          <w:rFonts w:hint="eastAsia" w:ascii="宋体" w:hAnsi="宋体" w:cs="宋体"/>
          <w:color w:val="auto"/>
          <w:sz w:val="24"/>
          <w:lang w:eastAsia="zh-CN"/>
        </w:rPr>
        <w:t>中标供应商</w:t>
      </w:r>
      <w:r>
        <w:rPr>
          <w:rFonts w:hint="eastAsia" w:ascii="宋体" w:hAnsi="宋体" w:cs="宋体"/>
          <w:color w:val="auto"/>
          <w:sz w:val="24"/>
        </w:rPr>
        <w:t>员的住宿。</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cs="Times New Roman"/>
          <w:b/>
          <w:color w:val="auto"/>
          <w:sz w:val="24"/>
          <w:szCs w:val="24"/>
        </w:rPr>
      </w:pPr>
      <w:r>
        <w:rPr>
          <w:rFonts w:hint="eastAsia" w:cs="Times New Roman"/>
          <w:b/>
          <w:color w:val="auto"/>
          <w:sz w:val="24"/>
          <w:szCs w:val="24"/>
          <w:lang w:val="en-US" w:eastAsia="zh-CN"/>
        </w:rPr>
        <w:t>九</w:t>
      </w:r>
      <w:r>
        <w:rPr>
          <w:rFonts w:hint="eastAsia" w:ascii="Times New Roman" w:hAnsi="Times New Roman" w:cs="Times New Roman"/>
          <w:b/>
          <w:color w:val="auto"/>
          <w:sz w:val="24"/>
          <w:szCs w:val="24"/>
        </w:rPr>
        <w:t>、服务过程中，对中标供应商评价考核验收标准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48"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1.由采购人成立验收小组,按照招标文件要求、投标文件响应和采购合同的约定对</w:t>
      </w:r>
      <w:r>
        <w:rPr>
          <w:rFonts w:hint="eastAsia" w:cs="Times New Roman"/>
          <w:color w:val="auto"/>
          <w:sz w:val="24"/>
          <w:lang w:val="en-US" w:eastAsia="zh-CN"/>
        </w:rPr>
        <w:t>中标供应商</w:t>
      </w:r>
      <w:r>
        <w:rPr>
          <w:rFonts w:hint="eastAsia" w:ascii="Times New Roman" w:hAnsi="Times New Roman" w:eastAsia="宋体" w:cs="Times New Roman"/>
          <w:color w:val="auto"/>
          <w:sz w:val="24"/>
          <w:lang w:val="en-US" w:eastAsia="zh-CN"/>
        </w:rPr>
        <w:t>履约情况进行验收。验收时，按照采购合同的约定对每一项技术、服务、安全标准的履约情况进行确认。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不定期对日常服务项目进行检查，在检查中对不合质量要求的人员，采购人有权提出更换。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对不遵守劳动纪律，且有工作人员及患者投诉，经查实后酌情处罚，情节严重的采购人有权要求</w:t>
      </w:r>
      <w:r>
        <w:rPr>
          <w:rFonts w:hint="eastAsia" w:ascii="宋体" w:hAnsi="宋体" w:cs="宋体"/>
          <w:color w:val="auto"/>
          <w:sz w:val="24"/>
          <w:lang w:eastAsia="zh-CN"/>
        </w:rPr>
        <w:t>中标供应商</w:t>
      </w:r>
      <w:r>
        <w:rPr>
          <w:rFonts w:hint="eastAsia" w:ascii="宋体" w:hAnsi="宋体" w:cs="宋体"/>
          <w:color w:val="auto"/>
          <w:sz w:val="24"/>
        </w:rPr>
        <w:t>辞退。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48" w:firstLineChars="200"/>
        <w:textAlignment w:val="auto"/>
        <w:rPr>
          <w:rFonts w:hint="eastAsia" w:ascii="宋体" w:hAnsi="宋体" w:cs="宋体"/>
          <w:b/>
          <w:color w:val="auto"/>
          <w:sz w:val="24"/>
          <w:lang w:val="en-US" w:eastAsia="zh-CN"/>
        </w:rPr>
      </w:pPr>
      <w:r>
        <w:rPr>
          <w:rFonts w:hint="eastAsia" w:ascii="宋体" w:hAnsi="宋体" w:cs="宋体"/>
          <w:color w:val="auto"/>
          <w:sz w:val="24"/>
          <w:lang w:val="en-US" w:eastAsia="zh-CN"/>
        </w:rPr>
        <w:t>4.</w:t>
      </w:r>
      <w:r>
        <w:rPr>
          <w:rFonts w:hint="eastAsia" w:ascii="宋体" w:hAnsi="宋体" w:cs="宋体"/>
          <w:color w:val="auto"/>
          <w:sz w:val="24"/>
        </w:rPr>
        <w:t>每月至少一次征求天津市津南区司法局意见，满意度要求达到90%以上。</w:t>
      </w:r>
      <w:r>
        <w:rPr>
          <w:rFonts w:hint="eastAsia" w:ascii="宋体" w:hAnsi="宋体" w:cs="宋体"/>
          <w:b/>
          <w:color w:val="auto"/>
          <w:sz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firstLine="448" w:firstLineChars="200"/>
        <w:textAlignment w:val="auto"/>
        <w:rPr>
          <w:color w:val="auto"/>
        </w:rPr>
      </w:pPr>
      <w:r>
        <w:rPr>
          <w:rFonts w:hint="eastAsia" w:ascii="宋体" w:hAnsi="宋体" w:eastAsia="宋体" w:cs="宋体"/>
          <w:color w:val="auto"/>
          <w:kern w:val="2"/>
          <w:sz w:val="24"/>
          <w:szCs w:val="24"/>
          <w:lang w:val="en-US" w:eastAsia="zh-CN" w:bidi="ar-SA"/>
        </w:rPr>
        <w:t>5.项目经理需常驻津南区司法局项目，并保证工作人员足额上岗。如</w:t>
      </w:r>
      <w:r>
        <w:rPr>
          <w:rFonts w:hint="eastAsia" w:ascii="宋体" w:hAnsi="宋体" w:cs="宋体"/>
          <w:color w:val="auto"/>
          <w:kern w:val="2"/>
          <w:sz w:val="24"/>
          <w:szCs w:val="24"/>
          <w:lang w:val="en-US" w:eastAsia="zh-CN" w:bidi="ar-SA"/>
        </w:rPr>
        <w:t>中标供应商</w:t>
      </w:r>
      <w:r>
        <w:rPr>
          <w:rFonts w:hint="eastAsia" w:ascii="宋体" w:hAnsi="宋体" w:eastAsia="宋体" w:cs="宋体"/>
          <w:color w:val="auto"/>
          <w:kern w:val="2"/>
          <w:sz w:val="24"/>
          <w:szCs w:val="24"/>
          <w:lang w:val="en-US" w:eastAsia="zh-CN" w:bidi="ar-SA"/>
        </w:rPr>
        <w:t>未按合同规定保证工作人员足额上岗，则甲方有权按照所缺岗位人数和天数扣除相应费用。</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ascii="Times New Roman" w:hAnsi="Times New Roman" w:cs="Times New Roman"/>
          <w:b/>
          <w:color w:val="auto"/>
          <w:sz w:val="24"/>
          <w:szCs w:val="24"/>
        </w:rPr>
      </w:pPr>
      <w:r>
        <w:rPr>
          <w:rFonts w:hint="eastAsia" w:ascii="Times New Roman" w:hAnsi="Times New Roman" w:cs="Times New Roman"/>
          <w:b/>
          <w:color w:val="auto"/>
          <w:sz w:val="24"/>
          <w:szCs w:val="24"/>
        </w:rPr>
        <w:t>十、其他要求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按天津市津南区司法局服务管理的总体需求，录用人员具有服务行业从业经验，有良好的服务态度，责任心强，并经严格政审，保证录用人员没有刑事犯罪记录和劣迹。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为保证服务管理工作的高效，</w:t>
      </w:r>
      <w:r>
        <w:rPr>
          <w:rFonts w:hint="eastAsia" w:ascii="宋体" w:hAnsi="宋体" w:cs="宋体"/>
          <w:color w:val="auto"/>
          <w:sz w:val="24"/>
          <w:lang w:val="en-US" w:eastAsia="zh-CN"/>
        </w:rPr>
        <w:t>中标供应商</w:t>
      </w:r>
      <w:r>
        <w:rPr>
          <w:rFonts w:hint="eastAsia" w:ascii="宋体" w:hAnsi="宋体" w:cs="宋体"/>
          <w:color w:val="auto"/>
          <w:sz w:val="24"/>
        </w:rPr>
        <w:t>应成立天津市津南区司法局物业管理服务机构并确定一名项目负责人管理，在合同期内负责人不得随意变动，有特殊原因必须更换的，需征得采购人同意。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48" w:firstLineChars="200"/>
        <w:textAlignment w:val="auto"/>
        <w:rPr>
          <w:rFonts w:hint="eastAsia" w:ascii="宋体" w:hAnsi="宋体" w:cs="宋体"/>
          <w:color w:val="auto"/>
          <w:sz w:val="24"/>
        </w:rPr>
      </w:pPr>
      <w:r>
        <w:rPr>
          <w:rFonts w:hint="eastAsia" w:ascii="宋体" w:hAnsi="宋体" w:cs="宋体"/>
          <w:color w:val="auto"/>
          <w:sz w:val="24"/>
          <w:lang w:val="en-US" w:eastAsia="zh-CN"/>
        </w:rPr>
        <w:t>3.中标供应商</w:t>
      </w:r>
      <w:r>
        <w:rPr>
          <w:rFonts w:hint="eastAsia" w:ascii="宋体" w:hAnsi="宋体" w:cs="宋体"/>
          <w:color w:val="auto"/>
          <w:sz w:val="24"/>
        </w:rPr>
        <w:t>应根据天津市津南区司法局特点制定各项管理制度、岗位职责，并排专人进行现场管理，落实好各项制度，采购人将派专（兼）职人员定期或不定期进行全面考核，根据考核结果进行奖惩。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color w:val="auto"/>
          <w:sz w:val="24"/>
        </w:rPr>
      </w:pPr>
      <w:r>
        <w:rPr>
          <w:rFonts w:hint="eastAsia" w:ascii="宋体" w:hAnsi="宋体" w:cs="宋体"/>
          <w:color w:val="auto"/>
          <w:sz w:val="24"/>
          <w:lang w:val="en-US" w:eastAsia="zh-CN"/>
        </w:rPr>
        <w:t>4.中标供应商</w:t>
      </w:r>
      <w:r>
        <w:rPr>
          <w:rFonts w:hint="eastAsia" w:ascii="宋体" w:hAnsi="宋体" w:cs="宋体"/>
          <w:color w:val="auto"/>
          <w:sz w:val="24"/>
        </w:rPr>
        <w:t>应定期对员工进行岗位培训，道德教育，调高服务质量，遵守天津市津</w:t>
      </w:r>
      <w:r>
        <w:rPr>
          <w:rFonts w:hint="eastAsia" w:ascii="宋体" w:hAnsi="宋体" w:eastAsia="宋体" w:cs="宋体"/>
          <w:color w:val="auto"/>
          <w:sz w:val="24"/>
        </w:rPr>
        <w:t>南区司法局机关的各项规章制度。遵守各项安全操作规章制度，若发生人身伤害等工伤事故，有</w:t>
      </w:r>
      <w:r>
        <w:rPr>
          <w:rFonts w:hint="eastAsia" w:ascii="宋体" w:hAnsi="宋体" w:cs="宋体"/>
          <w:color w:val="auto"/>
          <w:sz w:val="24"/>
          <w:lang w:val="en-US" w:eastAsia="zh-CN"/>
        </w:rPr>
        <w:t>中标供应商</w:t>
      </w:r>
      <w:r>
        <w:rPr>
          <w:rFonts w:hint="eastAsia" w:ascii="宋体" w:hAnsi="宋体" w:eastAsia="宋体" w:cs="宋体"/>
          <w:color w:val="auto"/>
          <w:sz w:val="24"/>
        </w:rPr>
        <w:t>自负，与天津市津南区司法局无涉。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cs="宋体"/>
          <w:color w:val="auto"/>
          <w:sz w:val="24"/>
          <w:lang w:val="en-US" w:eastAsia="zh-CN"/>
        </w:rPr>
        <w:t>中标供应商</w:t>
      </w:r>
      <w:r>
        <w:rPr>
          <w:rFonts w:hint="eastAsia" w:ascii="宋体" w:hAnsi="宋体" w:eastAsia="宋体" w:cs="宋体"/>
          <w:color w:val="auto"/>
          <w:sz w:val="24"/>
          <w:lang w:val="en-US" w:eastAsia="zh-CN"/>
        </w:rPr>
        <w:t>应对员工提供配餐服务，</w:t>
      </w:r>
      <w:r>
        <w:rPr>
          <w:rFonts w:hint="eastAsia" w:ascii="宋体" w:hAnsi="宋体" w:eastAsia="宋体" w:cs="宋体"/>
          <w:color w:val="auto"/>
          <w:sz w:val="24"/>
          <w:lang w:eastAsia="zh-CN"/>
        </w:rPr>
        <w:t>费用由</w:t>
      </w:r>
      <w:r>
        <w:rPr>
          <w:rFonts w:hint="eastAsia" w:ascii="宋体" w:hAnsi="宋体" w:cs="宋体"/>
          <w:color w:val="auto"/>
          <w:sz w:val="24"/>
          <w:lang w:val="en-US" w:eastAsia="zh-CN"/>
        </w:rPr>
        <w:t>中标供应商。</w:t>
      </w:r>
      <w:r>
        <w:rPr>
          <w:rFonts w:hint="eastAsia" w:ascii="宋体" w:hAnsi="宋体" w:eastAsia="宋体" w:cs="宋体"/>
          <w:color w:val="auto"/>
          <w:sz w:val="24"/>
          <w:lang w:eastAsia="zh-CN"/>
        </w:rPr>
        <w:t>承担</w:t>
      </w:r>
      <w:r>
        <w:rPr>
          <w:rFonts w:hint="eastAsia" w:ascii="宋体" w:hAnsi="宋体" w:eastAsia="宋体" w:cs="宋体"/>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6.中标供应商应与劳动者签订劳动合同，并为其缴纳社会保险以及公积金。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工作期间员工应佩证上岗，统一着装，衣着端正，服务态度和蔼。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认真履行职责，严格按物业管理质量体系，合理安排岗位，做好天津市津南区司法局室内、外保洁、食堂餐饮管理服务工作。为确保服务的质量，相关岗位不得互相顶替调换。员工应服从天津市津南区司法局监督指导。</w:t>
      </w:r>
    </w:p>
    <w:p>
      <w:pPr>
        <w:widowControl/>
        <w:ind w:firstLine="448" w:firstLineChars="200"/>
        <w:jc w:val="left"/>
        <w:rPr>
          <w:sz w:val="24"/>
        </w:rPr>
      </w:pPr>
    </w:p>
    <w:p>
      <w:pPr>
        <w:widowControl/>
        <w:ind w:firstLine="448" w:firstLineChars="200"/>
        <w:jc w:val="left"/>
        <w:rPr>
          <w:sz w:val="24"/>
        </w:rPr>
      </w:pPr>
    </w:p>
    <w:p>
      <w:pPr>
        <w:widowControl/>
        <w:ind w:firstLine="448" w:firstLineChars="200"/>
        <w:jc w:val="left"/>
        <w:rPr>
          <w:sz w:val="24"/>
        </w:rPr>
      </w:pPr>
    </w:p>
    <w:p>
      <w:pPr>
        <w:widowControl/>
        <w:ind w:firstLine="448" w:firstLineChars="200"/>
        <w:jc w:val="left"/>
        <w:rPr>
          <w:sz w:val="24"/>
        </w:rPr>
      </w:pPr>
    </w:p>
    <w:p>
      <w:pPr>
        <w:widowControl/>
        <w:jc w:val="left"/>
        <w:rPr>
          <w:sz w:val="24"/>
        </w:rPr>
      </w:pPr>
    </w:p>
    <w:p>
      <w:pPr>
        <w:widowControl/>
        <w:jc w:val="left"/>
        <w:rPr>
          <w:sz w:val="24"/>
        </w:rPr>
      </w:pPr>
      <w:r>
        <w:rPr>
          <w:sz w:val="24"/>
        </w:rPr>
        <w:br w:type="page"/>
      </w:r>
    </w:p>
    <w:p>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使用天津市中环认证服务有限公司发出的CA数字证书（原天津市电子认证中心发出尚在有效期内的CA数字证书仍可使用）登陆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天津公共资源电子签章客户端正确读取签章信息为准），并于投标截止时间前上传至天津市政府采购中心招投标系统。</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市中环认证服务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（8）单位负责人或法定代表人为同一人，或者存在控股、管理关系的不同供应商，参加同一包或者未划分包的同一项目投标的，相关投标均无效；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第四部分  合同条款</w:t>
      </w: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2"/>
        <w:numPr>
          <w:ilvl w:val="0"/>
          <w:numId w:val="2"/>
        </w:numPr>
        <w:spacing w:line="480" w:lineRule="exact"/>
        <w:ind w:firstLineChars="0"/>
        <w:rPr>
          <w:sz w:val="24"/>
          <w:szCs w:val="24"/>
        </w:rPr>
      </w:pPr>
      <w:r>
        <w:rPr>
          <w:rFonts w:hint="eastAsia"/>
          <w:sz w:val="24"/>
          <w:szCs w:val="24"/>
        </w:rPr>
        <w:t>本合同为中小企业预留合同</w:t>
      </w:r>
    </w:p>
    <w:p>
      <w:pPr>
        <w:pStyle w:val="32"/>
        <w:numPr>
          <w:ilvl w:val="0"/>
          <w:numId w:val="2"/>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eastAsiaTheme="minorEastAsia"/>
          <w:sz w:val="24"/>
          <w:szCs w:val="24"/>
        </w:rPr>
        <w:t>第一条委托物业的基本情况</w:t>
      </w:r>
    </w:p>
    <w:p>
      <w:pPr>
        <w:spacing w:line="360" w:lineRule="auto"/>
        <w:ind w:firstLine="452" w:firstLineChars="202"/>
        <w:rPr>
          <w:rFonts w:eastAsiaTheme="minorEastAsia"/>
          <w:sz w:val="24"/>
          <w:szCs w:val="24"/>
        </w:rPr>
      </w:pPr>
      <w:r>
        <w:rPr>
          <w:rFonts w:eastAsiaTheme="minorEastAsia"/>
          <w:sz w:val="24"/>
          <w:szCs w:val="24"/>
        </w:rPr>
        <w:t>物业名称：</w:t>
      </w:r>
    </w:p>
    <w:p>
      <w:pPr>
        <w:spacing w:line="360" w:lineRule="auto"/>
        <w:ind w:firstLine="452" w:firstLineChars="202"/>
        <w:rPr>
          <w:rFonts w:eastAsiaTheme="minorEastAsia"/>
          <w:sz w:val="24"/>
          <w:szCs w:val="24"/>
        </w:rPr>
      </w:pPr>
      <w:r>
        <w:rPr>
          <w:rFonts w:eastAsiaTheme="minorEastAsia"/>
          <w:sz w:val="24"/>
          <w:szCs w:val="24"/>
        </w:rPr>
        <w:t>物业类型：</w:t>
      </w:r>
    </w:p>
    <w:p>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pPr>
        <w:spacing w:line="360" w:lineRule="auto"/>
        <w:ind w:firstLine="452" w:firstLineChars="202"/>
        <w:rPr>
          <w:rFonts w:eastAsiaTheme="minorEastAsia"/>
          <w:sz w:val="24"/>
          <w:szCs w:val="24"/>
        </w:rPr>
      </w:pPr>
      <w:r>
        <w:rPr>
          <w:rFonts w:eastAsiaTheme="minorEastAsia"/>
          <w:sz w:val="24"/>
          <w:szCs w:val="24"/>
        </w:rPr>
        <w:t>物业管理区域四至：</w:t>
      </w:r>
    </w:p>
    <w:p>
      <w:pPr>
        <w:spacing w:line="360" w:lineRule="auto"/>
        <w:ind w:firstLine="452" w:firstLineChars="202"/>
        <w:rPr>
          <w:rFonts w:eastAsiaTheme="minorEastAsia"/>
          <w:sz w:val="24"/>
          <w:szCs w:val="24"/>
        </w:rPr>
      </w:pPr>
      <w:r>
        <w:rPr>
          <w:rFonts w:eastAsiaTheme="minorEastAsia"/>
          <w:sz w:val="24"/>
          <w:szCs w:val="24"/>
        </w:rPr>
        <w:t>东至：南至：</w:t>
      </w:r>
    </w:p>
    <w:p>
      <w:pPr>
        <w:spacing w:line="360" w:lineRule="auto"/>
        <w:ind w:firstLine="452" w:firstLineChars="202"/>
        <w:rPr>
          <w:rFonts w:eastAsiaTheme="minorEastAsia"/>
          <w:sz w:val="24"/>
          <w:szCs w:val="24"/>
        </w:rPr>
      </w:pPr>
      <w:r>
        <w:rPr>
          <w:rFonts w:eastAsiaTheme="minorEastAsia"/>
          <w:sz w:val="24"/>
          <w:szCs w:val="24"/>
        </w:rPr>
        <w:t>西至：北至：</w:t>
      </w:r>
    </w:p>
    <w:p>
      <w:pPr>
        <w:spacing w:line="360" w:lineRule="auto"/>
        <w:ind w:firstLine="452" w:firstLineChars="202"/>
        <w:rPr>
          <w:rFonts w:eastAsiaTheme="minorEastAsia"/>
          <w:sz w:val="24"/>
          <w:szCs w:val="24"/>
        </w:rPr>
      </w:pPr>
      <w:r>
        <w:rPr>
          <w:rFonts w:eastAsiaTheme="minorEastAsia"/>
          <w:sz w:val="24"/>
          <w:szCs w:val="24"/>
        </w:rPr>
        <w:t>占地面积：大楼总建筑面积：</w:t>
      </w:r>
    </w:p>
    <w:p>
      <w:pPr>
        <w:spacing w:line="360" w:lineRule="auto"/>
        <w:ind w:firstLine="452" w:firstLineChars="202"/>
        <w:rPr>
          <w:rFonts w:eastAsiaTheme="minorEastAsia"/>
          <w:sz w:val="24"/>
          <w:szCs w:val="24"/>
        </w:rPr>
      </w:pPr>
      <w:r>
        <w:rPr>
          <w:rFonts w:eastAsiaTheme="minorEastAsia"/>
          <w:sz w:val="24"/>
          <w:szCs w:val="24"/>
        </w:rPr>
        <w:t>其中：地上面积：平方米</w:t>
      </w:r>
    </w:p>
    <w:p>
      <w:pPr>
        <w:spacing w:line="360" w:lineRule="auto"/>
        <w:ind w:firstLine="452" w:firstLineChars="202"/>
        <w:rPr>
          <w:rFonts w:eastAsiaTheme="minorEastAsia"/>
          <w:sz w:val="24"/>
          <w:szCs w:val="24"/>
        </w:rPr>
      </w:pPr>
      <w:r>
        <w:rPr>
          <w:rFonts w:eastAsiaTheme="minorEastAsia"/>
          <w:sz w:val="24"/>
          <w:szCs w:val="24"/>
        </w:rPr>
        <w:t>地下面积：平方米</w:t>
      </w:r>
    </w:p>
    <w:p>
      <w:pPr>
        <w:spacing w:line="360" w:lineRule="auto"/>
        <w:ind w:firstLine="452" w:firstLineChars="202"/>
        <w:rPr>
          <w:rFonts w:eastAsiaTheme="minorEastAsia"/>
          <w:sz w:val="24"/>
          <w:szCs w:val="24"/>
        </w:rPr>
      </w:pPr>
      <w:r>
        <w:rPr>
          <w:rFonts w:eastAsiaTheme="minorEastAsia"/>
          <w:sz w:val="24"/>
          <w:szCs w:val="24"/>
        </w:rPr>
        <w:t>标准层面积：平方米</w:t>
      </w:r>
    </w:p>
    <w:p>
      <w:pPr>
        <w:spacing w:line="360" w:lineRule="auto"/>
        <w:ind w:firstLine="452" w:firstLineChars="202"/>
        <w:rPr>
          <w:rFonts w:eastAsiaTheme="minorEastAsia"/>
          <w:sz w:val="24"/>
          <w:szCs w:val="24"/>
        </w:rPr>
      </w:pPr>
      <w:r>
        <w:rPr>
          <w:rFonts w:eastAsiaTheme="minorEastAsia"/>
          <w:sz w:val="24"/>
          <w:szCs w:val="24"/>
        </w:rPr>
        <w:t>人防建筑面积：平方米</w:t>
      </w:r>
    </w:p>
    <w:p>
      <w:pPr>
        <w:spacing w:line="360" w:lineRule="auto"/>
        <w:ind w:firstLine="452" w:firstLineChars="202"/>
        <w:rPr>
          <w:rFonts w:eastAsiaTheme="minorEastAsia"/>
          <w:sz w:val="24"/>
          <w:szCs w:val="24"/>
        </w:rPr>
      </w:pPr>
      <w:r>
        <w:rPr>
          <w:rFonts w:eastAsiaTheme="minorEastAsia"/>
          <w:sz w:val="24"/>
          <w:szCs w:val="24"/>
        </w:rPr>
        <w:t>建筑层数：地上层，地下层</w:t>
      </w:r>
    </w:p>
    <w:p>
      <w:pPr>
        <w:spacing w:line="360" w:lineRule="auto"/>
        <w:ind w:firstLine="452" w:firstLineChars="202"/>
        <w:rPr>
          <w:rFonts w:eastAsiaTheme="minorEastAsia"/>
          <w:sz w:val="24"/>
          <w:szCs w:val="24"/>
        </w:rPr>
      </w:pPr>
      <w:r>
        <w:rPr>
          <w:rFonts w:eastAsiaTheme="minorEastAsia"/>
          <w:sz w:val="24"/>
          <w:szCs w:val="24"/>
        </w:rPr>
        <w:t>建筑尺寸：长：米，宽：米，高：米</w:t>
      </w:r>
    </w:p>
    <w:p>
      <w:pPr>
        <w:spacing w:line="360" w:lineRule="auto"/>
        <w:ind w:firstLine="452" w:firstLineChars="202"/>
        <w:rPr>
          <w:rFonts w:eastAsiaTheme="minorEastAsia"/>
          <w:sz w:val="24"/>
          <w:szCs w:val="24"/>
        </w:rPr>
      </w:pPr>
      <w:r>
        <w:rPr>
          <w:rFonts w:eastAsiaTheme="minorEastAsia"/>
          <w:sz w:val="24"/>
          <w:szCs w:val="24"/>
        </w:rPr>
        <w:t>建筑层高：</w:t>
      </w:r>
    </w:p>
    <w:p>
      <w:pPr>
        <w:spacing w:line="360" w:lineRule="auto"/>
        <w:ind w:firstLine="452" w:firstLineChars="202"/>
        <w:rPr>
          <w:rFonts w:eastAsiaTheme="minorEastAsia"/>
          <w:sz w:val="24"/>
          <w:szCs w:val="24"/>
        </w:rPr>
      </w:pPr>
      <w:r>
        <w:rPr>
          <w:rFonts w:eastAsiaTheme="minorEastAsia"/>
          <w:sz w:val="24"/>
          <w:szCs w:val="24"/>
        </w:rPr>
        <w:t>建筑结构：</w:t>
      </w:r>
    </w:p>
    <w:p>
      <w:pPr>
        <w:spacing w:line="480" w:lineRule="exact"/>
        <w:ind w:firstLine="448" w:firstLineChars="200"/>
        <w:rPr>
          <w:rFonts w:eastAsiaTheme="minorEastAsia"/>
          <w:sz w:val="24"/>
          <w:szCs w:val="24"/>
        </w:rPr>
      </w:pPr>
      <w:r>
        <w:rPr>
          <w:rFonts w:eastAsiaTheme="minorEastAsia"/>
          <w:sz w:val="24"/>
          <w:szCs w:val="24"/>
        </w:rPr>
        <w:t>第二条物业服务内容及标准</w:t>
      </w:r>
    </w:p>
    <w:p>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（二）共用设施设备运行、维修、养护：</w:t>
      </w:r>
    </w:p>
    <w:p>
      <w:pPr>
        <w:spacing w:line="480" w:lineRule="exact"/>
        <w:ind w:firstLine="448" w:firstLineChars="200"/>
        <w:rPr>
          <w:rFonts w:eastAsiaTheme="minorEastAsia"/>
          <w:sz w:val="24"/>
          <w:szCs w:val="24"/>
        </w:rPr>
      </w:pPr>
      <w:r>
        <w:rPr>
          <w:rFonts w:eastAsiaTheme="minorEastAsia"/>
          <w:sz w:val="24"/>
          <w:szCs w:val="24"/>
        </w:rPr>
        <w:t>1.供、配电设施设备: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2.给、排水设施设备: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3.升降系统: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4.消防系统: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5.空气调节系统: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6.智能化系统: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7.楼宇自动化系统（通讯系统等）:</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8.停车场管理系统: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9.其他: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（四）物业装饰装修的管理：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（七）物业档案的建立、保管和使用：</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（八）其他委托事项：</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rPr>
      </w:pPr>
      <w:r>
        <w:rPr>
          <w:rFonts w:eastAsiaTheme="minorEastAsia"/>
          <w:sz w:val="24"/>
          <w:szCs w:val="24"/>
        </w:rPr>
        <w:t>2、</w:t>
      </w:r>
    </w:p>
    <w:p>
      <w:pPr>
        <w:spacing w:line="480" w:lineRule="exact"/>
        <w:ind w:firstLine="448" w:firstLineChars="200"/>
        <w:rPr>
          <w:rFonts w:eastAsiaTheme="minorEastAsia"/>
          <w:sz w:val="24"/>
          <w:szCs w:val="24"/>
          <w:u w:val="single"/>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第三条物业服务合同期限</w:t>
      </w:r>
    </w:p>
    <w:p>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pPr>
        <w:spacing w:line="480" w:lineRule="exact"/>
        <w:ind w:firstLine="448" w:firstLineChars="200"/>
        <w:rPr>
          <w:rFonts w:eastAsiaTheme="minorEastAsia"/>
          <w:sz w:val="24"/>
          <w:szCs w:val="24"/>
        </w:rPr>
      </w:pPr>
      <w:r>
        <w:rPr>
          <w:rFonts w:eastAsiaTheme="minorEastAsia"/>
          <w:sz w:val="24"/>
          <w:szCs w:val="24"/>
        </w:rPr>
        <w:t>自    年   月    日起至     年   月     日终止。</w:t>
      </w:r>
    </w:p>
    <w:p>
      <w:pPr>
        <w:spacing w:line="480" w:lineRule="exact"/>
        <w:ind w:firstLine="448" w:firstLineChars="200"/>
        <w:rPr>
          <w:rFonts w:eastAsiaTheme="minorEastAsia"/>
          <w:sz w:val="24"/>
          <w:szCs w:val="24"/>
        </w:rPr>
      </w:pPr>
      <w:r>
        <w:rPr>
          <w:rFonts w:eastAsiaTheme="minorEastAsia"/>
          <w:sz w:val="24"/>
          <w:szCs w:val="24"/>
        </w:rPr>
        <w:t>第四条甲方权利义务</w:t>
      </w:r>
    </w:p>
    <w:p>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u w:val="single"/>
        </w:rPr>
      </w:pPr>
      <w:r>
        <w:rPr>
          <w:rFonts w:eastAsiaTheme="minorEastAsia"/>
          <w:sz w:val="24"/>
          <w:szCs w:val="24"/>
        </w:rPr>
        <w:t>2、</w:t>
      </w:r>
    </w:p>
    <w:p>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第五条乙方权利义务</w:t>
      </w:r>
    </w:p>
    <w:p>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pPr>
        <w:spacing w:line="480" w:lineRule="exact"/>
        <w:ind w:firstLine="448" w:firstLineChars="200"/>
        <w:rPr>
          <w:rFonts w:eastAsiaTheme="minorEastAsia"/>
          <w:sz w:val="24"/>
          <w:szCs w:val="24"/>
        </w:rPr>
      </w:pPr>
      <w:r>
        <w:rPr>
          <w:rFonts w:eastAsiaTheme="minorEastAsia"/>
          <w:sz w:val="24"/>
          <w:szCs w:val="24"/>
        </w:rPr>
        <w:t>（四）建立物业项目的管理档案；</w:t>
      </w:r>
    </w:p>
    <w:p>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sz w:val="24"/>
          <w:szCs w:val="24"/>
        </w:rPr>
      </w:pPr>
      <w:r>
        <w:rPr>
          <w:rFonts w:eastAsiaTheme="minorEastAsia"/>
          <w:sz w:val="24"/>
          <w:szCs w:val="24"/>
        </w:rPr>
        <w:t>（十）负责编制物业服务年度计划；</w:t>
      </w:r>
    </w:p>
    <w:p>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pPr>
        <w:spacing w:line="480" w:lineRule="exact"/>
        <w:ind w:firstLine="448" w:firstLineChars="200"/>
        <w:rPr>
          <w:rFonts w:eastAsiaTheme="minorEastAsia"/>
          <w:sz w:val="24"/>
          <w:szCs w:val="24"/>
        </w:rPr>
      </w:pPr>
      <w:r>
        <w:rPr>
          <w:rFonts w:eastAsiaTheme="minorEastAsia"/>
          <w:sz w:val="24"/>
          <w:szCs w:val="24"/>
        </w:rPr>
        <w:t>2、物业管理项目的档案资料；</w:t>
      </w:r>
    </w:p>
    <w:p>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sz w:val="24"/>
          <w:szCs w:val="24"/>
        </w:rPr>
      </w:pPr>
      <w:r>
        <w:rPr>
          <w:rFonts w:eastAsiaTheme="minorEastAsia"/>
          <w:sz w:val="24"/>
          <w:szCs w:val="24"/>
        </w:rPr>
        <w:t>（十四）接受采购人的监督；</w:t>
      </w:r>
    </w:p>
    <w:p>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pPr>
        <w:spacing w:line="480" w:lineRule="exact"/>
        <w:ind w:firstLine="448" w:firstLineChars="200"/>
        <w:rPr>
          <w:rFonts w:eastAsiaTheme="minorEastAsia"/>
          <w:sz w:val="24"/>
          <w:szCs w:val="24"/>
        </w:rPr>
      </w:pPr>
      <w:r>
        <w:rPr>
          <w:rFonts w:eastAsiaTheme="minorEastAsia"/>
          <w:sz w:val="24"/>
          <w:szCs w:val="24"/>
        </w:rPr>
        <w:t>（十六）其他：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第六条物业管理服务费用</w:t>
      </w:r>
    </w:p>
    <w:p>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第七条物业管理用房</w:t>
      </w:r>
    </w:p>
    <w:p>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sz w:val="24"/>
          <w:szCs w:val="24"/>
        </w:rPr>
      </w:pPr>
      <w:r>
        <w:rPr>
          <w:rFonts w:eastAsiaTheme="minorEastAsia"/>
          <w:sz w:val="24"/>
          <w:szCs w:val="24"/>
        </w:rPr>
        <w:t>第八条物业及物业管理交接</w:t>
      </w:r>
    </w:p>
    <w:p>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pPr>
        <w:spacing w:line="480" w:lineRule="exact"/>
        <w:ind w:firstLine="448" w:firstLineChars="200"/>
        <w:rPr>
          <w:rFonts w:eastAsiaTheme="minorEastAsia"/>
          <w:sz w:val="24"/>
          <w:szCs w:val="24"/>
        </w:rPr>
      </w:pPr>
      <w:r>
        <w:rPr>
          <w:rFonts w:eastAsiaTheme="minorEastAsia"/>
          <w:sz w:val="24"/>
          <w:szCs w:val="24"/>
        </w:rPr>
        <w:t>（二）物业竣工验收资料；</w:t>
      </w:r>
    </w:p>
    <w:p>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pPr>
        <w:spacing w:line="480" w:lineRule="exact"/>
        <w:ind w:firstLine="448" w:firstLineChars="200"/>
        <w:rPr>
          <w:rFonts w:eastAsiaTheme="minorEastAsia"/>
          <w:sz w:val="24"/>
          <w:szCs w:val="24"/>
        </w:rPr>
      </w:pPr>
      <w:r>
        <w:rPr>
          <w:rFonts w:eastAsiaTheme="minorEastAsia"/>
          <w:sz w:val="24"/>
          <w:szCs w:val="24"/>
        </w:rPr>
        <w:t>（五）物业管理服务费等余额；</w:t>
      </w:r>
    </w:p>
    <w:p>
      <w:pPr>
        <w:spacing w:line="480" w:lineRule="exact"/>
        <w:ind w:firstLine="448" w:firstLineChars="200"/>
        <w:rPr>
          <w:rFonts w:eastAsiaTheme="minorEastAsia"/>
          <w:sz w:val="24"/>
          <w:szCs w:val="24"/>
        </w:rPr>
      </w:pPr>
      <w:r>
        <w:rPr>
          <w:rFonts w:eastAsiaTheme="minorEastAsia"/>
          <w:sz w:val="24"/>
          <w:szCs w:val="24"/>
        </w:rPr>
        <w:t>（六）物业管理需要的其他资料；</w:t>
      </w:r>
    </w:p>
    <w:p>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sz w:val="24"/>
          <w:szCs w:val="24"/>
        </w:rPr>
      </w:pPr>
      <w:r>
        <w:rPr>
          <w:rFonts w:eastAsiaTheme="minorEastAsia"/>
          <w:sz w:val="24"/>
          <w:szCs w:val="24"/>
        </w:rPr>
        <w:t>第十条违约责任</w:t>
      </w:r>
    </w:p>
    <w:p>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eastAsiaTheme="minorEastAsia"/>
          <w:sz w:val="24"/>
          <w:szCs w:val="24"/>
        </w:rPr>
        <w:t>第十一条质量纠纷的约定</w:t>
      </w:r>
    </w:p>
    <w:p>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sz w:val="24"/>
          <w:szCs w:val="24"/>
        </w:rPr>
      </w:pPr>
      <w:r>
        <w:rPr>
          <w:rFonts w:eastAsiaTheme="minorEastAsia"/>
          <w:sz w:val="24"/>
          <w:szCs w:val="24"/>
        </w:rPr>
        <w:t>第十二条不可抗力的约定</w:t>
      </w:r>
    </w:p>
    <w:p>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pPr>
        <w:spacing w:line="480" w:lineRule="exact"/>
        <w:ind w:firstLine="448" w:firstLineChars="200"/>
        <w:rPr>
          <w:rFonts w:eastAsiaTheme="minorEastAsia"/>
          <w:sz w:val="24"/>
          <w:szCs w:val="24"/>
        </w:rPr>
      </w:pPr>
      <w:r>
        <w:rPr>
          <w:rFonts w:eastAsiaTheme="minorEastAsia"/>
          <w:sz w:val="24"/>
          <w:szCs w:val="24"/>
        </w:rPr>
        <w:t>第十三条免责条款</w:t>
      </w:r>
    </w:p>
    <w:p>
      <w:pPr>
        <w:spacing w:line="480" w:lineRule="exact"/>
        <w:ind w:firstLine="448" w:firstLineChars="200"/>
        <w:rPr>
          <w:rFonts w:eastAsiaTheme="minorEastAsia"/>
          <w:sz w:val="24"/>
          <w:szCs w:val="24"/>
        </w:rPr>
      </w:pPr>
      <w:r>
        <w:rPr>
          <w:rFonts w:eastAsiaTheme="minorEastAsia"/>
          <w:sz w:val="24"/>
          <w:szCs w:val="24"/>
        </w:rPr>
        <w:t>以下情况乙方不承担责任：</w:t>
      </w:r>
    </w:p>
    <w:p>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pPr>
        <w:spacing w:line="480" w:lineRule="exact"/>
        <w:ind w:firstLine="448" w:firstLineChars="200"/>
        <w:rPr>
          <w:rFonts w:eastAsiaTheme="minorEastAsia"/>
          <w:sz w:val="24"/>
          <w:szCs w:val="24"/>
        </w:rPr>
      </w:pPr>
      <w:r>
        <w:rPr>
          <w:rFonts w:eastAsiaTheme="minorEastAsia"/>
          <w:sz w:val="24"/>
          <w:szCs w:val="24"/>
        </w:rPr>
        <w:t>第十四条合同的解除</w:t>
      </w:r>
    </w:p>
    <w:p>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pPr>
        <w:spacing w:line="480" w:lineRule="exact"/>
        <w:ind w:firstLine="448" w:firstLineChars="200"/>
        <w:rPr>
          <w:rFonts w:eastAsiaTheme="minorEastAsia"/>
          <w:sz w:val="24"/>
          <w:szCs w:val="24"/>
        </w:rPr>
      </w:pPr>
      <w:r>
        <w:rPr>
          <w:rFonts w:eastAsiaTheme="minorEastAsia"/>
          <w:sz w:val="24"/>
          <w:szCs w:val="24"/>
        </w:rPr>
        <w:t>第十五条争议处理</w:t>
      </w:r>
    </w:p>
    <w:p>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sz w:val="24"/>
          <w:szCs w:val="24"/>
        </w:rPr>
      </w:pPr>
      <w:r>
        <w:rPr>
          <w:rFonts w:eastAsiaTheme="minorEastAsia"/>
          <w:sz w:val="24"/>
          <w:szCs w:val="24"/>
        </w:rPr>
        <w:t>第十六条合同附件</w:t>
      </w:r>
    </w:p>
    <w:p>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pPr>
        <w:spacing w:line="480" w:lineRule="exact"/>
        <w:ind w:firstLine="448" w:firstLineChars="200"/>
        <w:rPr>
          <w:rFonts w:eastAsiaTheme="minorEastAsia"/>
          <w:sz w:val="24"/>
          <w:szCs w:val="24"/>
        </w:rPr>
      </w:pPr>
      <w:r>
        <w:rPr>
          <w:rFonts w:eastAsiaTheme="minorEastAsia"/>
          <w:sz w:val="24"/>
          <w:szCs w:val="24"/>
        </w:rPr>
        <w:t>第十七条合同生效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jc w:val="center"/>
        <w:rPr>
          <w:rFonts w:eastAsiaTheme="minorEastAsia"/>
          <w:sz w:val="24"/>
          <w:szCs w:val="24"/>
        </w:rPr>
      </w:pPr>
    </w:p>
    <w:p>
      <w:pPr>
        <w:jc w:val="center"/>
        <w:rPr>
          <w:rFonts w:eastAsiaTheme="minorEastAsia"/>
          <w:sz w:val="24"/>
          <w:szCs w:val="24"/>
        </w:rPr>
      </w:pPr>
    </w:p>
    <w:p>
      <w:pPr>
        <w:widowControl/>
        <w:jc w:val="center"/>
        <w:rPr>
          <w:rFonts w:eastAsiaTheme="minorEastAsia"/>
          <w:b/>
          <w:bCs/>
          <w:sz w:val="24"/>
          <w:szCs w:val="24"/>
        </w:rPr>
      </w:pPr>
      <w:r>
        <w:rPr>
          <w:rFonts w:eastAsiaTheme="minorEastAsia"/>
          <w:b/>
          <w:bCs/>
          <w:sz w:val="24"/>
          <w:szCs w:val="24"/>
        </w:rPr>
        <w:t>合同特殊条款</w:t>
      </w:r>
    </w:p>
    <w:p>
      <w:pPr>
        <w:tabs>
          <w:tab w:val="left" w:pos="360"/>
        </w:tabs>
        <w:spacing w:line="520" w:lineRule="exact"/>
        <w:ind w:firstLine="383" w:firstLineChars="171"/>
        <w:rPr>
          <w:rFonts w:eastAsiaTheme="minorEastAsia"/>
          <w:color w:val="000000"/>
          <w:sz w:val="24"/>
          <w:szCs w:val="24"/>
        </w:rPr>
      </w:pP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选择开具发票类型（增值税专用发票/增值税普通发票）：</w:t>
      </w: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sz w:val="24"/>
              </w:rPr>
              <w:t>包号</w:t>
            </w:r>
          </w:p>
        </w:tc>
        <w:tc>
          <w:tcPr>
            <w:tcW w:w="1278" w:type="pct"/>
            <w:vAlign w:val="center"/>
          </w:tcPr>
          <w:p>
            <w:pPr>
              <w:spacing w:line="460" w:lineRule="exact"/>
              <w:jc w:val="center"/>
              <w:rPr>
                <w:sz w:val="24"/>
              </w:rPr>
            </w:pPr>
            <w:r>
              <w:rPr>
                <w:sz w:val="24"/>
              </w:rPr>
              <w:t>服务名称</w:t>
            </w:r>
          </w:p>
        </w:tc>
        <w:tc>
          <w:tcPr>
            <w:tcW w:w="806" w:type="pct"/>
            <w:vAlign w:val="center"/>
          </w:tcPr>
          <w:p>
            <w:pPr>
              <w:spacing w:line="460" w:lineRule="exact"/>
              <w:jc w:val="center"/>
              <w:rPr>
                <w:sz w:val="24"/>
              </w:rPr>
            </w:pPr>
            <w:r>
              <w:rPr>
                <w:sz w:val="24"/>
              </w:rPr>
              <w:t>数量</w:t>
            </w:r>
          </w:p>
        </w:tc>
        <w:tc>
          <w:tcPr>
            <w:tcW w:w="1202" w:type="pct"/>
            <w:vAlign w:val="center"/>
          </w:tcPr>
          <w:p>
            <w:pPr>
              <w:spacing w:line="460" w:lineRule="exact"/>
              <w:jc w:val="center"/>
              <w:rPr>
                <w:sz w:val="24"/>
              </w:rPr>
            </w:pPr>
            <w:r>
              <w:rPr>
                <w:sz w:val="24"/>
              </w:rPr>
              <w:t>投标总价</w:t>
            </w:r>
          </w:p>
        </w:tc>
        <w:tc>
          <w:tcPr>
            <w:tcW w:w="984"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pPr>
              <w:jc w:val="center"/>
              <w:rPr>
                <w:szCs w:val="21"/>
              </w:rPr>
            </w:pPr>
            <w:r>
              <w:rPr>
                <w:szCs w:val="21"/>
              </w:rPr>
              <w:t>2</w:t>
            </w:r>
          </w:p>
        </w:tc>
        <w:tc>
          <w:tcPr>
            <w:tcW w:w="2121" w:type="pct"/>
            <w:vAlign w:val="center"/>
          </w:tcPr>
          <w:p>
            <w:pPr>
              <w:jc w:val="center"/>
              <w:rPr>
                <w:szCs w:val="21"/>
              </w:rPr>
            </w:pPr>
            <w:r>
              <w:rPr>
                <w:szCs w:val="21"/>
              </w:rPr>
              <w:t>日常运行维护工具耗材费用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3</w:t>
            </w:r>
          </w:p>
        </w:tc>
        <w:tc>
          <w:tcPr>
            <w:tcW w:w="2121"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4</w:t>
            </w:r>
          </w:p>
        </w:tc>
        <w:tc>
          <w:tcPr>
            <w:tcW w:w="2121"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5</w:t>
            </w:r>
          </w:p>
        </w:tc>
        <w:tc>
          <w:tcPr>
            <w:tcW w:w="2121" w:type="pct"/>
            <w:vAlign w:val="center"/>
          </w:tcPr>
          <w:p>
            <w:pPr>
              <w:jc w:val="center"/>
              <w:rPr>
                <w:rFonts w:hint="default" w:eastAsia="宋体"/>
                <w:szCs w:val="21"/>
                <w:lang w:val="en-US" w:eastAsia="zh-CN"/>
              </w:rPr>
            </w:pPr>
            <w:r>
              <w:rPr>
                <w:rFonts w:hint="eastAsia"/>
                <w:szCs w:val="21"/>
                <w:lang w:val="en-US" w:eastAsia="zh-CN"/>
              </w:rPr>
              <w:t>餐饮服务食材、调料等采买及送餐费用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6</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7</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8</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9</w:t>
            </w:r>
          </w:p>
        </w:tc>
        <w:tc>
          <w:tcPr>
            <w:tcW w:w="2121"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10</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11</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1"/>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968" w:type="dxa"/>
            <w:vAlign w:val="center"/>
          </w:tcPr>
          <w:p>
            <w:pPr>
              <w:jc w:val="center"/>
              <w:rPr>
                <w:sz w:val="24"/>
                <w:szCs w:val="24"/>
              </w:rPr>
            </w:pPr>
            <w:r>
              <w:rPr>
                <w:sz w:val="24"/>
                <w:szCs w:val="24"/>
              </w:rPr>
              <w:t>招标文件规定的服务期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968"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1"/>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2"/>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napToGrid w:val="0"/>
        <w:spacing w:line="360" w:lineRule="auto"/>
        <w:ind w:firstLine="448" w:firstLineChars="200"/>
        <w:rPr>
          <w:sz w:val="24"/>
          <w:szCs w:val="21"/>
        </w:rPr>
      </w:pPr>
      <w:r>
        <w:rPr>
          <w:rFonts w:hint="eastAsia"/>
          <w:sz w:val="24"/>
          <w:szCs w:val="21"/>
        </w:rPr>
        <w:t>我单位</w:t>
      </w:r>
      <w:r>
        <w:rPr>
          <w:sz w:val="24"/>
          <w:szCs w:val="21"/>
        </w:rPr>
        <w:t>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pPr>
        <w:snapToGrid w:val="0"/>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napToGrid w:val="0"/>
        <w:spacing w:line="360" w:lineRule="auto"/>
        <w:ind w:firstLine="448" w:firstLineChars="200"/>
        <w:rPr>
          <w:sz w:val="24"/>
          <w:szCs w:val="21"/>
        </w:rPr>
      </w:pPr>
      <w:r>
        <w:rPr>
          <w:sz w:val="24"/>
          <w:szCs w:val="21"/>
        </w:rPr>
        <w:t>本授权书至投标有效期结束前始终有效。</w:t>
      </w:r>
    </w:p>
    <w:p>
      <w:pPr>
        <w:snapToGrid w:val="0"/>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1"/>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ind w:firstLine="448" w:firstLineChars="200"/>
        <w:rPr>
          <w:b/>
          <w:sz w:val="24"/>
        </w:rPr>
      </w:pPr>
      <w:r>
        <w:rPr>
          <w:b/>
          <w:sz w:val="24"/>
        </w:rPr>
        <w:t>附件1</w:t>
      </w:r>
      <w:r>
        <w:rPr>
          <w:rFonts w:hint="eastAsia"/>
          <w:b/>
          <w:sz w:val="24"/>
        </w:rPr>
        <w:t>3</w:t>
      </w:r>
    </w:p>
    <w:p>
      <w:pPr>
        <w:tabs>
          <w:tab w:val="left" w:pos="360"/>
        </w:tabs>
        <w:spacing w:line="360" w:lineRule="auto"/>
        <w:ind w:firstLine="448" w:firstLineChars="200"/>
        <w:rPr>
          <w:b/>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2"/>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2"/>
        <w:tabs>
          <w:tab w:val="left" w:pos="360"/>
        </w:tabs>
        <w:spacing w:line="360" w:lineRule="auto"/>
        <w:ind w:firstLine="0" w:firstLineChars="0"/>
        <w:rPr>
          <w:sz w:val="24"/>
          <w:u w:val="single"/>
        </w:rPr>
      </w:pPr>
      <w:r>
        <w:rPr>
          <w:rFonts w:hint="eastAsia"/>
          <w:sz w:val="24"/>
          <w:u w:val="single"/>
        </w:rPr>
        <w:t xml:space="preserve">                                                                     </w:t>
      </w:r>
    </w:p>
    <w:p>
      <w:pPr>
        <w:pStyle w:val="32"/>
        <w:tabs>
          <w:tab w:val="left" w:pos="360"/>
        </w:tabs>
        <w:spacing w:line="360" w:lineRule="auto"/>
        <w:ind w:firstLine="446"/>
        <w:rPr>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r>
        <w:rPr>
          <w:rFonts w:hint="eastAsia"/>
          <w:b/>
          <w:sz w:val="24"/>
        </w:rPr>
        <w:t>证明材料</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等线"/>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26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7F41"/>
    <w:rsid w:val="00010DCF"/>
    <w:rsid w:val="000117B3"/>
    <w:rsid w:val="00011B73"/>
    <w:rsid w:val="00013068"/>
    <w:rsid w:val="00013701"/>
    <w:rsid w:val="000140B4"/>
    <w:rsid w:val="00017C2D"/>
    <w:rsid w:val="00020E27"/>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FFA"/>
    <w:rsid w:val="000E50F9"/>
    <w:rsid w:val="000E5380"/>
    <w:rsid w:val="000E660F"/>
    <w:rsid w:val="000E69C0"/>
    <w:rsid w:val="000E6A7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5039"/>
    <w:rsid w:val="00136D2C"/>
    <w:rsid w:val="00136F51"/>
    <w:rsid w:val="00137E70"/>
    <w:rsid w:val="001411F4"/>
    <w:rsid w:val="00141664"/>
    <w:rsid w:val="00143B4D"/>
    <w:rsid w:val="00143EB8"/>
    <w:rsid w:val="0014400B"/>
    <w:rsid w:val="00145FEE"/>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A52"/>
    <w:rsid w:val="002027E3"/>
    <w:rsid w:val="00204B95"/>
    <w:rsid w:val="00205B78"/>
    <w:rsid w:val="00206328"/>
    <w:rsid w:val="0020759C"/>
    <w:rsid w:val="00207C76"/>
    <w:rsid w:val="002113A2"/>
    <w:rsid w:val="00211616"/>
    <w:rsid w:val="00212E26"/>
    <w:rsid w:val="00214D65"/>
    <w:rsid w:val="0021638D"/>
    <w:rsid w:val="0022041A"/>
    <w:rsid w:val="00220469"/>
    <w:rsid w:val="00220883"/>
    <w:rsid w:val="00222FAF"/>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70448"/>
    <w:rsid w:val="00270BE3"/>
    <w:rsid w:val="00271086"/>
    <w:rsid w:val="0027114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3BB4"/>
    <w:rsid w:val="002B3BFC"/>
    <w:rsid w:val="002B538F"/>
    <w:rsid w:val="002B7E9C"/>
    <w:rsid w:val="002C0346"/>
    <w:rsid w:val="002C1B67"/>
    <w:rsid w:val="002C2083"/>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B52"/>
    <w:rsid w:val="003A3CF3"/>
    <w:rsid w:val="003A4B1D"/>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6E68"/>
    <w:rsid w:val="00447974"/>
    <w:rsid w:val="004519C8"/>
    <w:rsid w:val="004536DD"/>
    <w:rsid w:val="00454160"/>
    <w:rsid w:val="004559D5"/>
    <w:rsid w:val="00455C9F"/>
    <w:rsid w:val="00455F7E"/>
    <w:rsid w:val="0045618D"/>
    <w:rsid w:val="00456846"/>
    <w:rsid w:val="00456E96"/>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5B83"/>
    <w:rsid w:val="004C65FD"/>
    <w:rsid w:val="004C7125"/>
    <w:rsid w:val="004D06E3"/>
    <w:rsid w:val="004D0995"/>
    <w:rsid w:val="004D2B4D"/>
    <w:rsid w:val="004D2DC3"/>
    <w:rsid w:val="004D563B"/>
    <w:rsid w:val="004D5F22"/>
    <w:rsid w:val="004D6293"/>
    <w:rsid w:val="004D6546"/>
    <w:rsid w:val="004D6ABE"/>
    <w:rsid w:val="004E0B40"/>
    <w:rsid w:val="004E1922"/>
    <w:rsid w:val="004E1CA8"/>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E6F"/>
    <w:rsid w:val="005A5CF8"/>
    <w:rsid w:val="005A6731"/>
    <w:rsid w:val="005B0248"/>
    <w:rsid w:val="005B0F84"/>
    <w:rsid w:val="005B13F8"/>
    <w:rsid w:val="005B352D"/>
    <w:rsid w:val="005B5E63"/>
    <w:rsid w:val="005B5FB5"/>
    <w:rsid w:val="005B631B"/>
    <w:rsid w:val="005B6420"/>
    <w:rsid w:val="005C1F12"/>
    <w:rsid w:val="005C2556"/>
    <w:rsid w:val="005C463B"/>
    <w:rsid w:val="005C4964"/>
    <w:rsid w:val="005C4AB3"/>
    <w:rsid w:val="005C5E6D"/>
    <w:rsid w:val="005C5EB1"/>
    <w:rsid w:val="005D086D"/>
    <w:rsid w:val="005D1B17"/>
    <w:rsid w:val="005D3683"/>
    <w:rsid w:val="005D3AB2"/>
    <w:rsid w:val="005D560A"/>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19FF"/>
    <w:rsid w:val="00664115"/>
    <w:rsid w:val="00665F3D"/>
    <w:rsid w:val="006675D6"/>
    <w:rsid w:val="00670BE5"/>
    <w:rsid w:val="006720DF"/>
    <w:rsid w:val="00673826"/>
    <w:rsid w:val="00674146"/>
    <w:rsid w:val="006741E5"/>
    <w:rsid w:val="00676F1C"/>
    <w:rsid w:val="006802EF"/>
    <w:rsid w:val="006852AB"/>
    <w:rsid w:val="00685987"/>
    <w:rsid w:val="006871AB"/>
    <w:rsid w:val="0068721C"/>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70070A"/>
    <w:rsid w:val="0070411C"/>
    <w:rsid w:val="00705018"/>
    <w:rsid w:val="007058B3"/>
    <w:rsid w:val="00705D69"/>
    <w:rsid w:val="007071EE"/>
    <w:rsid w:val="0071193F"/>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606A"/>
    <w:rsid w:val="00777024"/>
    <w:rsid w:val="0078146D"/>
    <w:rsid w:val="00781801"/>
    <w:rsid w:val="00784C33"/>
    <w:rsid w:val="0079363C"/>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5DBC"/>
    <w:rsid w:val="008B7061"/>
    <w:rsid w:val="008C05D0"/>
    <w:rsid w:val="008C0EC2"/>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F09"/>
    <w:rsid w:val="009157E0"/>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1D94"/>
    <w:rsid w:val="00941DBE"/>
    <w:rsid w:val="0094212E"/>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CB3"/>
    <w:rsid w:val="00A57696"/>
    <w:rsid w:val="00A60795"/>
    <w:rsid w:val="00A60AF2"/>
    <w:rsid w:val="00A62455"/>
    <w:rsid w:val="00A63263"/>
    <w:rsid w:val="00A64878"/>
    <w:rsid w:val="00A64F8F"/>
    <w:rsid w:val="00A66E59"/>
    <w:rsid w:val="00A67A1C"/>
    <w:rsid w:val="00A711EB"/>
    <w:rsid w:val="00A71330"/>
    <w:rsid w:val="00A71D59"/>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6053"/>
    <w:rsid w:val="00AA6B88"/>
    <w:rsid w:val="00AA772B"/>
    <w:rsid w:val="00AA7D92"/>
    <w:rsid w:val="00AB0F96"/>
    <w:rsid w:val="00AB1AAB"/>
    <w:rsid w:val="00AB1AB2"/>
    <w:rsid w:val="00AB26B5"/>
    <w:rsid w:val="00AB472B"/>
    <w:rsid w:val="00AC04F7"/>
    <w:rsid w:val="00AC0593"/>
    <w:rsid w:val="00AC0B2F"/>
    <w:rsid w:val="00AC1DB1"/>
    <w:rsid w:val="00AC35E3"/>
    <w:rsid w:val="00AC6628"/>
    <w:rsid w:val="00AC77DC"/>
    <w:rsid w:val="00AC7CD8"/>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474B"/>
    <w:rsid w:val="00C8488C"/>
    <w:rsid w:val="00C853FC"/>
    <w:rsid w:val="00C86054"/>
    <w:rsid w:val="00C86D80"/>
    <w:rsid w:val="00C90170"/>
    <w:rsid w:val="00C91ACA"/>
    <w:rsid w:val="00CA0D71"/>
    <w:rsid w:val="00CA1029"/>
    <w:rsid w:val="00CA262C"/>
    <w:rsid w:val="00CA4D64"/>
    <w:rsid w:val="00CA6017"/>
    <w:rsid w:val="00CB0677"/>
    <w:rsid w:val="00CB0EA6"/>
    <w:rsid w:val="00CB1696"/>
    <w:rsid w:val="00CB3AFA"/>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143E"/>
    <w:rsid w:val="00CE2547"/>
    <w:rsid w:val="00CE48BF"/>
    <w:rsid w:val="00CE5BA4"/>
    <w:rsid w:val="00CE72A3"/>
    <w:rsid w:val="00CE7C4A"/>
    <w:rsid w:val="00CF04BB"/>
    <w:rsid w:val="00CF0708"/>
    <w:rsid w:val="00CF12F5"/>
    <w:rsid w:val="00CF1AAC"/>
    <w:rsid w:val="00CF1FA9"/>
    <w:rsid w:val="00CF27B5"/>
    <w:rsid w:val="00CF31B8"/>
    <w:rsid w:val="00CF3464"/>
    <w:rsid w:val="00CF3D52"/>
    <w:rsid w:val="00CF4653"/>
    <w:rsid w:val="00CF492A"/>
    <w:rsid w:val="00CF6248"/>
    <w:rsid w:val="00CF6EAD"/>
    <w:rsid w:val="00CF703D"/>
    <w:rsid w:val="00CF7B58"/>
    <w:rsid w:val="00D008C0"/>
    <w:rsid w:val="00D011DA"/>
    <w:rsid w:val="00D06832"/>
    <w:rsid w:val="00D06931"/>
    <w:rsid w:val="00D07C3A"/>
    <w:rsid w:val="00D11006"/>
    <w:rsid w:val="00D12CAF"/>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2721"/>
    <w:rsid w:val="00E12E28"/>
    <w:rsid w:val="00E140D0"/>
    <w:rsid w:val="00E14238"/>
    <w:rsid w:val="00E14B75"/>
    <w:rsid w:val="00E15D14"/>
    <w:rsid w:val="00E20F2B"/>
    <w:rsid w:val="00E2195D"/>
    <w:rsid w:val="00E227FF"/>
    <w:rsid w:val="00E23C8C"/>
    <w:rsid w:val="00E26969"/>
    <w:rsid w:val="00E269BA"/>
    <w:rsid w:val="00E26E8D"/>
    <w:rsid w:val="00E303FF"/>
    <w:rsid w:val="00E335AA"/>
    <w:rsid w:val="00E33E4D"/>
    <w:rsid w:val="00E3427C"/>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7325"/>
    <w:rsid w:val="00E81B33"/>
    <w:rsid w:val="00E81D71"/>
    <w:rsid w:val="00E839EF"/>
    <w:rsid w:val="00E85C37"/>
    <w:rsid w:val="00E86DBB"/>
    <w:rsid w:val="00E874C8"/>
    <w:rsid w:val="00E902A9"/>
    <w:rsid w:val="00E90FE0"/>
    <w:rsid w:val="00E91E13"/>
    <w:rsid w:val="00E91F83"/>
    <w:rsid w:val="00E92A1C"/>
    <w:rsid w:val="00E92C60"/>
    <w:rsid w:val="00E940DA"/>
    <w:rsid w:val="00E942E1"/>
    <w:rsid w:val="00E94513"/>
    <w:rsid w:val="00E966A1"/>
    <w:rsid w:val="00E976C4"/>
    <w:rsid w:val="00EA3BA2"/>
    <w:rsid w:val="00EA48B8"/>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4A1"/>
    <w:rsid w:val="00F37D10"/>
    <w:rsid w:val="00F40389"/>
    <w:rsid w:val="00F41B8B"/>
    <w:rsid w:val="00F42256"/>
    <w:rsid w:val="00F430BE"/>
    <w:rsid w:val="00F436AA"/>
    <w:rsid w:val="00F43FF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EBA565D"/>
    <w:rsid w:val="1BCF2B36"/>
    <w:rsid w:val="3B6F51DD"/>
    <w:rsid w:val="3C032A42"/>
    <w:rsid w:val="69180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1"/>
    <w:semiHidden/>
    <w:unhideWhenUsed/>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46"/>
    <w:semiHidden/>
    <w:unhideWhenUsed/>
    <w:qFormat/>
    <w:uiPriority w:val="99"/>
    <w:pPr>
      <w:jc w:val="left"/>
    </w:pPr>
  </w:style>
  <w:style w:type="paragraph" w:styleId="7">
    <w:name w:val="Body Text Indent"/>
    <w:basedOn w:val="1"/>
    <w:link w:val="26"/>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38"/>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1"/>
    <w:uiPriority w:val="0"/>
    <w:pPr>
      <w:adjustRightInd w:val="0"/>
      <w:spacing w:line="360" w:lineRule="atLeast"/>
      <w:textAlignment w:val="baseline"/>
    </w:pPr>
    <w:rPr>
      <w:sz w:val="32"/>
    </w:rPr>
  </w:style>
  <w:style w:type="paragraph" w:styleId="12">
    <w:name w:val="Body Text Indent 2"/>
    <w:basedOn w:val="1"/>
    <w:link w:val="33"/>
    <w:semiHidden/>
    <w:unhideWhenUsed/>
    <w:qFormat/>
    <w:uiPriority w:val="99"/>
    <w:pPr>
      <w:spacing w:after="120" w:line="480" w:lineRule="auto"/>
      <w:ind w:left="420" w:leftChars="200"/>
    </w:pPr>
  </w:style>
  <w:style w:type="paragraph" w:styleId="13">
    <w:name w:val="Balloon Text"/>
    <w:basedOn w:val="1"/>
    <w:link w:val="48"/>
    <w:semiHidden/>
    <w:unhideWhenUsed/>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8"/>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39"/>
    <w:semiHidden/>
    <w:unhideWhenUsed/>
    <w:qFormat/>
    <w:uiPriority w:val="99"/>
    <w:pPr>
      <w:spacing w:after="120"/>
      <w:ind w:left="420" w:leftChars="200"/>
    </w:pPr>
    <w:rPr>
      <w:sz w:val="16"/>
      <w:szCs w:val="16"/>
    </w:rPr>
  </w:style>
  <w:style w:type="paragraph" w:styleId="19">
    <w:name w:val="Body Text 2"/>
    <w:basedOn w:val="1"/>
    <w:link w:val="35"/>
    <w:semiHidden/>
    <w:unhideWhenUsed/>
    <w:uiPriority w:val="99"/>
    <w:pPr>
      <w:spacing w:after="120" w:line="480" w:lineRule="auto"/>
    </w:pPr>
  </w:style>
  <w:style w:type="paragraph" w:styleId="20">
    <w:name w:val="annotation subject"/>
    <w:basedOn w:val="6"/>
    <w:next w:val="6"/>
    <w:link w:val="47"/>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正文文本缩进 Char"/>
    <w:basedOn w:val="23"/>
    <w:link w:val="7"/>
    <w:qFormat/>
    <w:uiPriority w:val="0"/>
    <w:rPr>
      <w:rFonts w:ascii="宋体" w:hAnsi="宋体" w:eastAsia="宋体" w:cs="Times New Roman"/>
      <w:sz w:val="24"/>
      <w:szCs w:val="20"/>
    </w:rPr>
  </w:style>
  <w:style w:type="paragraph" w:customStyle="1" w:styleId="27">
    <w:name w:val="Default"/>
    <w:link w:val="49"/>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8">
    <w:name w:val="副标题 Char"/>
    <w:basedOn w:val="23"/>
    <w:link w:val="16"/>
    <w:qFormat/>
    <w:uiPriority w:val="0"/>
    <w:rPr>
      <w:rFonts w:ascii="Cambria" w:hAnsi="Cambria" w:eastAsia="宋体" w:cs="Times New Roman"/>
      <w:b/>
      <w:bCs/>
      <w:kern w:val="28"/>
      <w:sz w:val="32"/>
      <w:szCs w:val="32"/>
      <w:lang w:val="zh-CN" w:eastAsia="zh-CN"/>
    </w:rPr>
  </w:style>
  <w:style w:type="character" w:customStyle="1" w:styleId="29">
    <w:name w:val="页眉 Char"/>
    <w:basedOn w:val="23"/>
    <w:link w:val="15"/>
    <w:qFormat/>
    <w:uiPriority w:val="99"/>
    <w:rPr>
      <w:rFonts w:ascii="Times New Roman" w:hAnsi="Times New Roman" w:eastAsia="宋体" w:cs="Times New Roman"/>
      <w:sz w:val="18"/>
      <w:szCs w:val="18"/>
    </w:rPr>
  </w:style>
  <w:style w:type="character" w:customStyle="1" w:styleId="30">
    <w:name w:val="页脚 Char"/>
    <w:basedOn w:val="23"/>
    <w:link w:val="14"/>
    <w:qFormat/>
    <w:uiPriority w:val="99"/>
    <w:rPr>
      <w:rFonts w:ascii="Times New Roman" w:hAnsi="Times New Roman" w:eastAsia="宋体" w:cs="Times New Roman"/>
      <w:sz w:val="18"/>
      <w:szCs w:val="18"/>
    </w:rPr>
  </w:style>
  <w:style w:type="character" w:customStyle="1" w:styleId="31">
    <w:name w:val="日期 Char"/>
    <w:basedOn w:val="23"/>
    <w:link w:val="11"/>
    <w:qFormat/>
    <w:uiPriority w:val="0"/>
    <w:rPr>
      <w:rFonts w:ascii="Times New Roman" w:hAnsi="Times New Roman" w:eastAsia="宋体" w:cs="Times New Roman"/>
      <w:sz w:val="32"/>
      <w:szCs w:val="20"/>
    </w:rPr>
  </w:style>
  <w:style w:type="paragraph" w:styleId="32">
    <w:name w:val="List Paragraph"/>
    <w:basedOn w:val="1"/>
    <w:link w:val="50"/>
    <w:qFormat/>
    <w:uiPriority w:val="34"/>
    <w:pPr>
      <w:ind w:firstLine="420" w:firstLineChars="200"/>
    </w:pPr>
  </w:style>
  <w:style w:type="character" w:customStyle="1" w:styleId="33">
    <w:name w:val="正文文本缩进 2 Char"/>
    <w:basedOn w:val="23"/>
    <w:link w:val="12"/>
    <w:semiHidden/>
    <w:qFormat/>
    <w:uiPriority w:val="99"/>
    <w:rPr>
      <w:rFonts w:ascii="Times New Roman" w:hAnsi="Times New Roman" w:eastAsia="宋体" w:cs="Times New Roman"/>
      <w:szCs w:val="20"/>
    </w:rPr>
  </w:style>
  <w:style w:type="character" w:customStyle="1" w:styleId="34">
    <w:name w:val="标题 3 Char"/>
    <w:basedOn w:val="23"/>
    <w:link w:val="3"/>
    <w:qFormat/>
    <w:uiPriority w:val="0"/>
    <w:rPr>
      <w:rFonts w:ascii="Times New Roman" w:hAnsi="Times New Roman" w:eastAsia="宋体" w:cs="Times New Roman"/>
      <w:b/>
      <w:bCs/>
      <w:sz w:val="32"/>
      <w:szCs w:val="32"/>
    </w:rPr>
  </w:style>
  <w:style w:type="character" w:customStyle="1" w:styleId="35">
    <w:name w:val="正文文本 2 Char"/>
    <w:basedOn w:val="23"/>
    <w:link w:val="19"/>
    <w:semiHidden/>
    <w:qFormat/>
    <w:uiPriority w:val="99"/>
    <w:rPr>
      <w:rFonts w:ascii="Times New Roman" w:hAnsi="Times New Roman" w:eastAsia="宋体" w:cs="Times New Roman"/>
      <w:szCs w:val="20"/>
    </w:rPr>
  </w:style>
  <w:style w:type="paragraph" w:customStyle="1" w:styleId="36">
    <w:name w:val="Char"/>
    <w:basedOn w:val="1"/>
    <w:qFormat/>
    <w:uiPriority w:val="0"/>
    <w:pPr>
      <w:tabs>
        <w:tab w:val="left" w:pos="360"/>
      </w:tabs>
    </w:pPr>
    <w:rPr>
      <w:sz w:val="24"/>
      <w:szCs w:val="24"/>
    </w:rPr>
  </w:style>
  <w:style w:type="character" w:customStyle="1" w:styleId="37">
    <w:name w:val="纯文本 Char"/>
    <w:basedOn w:val="23"/>
    <w:semiHidden/>
    <w:qFormat/>
    <w:uiPriority w:val="99"/>
    <w:rPr>
      <w:rFonts w:ascii="宋体" w:hAnsi="Courier New" w:eastAsia="宋体" w:cs="Courier New"/>
      <w:szCs w:val="21"/>
    </w:rPr>
  </w:style>
  <w:style w:type="character" w:customStyle="1" w:styleId="38">
    <w:name w:val="纯文本 Char1"/>
    <w:link w:val="9"/>
    <w:qFormat/>
    <w:locked/>
    <w:uiPriority w:val="0"/>
    <w:rPr>
      <w:rFonts w:ascii="宋体" w:hAnsi="Courier New" w:eastAsia="宋体" w:cs="Times New Roman"/>
      <w:szCs w:val="20"/>
      <w:lang w:val="zh-CN" w:eastAsia="zh-CN"/>
    </w:rPr>
  </w:style>
  <w:style w:type="character" w:customStyle="1" w:styleId="39">
    <w:name w:val="正文文本缩进 3 Char"/>
    <w:basedOn w:val="23"/>
    <w:link w:val="18"/>
    <w:semiHidden/>
    <w:qFormat/>
    <w:uiPriority w:val="99"/>
    <w:rPr>
      <w:rFonts w:ascii="Times New Roman" w:hAnsi="Times New Roman" w:eastAsia="宋体" w:cs="Times New Roman"/>
      <w:sz w:val="16"/>
      <w:szCs w:val="16"/>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Char2"/>
    <w:basedOn w:val="1"/>
    <w:qFormat/>
    <w:uiPriority w:val="0"/>
    <w:pPr>
      <w:tabs>
        <w:tab w:val="left" w:pos="360"/>
      </w:tabs>
    </w:pPr>
    <w:rPr>
      <w:sz w:val="24"/>
      <w:szCs w:val="24"/>
    </w:rPr>
  </w:style>
  <w:style w:type="paragraph" w:customStyle="1" w:styleId="45">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6">
    <w:name w:val="批注文字 Char"/>
    <w:basedOn w:val="23"/>
    <w:link w:val="6"/>
    <w:semiHidden/>
    <w:qFormat/>
    <w:uiPriority w:val="99"/>
    <w:rPr>
      <w:rFonts w:ascii="Times New Roman" w:hAnsi="Times New Roman" w:eastAsia="宋体" w:cs="Times New Roman"/>
      <w:szCs w:val="20"/>
    </w:rPr>
  </w:style>
  <w:style w:type="character" w:customStyle="1" w:styleId="47">
    <w:name w:val="批注主题 Char"/>
    <w:basedOn w:val="46"/>
    <w:link w:val="20"/>
    <w:semiHidden/>
    <w:qFormat/>
    <w:uiPriority w:val="99"/>
    <w:rPr>
      <w:rFonts w:ascii="Times New Roman" w:hAnsi="Times New Roman" w:eastAsia="宋体" w:cs="Times New Roman"/>
      <w:b/>
      <w:bCs/>
      <w:szCs w:val="20"/>
    </w:rPr>
  </w:style>
  <w:style w:type="character" w:customStyle="1" w:styleId="48">
    <w:name w:val="批注框文本 Char"/>
    <w:basedOn w:val="23"/>
    <w:link w:val="13"/>
    <w:semiHidden/>
    <w:qFormat/>
    <w:uiPriority w:val="99"/>
    <w:rPr>
      <w:rFonts w:ascii="Times New Roman" w:hAnsi="Times New Roman" w:eastAsia="宋体" w:cs="Times New Roman"/>
      <w:sz w:val="18"/>
      <w:szCs w:val="18"/>
    </w:rPr>
  </w:style>
  <w:style w:type="character" w:customStyle="1" w:styleId="49">
    <w:name w:val="Default Char"/>
    <w:link w:val="27"/>
    <w:qFormat/>
    <w:locked/>
    <w:uiPriority w:val="0"/>
    <w:rPr>
      <w:rFonts w:ascii="......." w:hAnsi="Calibri" w:eastAsia="......." w:cs="......."/>
      <w:color w:val="000000"/>
      <w:kern w:val="0"/>
      <w:sz w:val="24"/>
      <w:szCs w:val="24"/>
    </w:rPr>
  </w:style>
  <w:style w:type="character" w:customStyle="1" w:styleId="50">
    <w:name w:val="列出段落 Char"/>
    <w:link w:val="32"/>
    <w:qFormat/>
    <w:uiPriority w:val="34"/>
    <w:rPr>
      <w:rFonts w:ascii="Times New Roman" w:hAnsi="Times New Roman" w:eastAsia="宋体" w:cs="Times New Roman"/>
      <w:szCs w:val="20"/>
    </w:rPr>
  </w:style>
  <w:style w:type="character" w:customStyle="1" w:styleId="51">
    <w:name w:val="正文文本 Char"/>
    <w:basedOn w:val="23"/>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2D4B1-22A3-4CB6-BDFD-4C83102B69B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63</Pages>
  <Words>4802</Words>
  <Characters>27372</Characters>
  <Lines>228</Lines>
  <Paragraphs>64</Paragraphs>
  <TotalTime>1</TotalTime>
  <ScaleCrop>false</ScaleCrop>
  <LinksUpToDate>false</LinksUpToDate>
  <CharactersWithSpaces>32110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2023-05-06T08:50:00Z</dcterms:created>
  <dc:creator>未定义</dc:creator>
  <cp:lastModifiedBy>尃翟</cp:lastModifiedBy>
  <dcterms:modified xsi:type="dcterms:W3CDTF">2023-05-16T05:37:08Z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D88868E3EF7D4437BB82D9BDFE34DA26_13</vt:lpwstr>
  </property>
</Properties>
</file>