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line="315" w:lineRule="atLeast"/>
        <w:jc w:val="center"/>
      </w:pPr>
      <w:r>
        <w:rPr>
          <w:rFonts w:ascii="方正小标宋_GBK" w:hAnsi="方正小标宋_GBK" w:eastAsia="方正小标宋_GBK" w:cs="方正小标宋_GBK"/>
          <w:sz w:val="43"/>
          <w:szCs w:val="43"/>
        </w:rPr>
        <w:t>天津市津南区生态环境局</w:t>
      </w:r>
      <w:r>
        <w:rPr>
          <w:rFonts w:hint="default" w:ascii="Times New Roman" w:hAnsi="Times New Roman" w:cs="Times New Roman"/>
          <w:sz w:val="43"/>
          <w:szCs w:val="43"/>
        </w:rPr>
        <w:t>202</w:t>
      </w:r>
      <w:r>
        <w:rPr>
          <w:rFonts w:hint="eastAsia" w:ascii="Times New Roman" w:hAnsi="Times New Roman" w:cs="Times New Roman"/>
          <w:sz w:val="43"/>
          <w:szCs w:val="43"/>
          <w:lang w:val="en-US" w:eastAsia="zh-CN"/>
        </w:rPr>
        <w:t>3</w:t>
      </w:r>
      <w:r>
        <w:rPr>
          <w:rFonts w:hint="eastAsia" w:ascii="方正小标宋_GBK" w:hAnsi="方正小标宋_GBK" w:eastAsia="方正小标宋_GBK" w:cs="方正小标宋_GBK"/>
          <w:sz w:val="43"/>
          <w:szCs w:val="43"/>
        </w:rPr>
        <w:t>年政府</w:t>
      </w:r>
    </w:p>
    <w:p>
      <w:pPr>
        <w:pStyle w:val="2"/>
        <w:keepNext w:val="0"/>
        <w:keepLines w:val="0"/>
        <w:widowControl/>
        <w:suppressLineNumbers w:val="0"/>
        <w:spacing w:line="315" w:lineRule="atLeast"/>
        <w:jc w:val="center"/>
      </w:pPr>
      <w:r>
        <w:rPr>
          <w:rFonts w:hint="eastAsia" w:ascii="方正小标宋_GBK" w:hAnsi="方正小标宋_GBK" w:eastAsia="方正小标宋_GBK" w:cs="方正小标宋_GBK"/>
          <w:sz w:val="43"/>
          <w:szCs w:val="43"/>
        </w:rPr>
        <w:t>信息公开年度报告</w:t>
      </w:r>
    </w:p>
    <w:p>
      <w:pPr>
        <w:pStyle w:val="2"/>
        <w:keepNext w:val="0"/>
        <w:keepLines w:val="0"/>
        <w:widowControl/>
        <w:suppressLineNumbers w:val="0"/>
        <w:spacing w:line="555" w:lineRule="atLeast"/>
      </w:pPr>
      <w:r>
        <w:rPr>
          <w:rFonts w:ascii="黑体" w:hAnsi="宋体" w:eastAsia="黑体" w:cs="黑体"/>
          <w:sz w:val="31"/>
          <w:szCs w:val="31"/>
        </w:rPr>
        <w:t>   </w:t>
      </w:r>
      <w:r>
        <w:rPr>
          <w:rFonts w:ascii="DejaVu Sans" w:hAnsi="DejaVu Sans" w:eastAsia="DejaVu Sans" w:cs="DejaVu Sans"/>
          <w:sz w:val="31"/>
          <w:szCs w:val="31"/>
        </w:rPr>
        <w:t> </w:t>
      </w:r>
    </w:p>
    <w:p>
      <w:pPr>
        <w:pStyle w:val="2"/>
        <w:keepNext w:val="0"/>
        <w:keepLines w:val="0"/>
        <w:widowControl/>
        <w:suppressLineNumbers w:val="0"/>
        <w:spacing w:line="420" w:lineRule="atLeast"/>
      </w:pPr>
      <w:r>
        <w:rPr>
          <w:rFonts w:ascii="仿宋_GB2312" w:eastAsia="仿宋_GB2312" w:cs="仿宋_GB2312"/>
          <w:sz w:val="31"/>
          <w:szCs w:val="31"/>
        </w:rPr>
        <w:t>    </w:t>
      </w:r>
      <w:r>
        <w:rPr>
          <w:rFonts w:hint="eastAsia" w:ascii="仿宋_GB2312" w:hAnsi="DejaVu Sans" w:eastAsia="仿宋_GB2312" w:cs="仿宋_GB2312"/>
          <w:sz w:val="31"/>
          <w:szCs w:val="31"/>
        </w:rPr>
        <w:t>本年度报告根据《中华人民共和国政府信息公开条例》《国务院办公厅政府信息与政务公开办公室关于政府信息公开工作年度报告有关事项的通知》以及市政府办公厅的有关规定要求，由天津市津南区生态环境局编制。全文包括总体情况，主动公开政府信息情况，收到和处理政府信息公开申请情况，政府信息公开行政复议、行政诉讼情况，存在的主要问题及改进情况，其他需要报告的事项。本年度报告中所列数据的统计期限</w:t>
      </w:r>
      <w:r>
        <w:rPr>
          <w:rFonts w:hint="eastAsia" w:ascii="仿宋_GB2312" w:hAnsi="Times New Roman" w:eastAsia="仿宋_GB2312" w:cs="仿宋_GB2312"/>
          <w:sz w:val="31"/>
          <w:szCs w:val="31"/>
        </w:rPr>
        <w:t>从</w:t>
      </w:r>
      <w:r>
        <w:rPr>
          <w:rFonts w:hint="default" w:ascii="Times New Roman" w:hAnsi="Times New Roman" w:cs="Times New Roman"/>
          <w:sz w:val="31"/>
          <w:szCs w:val="31"/>
        </w:rPr>
        <w:t>202</w:t>
      </w:r>
      <w:r>
        <w:rPr>
          <w:rFonts w:hint="eastAsia" w:ascii="Times New Roman" w:hAnsi="Times New Roman" w:cs="Times New Roman"/>
          <w:sz w:val="31"/>
          <w:szCs w:val="31"/>
          <w:lang w:val="en-US" w:eastAsia="zh-CN"/>
        </w:rPr>
        <w:t>3</w:t>
      </w:r>
      <w:r>
        <w:rPr>
          <w:rFonts w:hint="eastAsia" w:ascii="仿宋_GB2312" w:hAnsi="Times New Roman" w:eastAsia="仿宋_GB2312" w:cs="仿宋_GB2312"/>
          <w:sz w:val="31"/>
          <w:szCs w:val="31"/>
        </w:rPr>
        <w:t>年</w:t>
      </w:r>
      <w:r>
        <w:rPr>
          <w:rFonts w:hint="default" w:ascii="Times New Roman" w:hAnsi="Times New Roman" w:cs="Times New Roman"/>
          <w:sz w:val="31"/>
          <w:szCs w:val="31"/>
        </w:rPr>
        <w:t>1</w:t>
      </w:r>
      <w:r>
        <w:rPr>
          <w:rFonts w:hint="eastAsia" w:ascii="仿宋_GB2312" w:hAnsi="Times New Roman" w:eastAsia="仿宋_GB2312" w:cs="仿宋_GB2312"/>
          <w:sz w:val="31"/>
          <w:szCs w:val="31"/>
        </w:rPr>
        <w:t>月</w:t>
      </w:r>
      <w:r>
        <w:rPr>
          <w:rFonts w:hint="default" w:ascii="Times New Roman" w:hAnsi="Times New Roman" w:cs="Times New Roman"/>
          <w:sz w:val="31"/>
          <w:szCs w:val="31"/>
        </w:rPr>
        <w:t>1</w:t>
      </w:r>
      <w:r>
        <w:rPr>
          <w:rFonts w:hint="eastAsia" w:ascii="仿宋_GB2312" w:hAnsi="Times New Roman" w:eastAsia="仿宋_GB2312" w:cs="仿宋_GB2312"/>
          <w:sz w:val="31"/>
          <w:szCs w:val="31"/>
        </w:rPr>
        <w:t>日至</w:t>
      </w:r>
      <w:r>
        <w:rPr>
          <w:rFonts w:hint="default" w:ascii="Times New Roman" w:hAnsi="Times New Roman" w:cs="Times New Roman"/>
          <w:sz w:val="31"/>
          <w:szCs w:val="31"/>
        </w:rPr>
        <w:t>202</w:t>
      </w:r>
      <w:r>
        <w:rPr>
          <w:rFonts w:hint="eastAsia" w:ascii="Times New Roman" w:hAnsi="Times New Roman" w:cs="Times New Roman"/>
          <w:sz w:val="31"/>
          <w:szCs w:val="31"/>
          <w:lang w:val="en-US" w:eastAsia="zh-CN"/>
        </w:rPr>
        <w:t>3</w:t>
      </w:r>
      <w:r>
        <w:rPr>
          <w:rFonts w:hint="eastAsia" w:ascii="仿宋_GB2312" w:hAnsi="Times New Roman" w:eastAsia="仿宋_GB2312" w:cs="仿宋_GB2312"/>
          <w:sz w:val="31"/>
          <w:szCs w:val="31"/>
        </w:rPr>
        <w:t>年</w:t>
      </w:r>
      <w:r>
        <w:rPr>
          <w:rFonts w:hint="default" w:ascii="Times New Roman" w:hAnsi="Times New Roman" w:cs="Times New Roman"/>
          <w:sz w:val="31"/>
          <w:szCs w:val="31"/>
        </w:rPr>
        <w:t>12</w:t>
      </w:r>
      <w:r>
        <w:rPr>
          <w:rFonts w:hint="eastAsia" w:ascii="仿宋_GB2312" w:hAnsi="Times New Roman" w:eastAsia="仿宋_GB2312" w:cs="仿宋_GB2312"/>
          <w:sz w:val="31"/>
          <w:szCs w:val="31"/>
        </w:rPr>
        <w:t>月</w:t>
      </w:r>
      <w:r>
        <w:rPr>
          <w:rFonts w:hint="default" w:ascii="Times New Roman" w:hAnsi="Times New Roman" w:cs="Times New Roman"/>
          <w:sz w:val="31"/>
          <w:szCs w:val="31"/>
        </w:rPr>
        <w:t>31</w:t>
      </w:r>
      <w:r>
        <w:rPr>
          <w:rFonts w:hint="eastAsia" w:ascii="仿宋_GB2312" w:hAnsi="Times New Roman" w:eastAsia="仿宋_GB2312" w:cs="仿宋_GB2312"/>
          <w:sz w:val="31"/>
          <w:szCs w:val="31"/>
        </w:rPr>
        <w:t>日止。本年度报告的电子版本可以从津南政务网（</w:t>
      </w:r>
      <w:r>
        <w:rPr>
          <w:rFonts w:hint="default" w:ascii="Times New Roman" w:hAnsi="Times New Roman" w:cs="Times New Roman"/>
          <w:sz w:val="31"/>
          <w:szCs w:val="31"/>
        </w:rPr>
        <w:t>http://www.tjjn.gov.cn</w:t>
      </w:r>
      <w:r>
        <w:rPr>
          <w:rFonts w:hint="eastAsia" w:ascii="仿宋_GB2312" w:hAnsi="Times New Roman" w:eastAsia="仿宋_GB2312" w:cs="仿宋_GB2312"/>
          <w:sz w:val="31"/>
          <w:szCs w:val="31"/>
        </w:rPr>
        <w:t>）下载。如对本年度报告有疑问，请与津南区生态环境局联系。（联系电话：</w:t>
      </w:r>
      <w:r>
        <w:rPr>
          <w:rFonts w:hint="default" w:ascii="Times New Roman" w:hAnsi="Times New Roman" w:cs="Times New Roman"/>
          <w:sz w:val="31"/>
          <w:szCs w:val="31"/>
        </w:rPr>
        <w:t>022-28523189</w:t>
      </w:r>
      <w:r>
        <w:rPr>
          <w:rFonts w:hint="eastAsia" w:ascii="仿宋_GB2312" w:hAnsi="Times New Roman" w:eastAsia="仿宋_GB2312" w:cs="仿宋_GB2312"/>
          <w:sz w:val="31"/>
          <w:szCs w:val="31"/>
        </w:rPr>
        <w:t>，电子邮箱：</w:t>
      </w:r>
      <w:r>
        <w:rPr>
          <w:rFonts w:hint="default" w:ascii="Times New Roman" w:hAnsi="Times New Roman" w:cs="Times New Roman"/>
          <w:sz w:val="31"/>
          <w:szCs w:val="31"/>
        </w:rPr>
        <w:t>jnqsthjj01@tj.gov.cn</w:t>
      </w:r>
      <w:r>
        <w:rPr>
          <w:rFonts w:hint="eastAsia" w:ascii="仿宋_GB2312" w:hAnsi="Times New Roman" w:eastAsia="仿宋_GB2312" w:cs="仿宋_GB2312"/>
          <w:sz w:val="31"/>
          <w:szCs w:val="31"/>
        </w:rPr>
        <w:t>）。</w:t>
      </w:r>
    </w:p>
    <w:p>
      <w:pPr>
        <w:pStyle w:val="2"/>
        <w:keepNext w:val="0"/>
        <w:keepLines w:val="0"/>
        <w:widowControl/>
        <w:suppressLineNumbers w:val="0"/>
        <w:spacing w:line="555" w:lineRule="atLeast"/>
      </w:pPr>
      <w:r>
        <w:rPr>
          <w:rFonts w:hint="eastAsia" w:ascii="黑体" w:hAnsi="宋体" w:eastAsia="黑体" w:cs="黑体"/>
          <w:sz w:val="31"/>
          <w:szCs w:val="31"/>
        </w:rPr>
        <w:t>    一、总体情况</w:t>
      </w:r>
    </w:p>
    <w:p>
      <w:pPr>
        <w:pStyle w:val="2"/>
        <w:keepNext w:val="0"/>
        <w:keepLines w:val="0"/>
        <w:widowControl/>
        <w:suppressLineNumbers w:val="0"/>
        <w:spacing w:line="555" w:lineRule="atLeast"/>
      </w:pPr>
      <w:r>
        <w:rPr>
          <w:rFonts w:hint="default" w:ascii="DejaVu Sans" w:hAnsi="DejaVu Sans" w:eastAsia="DejaVu Sans" w:cs="DejaVu Sans"/>
          <w:sz w:val="31"/>
          <w:szCs w:val="31"/>
        </w:rPr>
        <w:t>   </w:t>
      </w:r>
      <w:r>
        <w:rPr>
          <w:rFonts w:hint="default" w:ascii="Times New Roman" w:hAnsi="Times New Roman" w:cs="Times New Roman"/>
          <w:sz w:val="31"/>
          <w:szCs w:val="31"/>
        </w:rPr>
        <w:t> 202</w:t>
      </w:r>
      <w:r>
        <w:rPr>
          <w:rFonts w:hint="eastAsia" w:ascii="Times New Roman" w:hAnsi="Times New Roman" w:cs="Times New Roman"/>
          <w:sz w:val="31"/>
          <w:szCs w:val="31"/>
          <w:lang w:val="en-US" w:eastAsia="zh-CN"/>
        </w:rPr>
        <w:t>3</w:t>
      </w:r>
      <w:r>
        <w:rPr>
          <w:rFonts w:hint="eastAsia" w:ascii="仿宋_GB2312" w:hAnsi="Times New Roman" w:eastAsia="仿宋_GB2312" w:cs="仿宋_GB2312"/>
          <w:sz w:val="31"/>
          <w:szCs w:val="31"/>
        </w:rPr>
        <w:t>年，我局认真贯彻落实《国务院办公厅印发</w:t>
      </w:r>
      <w:r>
        <w:rPr>
          <w:rFonts w:hint="default" w:ascii="Times New Roman" w:hAnsi="Times New Roman" w:cs="Times New Roman"/>
          <w:sz w:val="31"/>
          <w:szCs w:val="31"/>
        </w:rPr>
        <w:t>&lt;</w:t>
      </w:r>
      <w:r>
        <w:rPr>
          <w:rFonts w:hint="eastAsia" w:ascii="仿宋_GB2312" w:hAnsi="Times New Roman" w:eastAsia="仿宋_GB2312" w:cs="仿宋_GB2312"/>
          <w:sz w:val="31"/>
          <w:szCs w:val="31"/>
        </w:rPr>
        <w:t>关于全面推进政务公开工作的意见</w:t>
      </w:r>
      <w:r>
        <w:rPr>
          <w:rFonts w:hint="default" w:ascii="Times New Roman" w:hAnsi="Times New Roman" w:cs="Times New Roman"/>
          <w:sz w:val="31"/>
          <w:szCs w:val="31"/>
        </w:rPr>
        <w:t>&gt;</w:t>
      </w:r>
      <w:r>
        <w:rPr>
          <w:rFonts w:hint="eastAsia" w:ascii="仿宋_GB2312" w:hAnsi="Times New Roman" w:eastAsia="仿宋_GB2312" w:cs="仿宋_GB2312"/>
          <w:sz w:val="31"/>
          <w:szCs w:val="31"/>
        </w:rPr>
        <w:t>实施细则的通知》及《中共天津市委办公厅天津市人民政府办公厅印发</w:t>
      </w:r>
      <w:r>
        <w:rPr>
          <w:rFonts w:hint="default" w:ascii="Times New Roman" w:hAnsi="Times New Roman" w:cs="Times New Roman"/>
          <w:sz w:val="31"/>
          <w:szCs w:val="31"/>
        </w:rPr>
        <w:t>&lt;</w:t>
      </w:r>
      <w:r>
        <w:rPr>
          <w:rFonts w:hint="eastAsia" w:ascii="仿宋_GB2312" w:hAnsi="Times New Roman" w:eastAsia="仿宋_GB2312" w:cs="仿宋_GB2312"/>
          <w:sz w:val="31"/>
          <w:szCs w:val="31"/>
        </w:rPr>
        <w:t>关于全面推进政务公开工作的实施意见</w:t>
      </w:r>
      <w:r>
        <w:rPr>
          <w:rFonts w:hint="default" w:ascii="Times New Roman" w:hAnsi="Times New Roman" w:cs="Times New Roman"/>
          <w:sz w:val="31"/>
          <w:szCs w:val="31"/>
        </w:rPr>
        <w:t>&gt;</w:t>
      </w:r>
      <w:r>
        <w:rPr>
          <w:rFonts w:hint="eastAsia" w:ascii="仿宋_GB2312" w:hAnsi="Times New Roman" w:eastAsia="仿宋_GB2312" w:cs="仿宋_GB2312"/>
          <w:sz w:val="31"/>
          <w:szCs w:val="31"/>
        </w:rPr>
        <w:t>的通知》等文件精神，深入推进生态环境系统政务公开工作，并将其作为提升部门形象，提高办事效率，增加行政执法透明度的一项重要工作来抓。</w:t>
      </w:r>
      <w:r>
        <w:rPr>
          <w:rFonts w:hint="default" w:ascii="Times New Roman" w:hAnsi="Times New Roman" w:cs="Times New Roman"/>
          <w:sz w:val="31"/>
          <w:szCs w:val="31"/>
        </w:rPr>
        <w:t>202</w:t>
      </w:r>
      <w:r>
        <w:rPr>
          <w:rFonts w:hint="eastAsia" w:ascii="Times New Roman" w:hAnsi="Times New Roman" w:cs="Times New Roman"/>
          <w:sz w:val="31"/>
          <w:szCs w:val="31"/>
          <w:lang w:val="en-US" w:eastAsia="zh-CN"/>
        </w:rPr>
        <w:t>3</w:t>
      </w:r>
      <w:r>
        <w:rPr>
          <w:rFonts w:hint="eastAsia" w:ascii="仿宋_GB2312" w:hAnsi="Times New Roman" w:eastAsia="仿宋_GB2312" w:cs="仿宋_GB2312"/>
          <w:sz w:val="31"/>
          <w:szCs w:val="31"/>
        </w:rPr>
        <w:t>年我单位通过津南政务网站主动公开政府信息</w:t>
      </w:r>
      <w:r>
        <w:rPr>
          <w:rFonts w:hint="eastAsia" w:ascii="Times New Roman" w:hAnsi="Times New Roman" w:eastAsia="仿宋_GB2312" w:cs="Times New Roman"/>
          <w:sz w:val="31"/>
          <w:szCs w:val="31"/>
          <w:lang w:val="en-US" w:eastAsia="zh-CN"/>
        </w:rPr>
        <w:t>101</w:t>
      </w:r>
      <w:r>
        <w:rPr>
          <w:rFonts w:hint="eastAsia" w:ascii="仿宋_GB2312" w:hAnsi="Times New Roman" w:eastAsia="仿宋_GB2312" w:cs="仿宋_GB2312"/>
          <w:sz w:val="31"/>
          <w:szCs w:val="31"/>
        </w:rPr>
        <w:t>条，公开信息涵盖环境违法行为责令改正违法行为决定书、行政处罚决定书、</w:t>
      </w:r>
      <w:r>
        <w:rPr>
          <w:rFonts w:hint="eastAsia" w:ascii="仿宋_GB2312" w:hAnsi="Times New Roman" w:eastAsia="仿宋_GB2312" w:cs="仿宋_GB2312"/>
          <w:sz w:val="31"/>
          <w:szCs w:val="31"/>
          <w:lang w:eastAsia="zh-CN"/>
        </w:rPr>
        <w:t>双随机检查结果</w:t>
      </w:r>
      <w:r>
        <w:rPr>
          <w:rFonts w:hint="eastAsia" w:ascii="仿宋_GB2312" w:hAnsi="Times New Roman" w:eastAsia="仿宋_GB2312" w:cs="仿宋_GB2312"/>
          <w:sz w:val="31"/>
          <w:szCs w:val="31"/>
        </w:rPr>
        <w:t>、津南区环境质量公报和津南区水环境监督性监测结果等方面的文件及工作进展，关乎群众及企业的生态环境利益，便于社会公众及时了解生态环境工作动态和相关政策。</w:t>
      </w:r>
    </w:p>
    <w:p>
      <w:pPr>
        <w:pStyle w:val="2"/>
        <w:keepNext w:val="0"/>
        <w:keepLines w:val="0"/>
        <w:widowControl/>
        <w:suppressLineNumbers w:val="0"/>
        <w:spacing w:line="555" w:lineRule="atLeast"/>
      </w:pPr>
      <w:r>
        <w:rPr>
          <w:rFonts w:hint="default" w:ascii="DejaVu Sans" w:hAnsi="DejaVu Sans" w:eastAsia="DejaVu Sans" w:cs="DejaVu Sans"/>
          <w:sz w:val="31"/>
          <w:szCs w:val="31"/>
        </w:rPr>
        <w:t>    </w:t>
      </w:r>
      <w:r>
        <w:rPr>
          <w:rFonts w:hint="eastAsia" w:ascii="黑体" w:hAnsi="宋体" w:eastAsia="黑体" w:cs="黑体"/>
          <w:sz w:val="31"/>
          <w:szCs w:val="31"/>
        </w:rPr>
        <w:t>二、主动公开政府信息情况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150" w:type="dxa"/>
          <w:bottom w:w="75" w:type="dxa"/>
          <w:right w:w="150" w:type="dxa"/>
        </w:tblCellMar>
      </w:tblPr>
      <w:tblGrid>
        <w:gridCol w:w="2103"/>
        <w:gridCol w:w="2103"/>
        <w:gridCol w:w="2103"/>
        <w:gridCol w:w="211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jc w:val="center"/>
        </w:trPr>
        <w:tc>
          <w:tcPr>
            <w:tcW w:w="9735" w:type="dxa"/>
            <w:gridSpan w:val="4"/>
            <w:tcBorders>
              <w:top w:val="single" w:color="auto" w:sz="6" w:space="0"/>
              <w:left w:val="single" w:color="auto" w:sz="6" w:space="0"/>
              <w:bottom w:val="single" w:color="auto" w:sz="6" w:space="0"/>
              <w:right w:val="single" w:color="auto" w:sz="6" w:space="0"/>
            </w:tcBorders>
            <w:shd w:val="clear" w:color="auto" w:fill="C6D9F1"/>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8"/>
                <w:szCs w:val="28"/>
              </w:rP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8"/>
                <w:szCs w:val="28"/>
              </w:rPr>
              <w:t>信息内容</w:t>
            </w:r>
          </w:p>
        </w:tc>
        <w:tc>
          <w:tcPr>
            <w:tcW w:w="2430" w:type="dxa"/>
            <w:tcBorders>
              <w:top w:val="single" w:color="auto" w:sz="6" w:space="0"/>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8"/>
                <w:szCs w:val="28"/>
              </w:rPr>
              <w:t>本年制发件数</w:t>
            </w:r>
          </w:p>
        </w:tc>
        <w:tc>
          <w:tcPr>
            <w:tcW w:w="2430" w:type="dxa"/>
            <w:tcBorders>
              <w:top w:val="single" w:color="auto" w:sz="6" w:space="0"/>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8"/>
                <w:szCs w:val="28"/>
              </w:rPr>
              <w:t>本年废止件数</w:t>
            </w:r>
          </w:p>
        </w:tc>
        <w:tc>
          <w:tcPr>
            <w:tcW w:w="2430" w:type="dxa"/>
            <w:tcBorders>
              <w:top w:val="single" w:color="auto" w:sz="6" w:space="0"/>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8"/>
                <w:szCs w:val="28"/>
              </w:rPr>
              <w:t>现行有效件数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28"/>
                <w:szCs w:val="28"/>
              </w:rPr>
              <w:t>规章</w:t>
            </w:r>
          </w:p>
        </w:tc>
        <w:tc>
          <w:tcPr>
            <w:tcW w:w="243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8"/>
                <w:szCs w:val="28"/>
              </w:rPr>
              <w:t>0</w:t>
            </w:r>
          </w:p>
        </w:tc>
        <w:tc>
          <w:tcPr>
            <w:tcW w:w="243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8"/>
                <w:szCs w:val="28"/>
              </w:rPr>
              <w:t>0</w:t>
            </w:r>
          </w:p>
        </w:tc>
        <w:tc>
          <w:tcPr>
            <w:tcW w:w="243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8"/>
                <w:szCs w:val="28"/>
              </w:rPr>
            </w:pPr>
            <w:r>
              <w:rPr>
                <w:rFonts w:hint="eastAsia" w:ascii="宋体" w:hAnsi="宋体" w:eastAsia="宋体" w:cs="宋体"/>
                <w:sz w:val="28"/>
                <w:szCs w:val="2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28"/>
                <w:szCs w:val="28"/>
              </w:rPr>
              <w:t>行政规范性文件</w:t>
            </w:r>
          </w:p>
        </w:tc>
        <w:tc>
          <w:tcPr>
            <w:tcW w:w="243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Theme="minorEastAsia"/>
                <w:lang w:eastAsia="zh-CN"/>
              </w:rPr>
            </w:pPr>
            <w:r>
              <w:rPr>
                <w:rFonts w:hint="eastAsia" w:ascii="宋体" w:hAnsi="宋体" w:eastAsia="宋体" w:cs="宋体"/>
                <w:sz w:val="28"/>
                <w:szCs w:val="28"/>
                <w:lang w:val="en-US" w:eastAsia="zh-CN"/>
              </w:rPr>
              <w:t>1</w:t>
            </w:r>
          </w:p>
        </w:tc>
        <w:tc>
          <w:tcPr>
            <w:tcW w:w="243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Theme="minorEastAsia"/>
                <w:lang w:eastAsia="zh-CN"/>
              </w:rPr>
            </w:pPr>
            <w:r>
              <w:rPr>
                <w:rFonts w:hint="eastAsia" w:ascii="宋体" w:hAnsi="宋体" w:eastAsia="宋体" w:cs="宋体"/>
                <w:sz w:val="28"/>
                <w:szCs w:val="28"/>
                <w:lang w:val="en-US" w:eastAsia="zh-CN"/>
              </w:rPr>
              <w:t>0</w:t>
            </w:r>
          </w:p>
        </w:tc>
        <w:tc>
          <w:tcPr>
            <w:tcW w:w="243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jc w:val="center"/>
        </w:trPr>
        <w:tc>
          <w:tcPr>
            <w:tcW w:w="9735" w:type="dxa"/>
            <w:gridSpan w:val="4"/>
            <w:tcBorders>
              <w:top w:val="nil"/>
              <w:left w:val="single" w:color="auto" w:sz="6" w:space="0"/>
              <w:bottom w:val="single" w:color="auto" w:sz="6" w:space="0"/>
              <w:right w:val="single" w:color="auto" w:sz="6" w:space="0"/>
            </w:tcBorders>
            <w:shd w:val="clear" w:color="auto" w:fill="C6D9F1"/>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8"/>
                <w:szCs w:val="28"/>
              </w:rP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8"/>
                <w:szCs w:val="28"/>
              </w:rPr>
              <w:t>信息内容</w:t>
            </w:r>
          </w:p>
        </w:tc>
        <w:tc>
          <w:tcPr>
            <w:tcW w:w="7305" w:type="dxa"/>
            <w:gridSpan w:val="3"/>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8"/>
                <w:szCs w:val="28"/>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28"/>
                <w:szCs w:val="28"/>
              </w:rPr>
              <w:t>行政许可</w:t>
            </w:r>
          </w:p>
        </w:tc>
        <w:tc>
          <w:tcPr>
            <w:tcW w:w="7305" w:type="dxa"/>
            <w:gridSpan w:val="3"/>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8"/>
                <w:szCs w:val="28"/>
              </w:rPr>
            </w:pPr>
            <w:r>
              <w:rPr>
                <w:rFonts w:hint="default" w:ascii="宋体" w:hAnsi="宋体" w:eastAsia="宋体" w:cs="宋体"/>
                <w:sz w:val="28"/>
                <w:szCs w:val="2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jc w:val="center"/>
        </w:trPr>
        <w:tc>
          <w:tcPr>
            <w:tcW w:w="9735" w:type="dxa"/>
            <w:gridSpan w:val="4"/>
            <w:tcBorders>
              <w:top w:val="nil"/>
              <w:left w:val="single" w:color="auto" w:sz="6" w:space="0"/>
              <w:bottom w:val="single" w:color="auto" w:sz="6" w:space="0"/>
              <w:right w:val="single" w:color="auto" w:sz="6" w:space="0"/>
            </w:tcBorders>
            <w:shd w:val="clear" w:color="auto" w:fill="C6D9F1"/>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8"/>
                <w:szCs w:val="28"/>
              </w:rPr>
            </w:pPr>
            <w:r>
              <w:rPr>
                <w:rFonts w:hint="eastAsia" w:ascii="宋体" w:hAnsi="宋体" w:eastAsia="宋体" w:cs="宋体"/>
                <w:sz w:val="28"/>
                <w:szCs w:val="28"/>
              </w:rP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8"/>
                <w:szCs w:val="28"/>
              </w:rPr>
              <w:t>信息内容</w:t>
            </w:r>
          </w:p>
        </w:tc>
        <w:tc>
          <w:tcPr>
            <w:tcW w:w="7305" w:type="dxa"/>
            <w:gridSpan w:val="3"/>
            <w:tcBorders>
              <w:top w:val="single" w:color="auto" w:sz="6" w:space="0"/>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8"/>
                <w:szCs w:val="28"/>
              </w:rPr>
            </w:pPr>
            <w:r>
              <w:rPr>
                <w:rFonts w:hint="eastAsia" w:ascii="宋体" w:hAnsi="宋体" w:eastAsia="宋体" w:cs="宋体"/>
                <w:sz w:val="28"/>
                <w:szCs w:val="28"/>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28"/>
                <w:szCs w:val="28"/>
              </w:rPr>
              <w:t>行政处罚</w:t>
            </w:r>
          </w:p>
        </w:tc>
        <w:tc>
          <w:tcPr>
            <w:tcW w:w="7305" w:type="dxa"/>
            <w:gridSpan w:val="3"/>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28"/>
                <w:szCs w:val="28"/>
              </w:rPr>
              <w:t>行政强制</w:t>
            </w:r>
          </w:p>
        </w:tc>
        <w:tc>
          <w:tcPr>
            <w:tcW w:w="7305" w:type="dxa"/>
            <w:gridSpan w:val="3"/>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Theme="minorEastAsia"/>
                <w:lang w:eastAsia="zh-CN"/>
              </w:rPr>
            </w:pPr>
            <w:r>
              <w:rPr>
                <w:rFonts w:hint="eastAsia" w:ascii="宋体" w:hAnsi="宋体" w:eastAsia="宋体" w:cs="宋体"/>
                <w:sz w:val="28"/>
                <w:szCs w:val="28"/>
                <w:lang w:val="en-US" w:eastAsia="zh-CN"/>
              </w:rPr>
              <w:t>0</w:t>
            </w:r>
            <w:bookmarkStart w:id="0" w:name="_GoBack"/>
            <w:bookmarkEnd w:id="0"/>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jc w:val="center"/>
        </w:trPr>
        <w:tc>
          <w:tcPr>
            <w:tcW w:w="9735" w:type="dxa"/>
            <w:gridSpan w:val="4"/>
            <w:tcBorders>
              <w:top w:val="nil"/>
              <w:left w:val="single" w:color="auto" w:sz="6" w:space="0"/>
              <w:bottom w:val="single" w:color="auto" w:sz="6" w:space="0"/>
              <w:right w:val="single" w:color="auto" w:sz="6" w:space="0"/>
            </w:tcBorders>
            <w:shd w:val="clear" w:color="auto" w:fill="C6D9F1"/>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8"/>
                <w:szCs w:val="28"/>
              </w:rP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8"/>
                <w:szCs w:val="28"/>
              </w:rPr>
              <w:t>信息内容</w:t>
            </w:r>
          </w:p>
        </w:tc>
        <w:tc>
          <w:tcPr>
            <w:tcW w:w="7305" w:type="dxa"/>
            <w:gridSpan w:val="3"/>
            <w:tcBorders>
              <w:top w:val="nil"/>
              <w:left w:val="nil"/>
              <w:bottom w:val="single" w:color="auto" w:sz="6" w:space="0"/>
              <w:right w:val="single" w:color="000000"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8"/>
                <w:szCs w:val="28"/>
              </w:rPr>
              <w:t>本年收费金额（单位：万元）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28"/>
                <w:szCs w:val="28"/>
              </w:rPr>
              <w:t>行政事业性收费</w:t>
            </w:r>
          </w:p>
        </w:tc>
        <w:tc>
          <w:tcPr>
            <w:tcW w:w="7305" w:type="dxa"/>
            <w:gridSpan w:val="3"/>
            <w:tcBorders>
              <w:top w:val="nil"/>
              <w:left w:val="nil"/>
              <w:bottom w:val="single" w:color="auto" w:sz="6" w:space="0"/>
              <w:right w:val="single" w:color="000000"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8"/>
                <w:szCs w:val="28"/>
              </w:rPr>
              <w:t>0</w:t>
            </w:r>
          </w:p>
        </w:tc>
      </w:tr>
    </w:tbl>
    <w:p>
      <w:pPr>
        <w:pStyle w:val="2"/>
        <w:keepNext w:val="0"/>
        <w:keepLines w:val="0"/>
        <w:widowControl/>
        <w:suppressLineNumbers w:val="0"/>
        <w:shd w:val="clear" w:fill="FFFFFF"/>
        <w:spacing w:line="315" w:lineRule="atLeast"/>
      </w:pPr>
      <w:r>
        <w:rPr>
          <w:rFonts w:hint="eastAsia" w:ascii="黑体" w:hAnsi="宋体" w:eastAsia="黑体" w:cs="黑体"/>
          <w:sz w:val="31"/>
          <w:szCs w:val="31"/>
          <w:shd w:val="clear" w:fill="FFFFFF"/>
        </w:rPr>
        <w:t>    三、收到和处理政府信息公开申请情况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150" w:type="dxa"/>
          <w:bottom w:w="75" w:type="dxa"/>
          <w:right w:w="150" w:type="dxa"/>
        </w:tblCellMar>
      </w:tblPr>
      <w:tblGrid>
        <w:gridCol w:w="703"/>
        <w:gridCol w:w="887"/>
        <w:gridCol w:w="2618"/>
        <w:gridCol w:w="609"/>
        <w:gridCol w:w="609"/>
        <w:gridCol w:w="609"/>
        <w:gridCol w:w="609"/>
        <w:gridCol w:w="609"/>
        <w:gridCol w:w="609"/>
        <w:gridCol w:w="60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5145" w:type="dxa"/>
            <w:gridSpan w:val="3"/>
            <w:vMerge w:val="restart"/>
            <w:tcBorders>
              <w:top w:val="single" w:color="auto" w:sz="6" w:space="0"/>
              <w:left w:val="single" w:color="auto" w:sz="6" w:space="0"/>
              <w:bottom w:val="inset"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ascii="楷体" w:hAnsi="楷体" w:eastAsia="楷体" w:cs="楷体"/>
                <w:sz w:val="19"/>
                <w:szCs w:val="19"/>
              </w:rPr>
              <w:t>（本列数据的勾稽关系为：第一项加第二项之和，等于第三项加第四项之和）</w:t>
            </w:r>
          </w:p>
        </w:tc>
        <w:tc>
          <w:tcPr>
            <w:tcW w:w="4995" w:type="dxa"/>
            <w:gridSpan w:val="7"/>
            <w:tcBorders>
              <w:top w:val="single" w:color="auto" w:sz="6" w:space="0"/>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9"/>
                <w:szCs w:val="19"/>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5145" w:type="dxa"/>
            <w:gridSpan w:val="3"/>
            <w:vMerge w:val="continue"/>
            <w:tcBorders>
              <w:top w:val="single" w:color="auto" w:sz="6" w:space="0"/>
              <w:left w:val="single" w:color="auto" w:sz="6" w:space="0"/>
              <w:bottom w:val="inset"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720" w:type="dxa"/>
            <w:vMerge w:val="restart"/>
            <w:tcBorders>
              <w:top w:val="single" w:color="auto" w:sz="6" w:space="0"/>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9"/>
                <w:szCs w:val="19"/>
              </w:rPr>
              <w:t>自然人</w:t>
            </w:r>
          </w:p>
        </w:tc>
        <w:tc>
          <w:tcPr>
            <w:tcW w:w="3570" w:type="dxa"/>
            <w:gridSpan w:val="5"/>
            <w:tcBorders>
              <w:top w:val="single" w:color="auto" w:sz="6" w:space="0"/>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9"/>
                <w:szCs w:val="19"/>
              </w:rPr>
              <w:t>法人或其他组织</w:t>
            </w:r>
          </w:p>
        </w:tc>
        <w:tc>
          <w:tcPr>
            <w:tcW w:w="720" w:type="dxa"/>
            <w:vMerge w:val="restart"/>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9"/>
                <w:szCs w:val="19"/>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5145" w:type="dxa"/>
            <w:gridSpan w:val="3"/>
            <w:vMerge w:val="continue"/>
            <w:tcBorders>
              <w:top w:val="single" w:color="auto" w:sz="6" w:space="0"/>
              <w:left w:val="single" w:color="auto" w:sz="6" w:space="0"/>
              <w:bottom w:val="inset"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720" w:type="dxa"/>
            <w:tcBorders>
              <w:top w:val="single" w:color="auto" w:sz="6" w:space="0"/>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9"/>
                <w:szCs w:val="19"/>
              </w:rPr>
              <w:t>商业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9"/>
                <w:szCs w:val="19"/>
              </w:rPr>
              <w:t>企业</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9"/>
                <w:szCs w:val="19"/>
              </w:rPr>
              <w:t>科研</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9"/>
                <w:szCs w:val="19"/>
              </w:rPr>
              <w:t>机构</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9"/>
                <w:szCs w:val="19"/>
              </w:rPr>
              <w:t>社会公益组织</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9"/>
                <w:szCs w:val="19"/>
              </w:rPr>
              <w:t>法律服务机构</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9"/>
                <w:szCs w:val="19"/>
              </w:rPr>
              <w:t>其他</w:t>
            </w:r>
          </w:p>
        </w:tc>
        <w:tc>
          <w:tcPr>
            <w:tcW w:w="72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5145" w:type="dxa"/>
            <w:gridSpan w:val="3"/>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一、本年新收政府信息公开申请数量</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Calibri" w:hAnsi="Calibri" w:eastAsia="宋体" w:cs="Calibri"/>
                <w:sz w:val="19"/>
                <w:szCs w:val="19"/>
                <w:lang w:val="en-US" w:eastAsia="zh-CN"/>
              </w:rPr>
              <w:t>4</w:t>
            </w:r>
            <w:r>
              <w:rPr>
                <w:rFonts w:hint="default" w:ascii="Calibri" w:hAnsi="Calibri" w:cs="Calibri"/>
                <w:sz w:val="19"/>
                <w:szCs w:val="19"/>
              </w:rPr>
              <w:t> </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Calibri" w:hAnsi="Calibri" w:eastAsia="宋体" w:cs="Calibri"/>
                <w:sz w:val="19"/>
                <w:szCs w:val="19"/>
                <w:lang w:val="en-US" w:eastAsia="zh-CN"/>
              </w:rPr>
              <w:t>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5145" w:type="dxa"/>
            <w:gridSpan w:val="3"/>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二、上年结转政府信息公开申请数量</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80" w:type="dxa"/>
            <w:vMerge w:val="restart"/>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三、本年度办理结果</w:t>
            </w:r>
          </w:p>
        </w:tc>
        <w:tc>
          <w:tcPr>
            <w:tcW w:w="4365" w:type="dxa"/>
            <w:gridSpan w:val="2"/>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（一）予以公开</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Theme="minorEastAsia"/>
                <w:lang w:eastAsia="zh-CN"/>
              </w:rPr>
            </w:pPr>
            <w:r>
              <w:rPr>
                <w:rFonts w:hint="default" w:ascii="Calibri" w:hAnsi="Calibri" w:cs="Calibri"/>
                <w:sz w:val="19"/>
                <w:szCs w:val="19"/>
              </w:rPr>
              <w:t> </w:t>
            </w:r>
            <w:r>
              <w:rPr>
                <w:rFonts w:hint="eastAsia" w:ascii="Calibri" w:hAnsi="Calibri" w:eastAsia="宋体" w:cs="Calibri"/>
                <w:sz w:val="19"/>
                <w:szCs w:val="19"/>
                <w:lang w:val="en-US" w:eastAsia="zh-CN"/>
              </w:rPr>
              <w:t>1</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single" w:color="auto" w:sz="6" w:space="0"/>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Theme="minorEastAsia"/>
                <w:lang w:eastAsia="zh-CN"/>
              </w:rPr>
            </w:pPr>
            <w:r>
              <w:rPr>
                <w:rFonts w:hint="eastAsia" w:ascii="Calibri" w:hAnsi="Calibri" w:eastAsia="宋体" w:cs="Calibri"/>
                <w:sz w:val="19"/>
                <w:szCs w:val="19"/>
                <w:lang w:val="en-US" w:eastAsia="zh-CN"/>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4365" w:type="dxa"/>
            <w:gridSpan w:val="2"/>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（二）部分公开</w:t>
            </w:r>
            <w:r>
              <w:rPr>
                <w:rFonts w:hint="eastAsia" w:ascii="楷体" w:hAnsi="楷体" w:eastAsia="楷体" w:cs="楷体"/>
                <w:sz w:val="19"/>
                <w:szCs w:val="19"/>
              </w:rPr>
              <w:t>（区分处理的，只计这一情形，不计其他情形）</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960" w:type="dxa"/>
            <w:vMerge w:val="restart"/>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（三）不予公开</w:t>
            </w:r>
          </w:p>
        </w:tc>
        <w:tc>
          <w:tcPr>
            <w:tcW w:w="340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1.属于国家秘密</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single" w:color="auto" w:sz="6" w:space="0"/>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96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340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2.其他法律行政法规禁止公开</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96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340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3.危及“三安全一稳定”</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96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340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4.保护第三方合法权益</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96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340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5.属于三类内部事务信息</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96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340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6.属于四类过程性信息</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96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340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7.属于行政执法案卷</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96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340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8.属于行政查询事项</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960" w:type="dxa"/>
            <w:vMerge w:val="restart"/>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（四）无法提供</w:t>
            </w:r>
          </w:p>
        </w:tc>
        <w:tc>
          <w:tcPr>
            <w:tcW w:w="340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1.本机关不掌握相关政府信息</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Theme="minorEastAsia"/>
                <w:lang w:eastAsia="zh-CN"/>
              </w:rPr>
            </w:pPr>
            <w:r>
              <w:rPr>
                <w:rFonts w:hint="eastAsia" w:ascii="Calibri" w:hAnsi="Calibri" w:eastAsia="宋体" w:cs="Calibri"/>
                <w:sz w:val="19"/>
                <w:szCs w:val="19"/>
                <w:lang w:val="en-US" w:eastAsia="zh-CN"/>
              </w:rPr>
              <w:t>3</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Theme="minorEastAsia"/>
                <w:lang w:eastAsia="zh-CN"/>
              </w:rPr>
            </w:pPr>
            <w:r>
              <w:rPr>
                <w:rFonts w:hint="eastAsia" w:ascii="Calibri" w:hAnsi="Calibri" w:cs="Calibri"/>
                <w:sz w:val="19"/>
                <w:szCs w:val="19"/>
                <w:lang w:val="en-US" w:eastAsia="zh-CN"/>
              </w:rPr>
              <w:t>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96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340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2.没有现成信息需要另行制作</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96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340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3.补正后申请内容仍不明确</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960" w:type="dxa"/>
            <w:vMerge w:val="restart"/>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（五）不予处理</w:t>
            </w:r>
          </w:p>
        </w:tc>
        <w:tc>
          <w:tcPr>
            <w:tcW w:w="340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1.信访举报投诉类申请</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96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340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2.重复申请</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96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340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3.要求提供公开出版物</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96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340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4.无正当理由大量反复申请</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780" w:hRule="atLeast"/>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96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3405" w:type="dxa"/>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5.要求行政机关确认或重新出具已获取信息</w:t>
            </w:r>
          </w:p>
        </w:tc>
        <w:tc>
          <w:tcPr>
            <w:tcW w:w="720" w:type="dxa"/>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960" w:type="dxa"/>
            <w:vMerge w:val="restart"/>
            <w:tcBorders>
              <w:top w:val="nil"/>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（六）其他处理</w:t>
            </w:r>
          </w:p>
        </w:tc>
        <w:tc>
          <w:tcPr>
            <w:tcW w:w="3405"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1.申请人无正当理由逾期不补正、行政机关不再处理其政府信息公开申请</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960" w:type="dxa"/>
            <w:vMerge w:val="continue"/>
            <w:tcBorders>
              <w:top w:val="nil"/>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3405"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2.申请人逾期未按收费通知要求缴纳费用、行政机关不再处理其政府信息公开申请</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960" w:type="dxa"/>
            <w:vMerge w:val="continue"/>
            <w:tcBorders>
              <w:top w:val="nil"/>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3405"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3.其他</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4365" w:type="dxa"/>
            <w:gridSpan w:val="2"/>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（七）总计</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Calibri" w:hAnsi="Calibri" w:eastAsia="宋体" w:cs="Calibri"/>
                <w:sz w:val="19"/>
                <w:szCs w:val="19"/>
                <w:lang w:val="en-US" w:eastAsia="zh-CN"/>
              </w:rPr>
              <w:t>4</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Theme="minorEastAsia"/>
                <w:lang w:eastAsia="zh-CN"/>
              </w:rPr>
            </w:pPr>
            <w:r>
              <w:rPr>
                <w:rFonts w:hint="eastAsia" w:ascii="Calibri" w:hAnsi="Calibri" w:cs="Calibri"/>
                <w:sz w:val="19"/>
                <w:szCs w:val="19"/>
                <w:lang w:val="en-US" w:eastAsia="zh-CN"/>
              </w:rPr>
              <w:t>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5145" w:type="dxa"/>
            <w:gridSpan w:val="3"/>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四、结转下年度继续办理</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rPr>
              <w:t>0</w:t>
            </w:r>
          </w:p>
        </w:tc>
      </w:tr>
    </w:tbl>
    <w:p>
      <w:pPr>
        <w:pStyle w:val="2"/>
        <w:keepNext w:val="0"/>
        <w:keepLines w:val="0"/>
        <w:widowControl/>
        <w:suppressLineNumbers w:val="0"/>
        <w:shd w:val="clear" w:fill="FFFFFF"/>
        <w:spacing w:line="315" w:lineRule="atLeast"/>
      </w:pPr>
      <w:r>
        <w:rPr>
          <w:rFonts w:hint="eastAsia" w:ascii="黑体" w:hAnsi="宋体" w:eastAsia="黑体" w:cs="黑体"/>
          <w:sz w:val="31"/>
          <w:szCs w:val="31"/>
          <w:shd w:val="clear" w:fill="FFFFFF"/>
        </w:rPr>
        <w:t>    四、政府信息公开行政复议、行政诉讼情况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150" w:type="dxa"/>
          <w:bottom w:w="75" w:type="dxa"/>
          <w:right w:w="150" w:type="dxa"/>
        </w:tblCellMar>
      </w:tblPr>
      <w:tblGrid>
        <w:gridCol w:w="567"/>
        <w:gridCol w:w="567"/>
        <w:gridCol w:w="567"/>
        <w:gridCol w:w="567"/>
        <w:gridCol w:w="568"/>
        <w:gridCol w:w="568"/>
        <w:gridCol w:w="568"/>
        <w:gridCol w:w="568"/>
        <w:gridCol w:w="568"/>
        <w:gridCol w:w="568"/>
        <w:gridCol w:w="568"/>
        <w:gridCol w:w="568"/>
        <w:gridCol w:w="568"/>
        <w:gridCol w:w="568"/>
        <w:gridCol w:w="56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3210" w:type="dxa"/>
            <w:gridSpan w:val="5"/>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行政复议</w:t>
            </w:r>
          </w:p>
        </w:tc>
        <w:tc>
          <w:tcPr>
            <w:tcW w:w="6435" w:type="dxa"/>
            <w:gridSpan w:val="10"/>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645" w:type="dxa"/>
            <w:vMerge w:val="restart"/>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结果维持</w:t>
            </w:r>
          </w:p>
        </w:tc>
        <w:tc>
          <w:tcPr>
            <w:tcW w:w="645" w:type="dxa"/>
            <w:vMerge w:val="restart"/>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结果</w:t>
            </w:r>
            <w:r>
              <w:rPr>
                <w:rFonts w:hint="eastAsia" w:ascii="宋体" w:hAnsi="宋体" w:eastAsia="宋体" w:cs="宋体"/>
                <w:sz w:val="21"/>
                <w:szCs w:val="21"/>
              </w:rPr>
              <w:br w:type="textWrapping"/>
            </w:r>
            <w:r>
              <w:rPr>
                <w:rFonts w:hint="eastAsia" w:ascii="宋体" w:hAnsi="宋体" w:eastAsia="宋体" w:cs="宋体"/>
                <w:sz w:val="21"/>
                <w:szCs w:val="21"/>
              </w:rPr>
              <w:t>纠正</w:t>
            </w:r>
          </w:p>
        </w:tc>
        <w:tc>
          <w:tcPr>
            <w:tcW w:w="645" w:type="dxa"/>
            <w:vMerge w:val="restart"/>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其他</w:t>
            </w:r>
            <w:r>
              <w:rPr>
                <w:rFonts w:hint="eastAsia" w:ascii="宋体" w:hAnsi="宋体" w:eastAsia="宋体" w:cs="宋体"/>
                <w:sz w:val="21"/>
                <w:szCs w:val="21"/>
              </w:rPr>
              <w:br w:type="textWrapping"/>
            </w:r>
            <w:r>
              <w:rPr>
                <w:rFonts w:hint="eastAsia" w:ascii="宋体" w:hAnsi="宋体" w:eastAsia="宋体" w:cs="宋体"/>
                <w:sz w:val="21"/>
                <w:szCs w:val="21"/>
              </w:rPr>
              <w:t>结果</w:t>
            </w:r>
          </w:p>
        </w:tc>
        <w:tc>
          <w:tcPr>
            <w:tcW w:w="645" w:type="dxa"/>
            <w:vMerge w:val="restart"/>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尚未</w:t>
            </w:r>
            <w:r>
              <w:rPr>
                <w:rFonts w:hint="eastAsia" w:ascii="宋体" w:hAnsi="宋体" w:eastAsia="宋体" w:cs="宋体"/>
                <w:sz w:val="21"/>
                <w:szCs w:val="21"/>
              </w:rPr>
              <w:br w:type="textWrapping"/>
            </w:r>
            <w:r>
              <w:rPr>
                <w:rFonts w:hint="eastAsia" w:ascii="宋体" w:hAnsi="宋体" w:eastAsia="宋体" w:cs="宋体"/>
                <w:sz w:val="21"/>
                <w:szCs w:val="21"/>
              </w:rPr>
              <w:t>审结</w:t>
            </w:r>
          </w:p>
        </w:tc>
        <w:tc>
          <w:tcPr>
            <w:tcW w:w="645" w:type="dxa"/>
            <w:vMerge w:val="restart"/>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总计</w:t>
            </w:r>
          </w:p>
        </w:tc>
        <w:tc>
          <w:tcPr>
            <w:tcW w:w="3210" w:type="dxa"/>
            <w:gridSpan w:val="5"/>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未经复议直接起诉</w:t>
            </w:r>
          </w:p>
        </w:tc>
        <w:tc>
          <w:tcPr>
            <w:tcW w:w="3210" w:type="dxa"/>
            <w:gridSpan w:val="5"/>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复议后起诉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645" w:type="dxa"/>
            <w:vMerge w:val="continue"/>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645" w:type="dxa"/>
            <w:vMerge w:val="continue"/>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645" w:type="dxa"/>
            <w:vMerge w:val="continue"/>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645" w:type="dxa"/>
            <w:vMerge w:val="continue"/>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645" w:type="dxa"/>
            <w:vMerge w:val="continue"/>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结果</w:t>
            </w:r>
            <w:r>
              <w:rPr>
                <w:rFonts w:hint="eastAsia" w:ascii="宋体" w:hAnsi="宋体" w:eastAsia="宋体" w:cs="宋体"/>
                <w:sz w:val="21"/>
                <w:szCs w:val="21"/>
              </w:rPr>
              <w:br w:type="textWrapping"/>
            </w:r>
            <w:r>
              <w:rPr>
                <w:rFonts w:hint="eastAsia" w:ascii="宋体" w:hAnsi="宋体" w:eastAsia="宋体" w:cs="宋体"/>
                <w:sz w:val="21"/>
                <w:szCs w:val="21"/>
              </w:rPr>
              <w:t>维持</w:t>
            </w: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结果</w:t>
            </w:r>
            <w:r>
              <w:rPr>
                <w:rFonts w:hint="eastAsia" w:ascii="宋体" w:hAnsi="宋体" w:eastAsia="宋体" w:cs="宋体"/>
                <w:sz w:val="21"/>
                <w:szCs w:val="21"/>
              </w:rPr>
              <w:br w:type="textWrapping"/>
            </w:r>
            <w:r>
              <w:rPr>
                <w:rFonts w:hint="eastAsia" w:ascii="宋体" w:hAnsi="宋体" w:eastAsia="宋体" w:cs="宋体"/>
                <w:sz w:val="21"/>
                <w:szCs w:val="21"/>
              </w:rPr>
              <w:t>纠正</w:t>
            </w:r>
          </w:p>
        </w:tc>
        <w:tc>
          <w:tcPr>
            <w:tcW w:w="645"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其他</w:t>
            </w:r>
            <w:r>
              <w:rPr>
                <w:rFonts w:hint="eastAsia" w:ascii="宋体" w:hAnsi="宋体" w:eastAsia="宋体" w:cs="宋体"/>
                <w:sz w:val="21"/>
                <w:szCs w:val="21"/>
              </w:rPr>
              <w:br w:type="textWrapping"/>
            </w:r>
            <w:r>
              <w:rPr>
                <w:rFonts w:hint="eastAsia" w:ascii="宋体" w:hAnsi="宋体" w:eastAsia="宋体" w:cs="宋体"/>
                <w:sz w:val="21"/>
                <w:szCs w:val="21"/>
              </w:rPr>
              <w:t>结果</w:t>
            </w:r>
          </w:p>
        </w:tc>
        <w:tc>
          <w:tcPr>
            <w:tcW w:w="645"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尚未</w:t>
            </w:r>
            <w:r>
              <w:rPr>
                <w:rFonts w:hint="eastAsia" w:ascii="宋体" w:hAnsi="宋体" w:eastAsia="宋体" w:cs="宋体"/>
                <w:sz w:val="21"/>
                <w:szCs w:val="21"/>
              </w:rPr>
              <w:br w:type="textWrapping"/>
            </w:r>
            <w:r>
              <w:rPr>
                <w:rFonts w:hint="eastAsia" w:ascii="宋体" w:hAnsi="宋体" w:eastAsia="宋体" w:cs="宋体"/>
                <w:sz w:val="21"/>
                <w:szCs w:val="21"/>
              </w:rPr>
              <w:t>审结</w:t>
            </w:r>
          </w:p>
        </w:tc>
        <w:tc>
          <w:tcPr>
            <w:tcW w:w="645"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总计</w:t>
            </w:r>
          </w:p>
        </w:tc>
        <w:tc>
          <w:tcPr>
            <w:tcW w:w="645"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结果</w:t>
            </w:r>
            <w:r>
              <w:rPr>
                <w:rFonts w:hint="eastAsia" w:ascii="宋体" w:hAnsi="宋体" w:eastAsia="宋体" w:cs="宋体"/>
                <w:sz w:val="21"/>
                <w:szCs w:val="21"/>
              </w:rPr>
              <w:br w:type="textWrapping"/>
            </w:r>
            <w:r>
              <w:rPr>
                <w:rFonts w:hint="eastAsia" w:ascii="宋体" w:hAnsi="宋体" w:eastAsia="宋体" w:cs="宋体"/>
                <w:sz w:val="21"/>
                <w:szCs w:val="21"/>
              </w:rPr>
              <w:t>维持</w:t>
            </w:r>
          </w:p>
        </w:tc>
        <w:tc>
          <w:tcPr>
            <w:tcW w:w="645"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结果</w:t>
            </w:r>
            <w:r>
              <w:rPr>
                <w:rFonts w:hint="eastAsia" w:ascii="宋体" w:hAnsi="宋体" w:eastAsia="宋体" w:cs="宋体"/>
                <w:sz w:val="21"/>
                <w:szCs w:val="21"/>
              </w:rPr>
              <w:br w:type="textWrapping"/>
            </w:r>
            <w:r>
              <w:rPr>
                <w:rFonts w:hint="eastAsia" w:ascii="宋体" w:hAnsi="宋体" w:eastAsia="宋体" w:cs="宋体"/>
                <w:sz w:val="21"/>
                <w:szCs w:val="21"/>
              </w:rPr>
              <w:t>纠正</w:t>
            </w:r>
          </w:p>
        </w:tc>
        <w:tc>
          <w:tcPr>
            <w:tcW w:w="645"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其他</w:t>
            </w:r>
            <w:r>
              <w:rPr>
                <w:rFonts w:hint="eastAsia" w:ascii="宋体" w:hAnsi="宋体" w:eastAsia="宋体" w:cs="宋体"/>
                <w:sz w:val="21"/>
                <w:szCs w:val="21"/>
              </w:rPr>
              <w:br w:type="textWrapping"/>
            </w:r>
            <w:r>
              <w:rPr>
                <w:rFonts w:hint="eastAsia" w:ascii="宋体" w:hAnsi="宋体" w:eastAsia="宋体" w:cs="宋体"/>
                <w:sz w:val="21"/>
                <w:szCs w:val="21"/>
              </w:rPr>
              <w:t>结果</w:t>
            </w:r>
          </w:p>
        </w:tc>
        <w:tc>
          <w:tcPr>
            <w:tcW w:w="645"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尚未</w:t>
            </w:r>
            <w:r>
              <w:rPr>
                <w:rFonts w:hint="eastAsia" w:ascii="宋体" w:hAnsi="宋体" w:eastAsia="宋体" w:cs="宋体"/>
                <w:sz w:val="21"/>
                <w:szCs w:val="21"/>
              </w:rPr>
              <w:br w:type="textWrapping"/>
            </w:r>
            <w:r>
              <w:rPr>
                <w:rFonts w:hint="eastAsia" w:ascii="宋体" w:hAnsi="宋体" w:eastAsia="宋体" w:cs="宋体"/>
                <w:sz w:val="21"/>
                <w:szCs w:val="21"/>
              </w:rPr>
              <w:t>审结</w:t>
            </w:r>
          </w:p>
        </w:tc>
        <w:tc>
          <w:tcPr>
            <w:tcW w:w="645"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675" w:hRule="atLeast"/>
          <w:jc w:val="center"/>
        </w:trPr>
        <w:tc>
          <w:tcPr>
            <w:tcW w:w="645" w:type="dxa"/>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 0</w:t>
            </w: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w:t>
            </w: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rPr>
                <w:rFonts w:hint="eastAsia" w:ascii="宋体" w:hAnsi="宋体" w:eastAsia="宋体" w:cs="宋体"/>
                <w:kern w:val="0"/>
                <w:sz w:val="21"/>
                <w:szCs w:val="21"/>
                <w:lang w:val="en-US" w:eastAsia="zh-CN" w:bidi="ar"/>
              </w:rPr>
            </w:pP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w:t>
            </w: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rPr>
                <w:rFonts w:hint="eastAsia" w:ascii="宋体" w:hAnsi="宋体" w:eastAsia="宋体" w:cs="宋体"/>
                <w:kern w:val="0"/>
                <w:sz w:val="21"/>
                <w:szCs w:val="21"/>
                <w:lang w:val="en-US" w:eastAsia="zh-CN" w:bidi="ar"/>
              </w:rPr>
            </w:pP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w:t>
            </w: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rPr>
                <w:rFonts w:hint="eastAsia" w:eastAsiaTheme="minorEastAsia"/>
                <w:lang w:val="en-US" w:eastAsia="zh-CN"/>
              </w:rPr>
            </w:pP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rPr>
                <w:rFonts w:hint="eastAsia" w:eastAsiaTheme="minorEastAsia"/>
                <w:lang w:val="en-US" w:eastAsia="zh-CN"/>
              </w:rPr>
            </w:pP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Theme="minorEastAsia"/>
                <w:lang w:eastAsia="zh-CN"/>
              </w:rPr>
            </w:pPr>
            <w:r>
              <w:rPr>
                <w:rFonts w:hint="eastAsia" w:ascii="宋体" w:hAnsi="宋体" w:eastAsia="宋体" w:cs="宋体"/>
                <w:sz w:val="21"/>
                <w:szCs w:val="21"/>
                <w:lang w:val="en-US" w:eastAsia="zh-CN"/>
              </w:rPr>
              <w:t>0</w:t>
            </w:r>
          </w:p>
        </w:tc>
      </w:tr>
    </w:tbl>
    <w:p>
      <w:pPr>
        <w:pStyle w:val="2"/>
        <w:keepNext w:val="0"/>
        <w:keepLines w:val="0"/>
        <w:widowControl/>
        <w:suppressLineNumbers w:val="0"/>
        <w:shd w:val="clear" w:fill="FFFFFF"/>
        <w:spacing w:line="420" w:lineRule="atLeast"/>
        <w:rPr>
          <w:rFonts w:hint="eastAsia" w:eastAsia="黑体"/>
          <w:lang w:eastAsia="zh-CN"/>
        </w:rPr>
      </w:pPr>
      <w:r>
        <w:rPr>
          <w:rFonts w:hint="eastAsia" w:ascii="黑体" w:hAnsi="宋体" w:eastAsia="黑体" w:cs="黑体"/>
          <w:sz w:val="31"/>
          <w:szCs w:val="31"/>
          <w:shd w:val="clear" w:fill="FFFFFF"/>
        </w:rPr>
        <w:t>    五、存在问题及</w:t>
      </w:r>
      <w:r>
        <w:rPr>
          <w:rFonts w:hint="eastAsia" w:ascii="黑体" w:hAnsi="宋体" w:eastAsia="黑体" w:cs="黑体"/>
          <w:sz w:val="31"/>
          <w:szCs w:val="31"/>
          <w:shd w:val="clear" w:fill="FFFFFF"/>
          <w:lang w:eastAsia="zh-CN"/>
        </w:rPr>
        <w:t>下一步打算</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6"/>
        <w:textAlignment w:val="auto"/>
        <w:rPr>
          <w:rFonts w:hint="eastAsia" w:ascii="仿宋_GB2312" w:eastAsia="仿宋_GB2312" w:cs="仿宋_GB2312"/>
          <w:sz w:val="31"/>
          <w:szCs w:val="31"/>
        </w:rPr>
      </w:pPr>
      <w:r>
        <w:rPr>
          <w:rFonts w:hint="eastAsia" w:ascii="仿宋_GB2312" w:eastAsia="仿宋_GB2312" w:cs="仿宋_GB2312"/>
          <w:sz w:val="31"/>
          <w:szCs w:val="31"/>
        </w:rPr>
        <w:t>通过一年来工作的开展，我局的政务公开工作还存在一定的问题，存在的问题：</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6"/>
        <w:textAlignment w:val="auto"/>
        <w:rPr>
          <w:rFonts w:hint="eastAsia" w:ascii="仿宋_GB2312" w:eastAsia="仿宋_GB2312" w:cs="仿宋_GB2312"/>
          <w:sz w:val="31"/>
          <w:szCs w:val="31"/>
        </w:rPr>
      </w:pPr>
      <w:r>
        <w:rPr>
          <w:rFonts w:hint="eastAsia" w:ascii="仿宋_GB2312" w:eastAsia="仿宋_GB2312" w:cs="仿宋_GB2312"/>
          <w:sz w:val="31"/>
          <w:szCs w:val="31"/>
          <w:lang w:eastAsia="zh-CN"/>
        </w:rPr>
        <w:t>一</w:t>
      </w:r>
      <w:r>
        <w:rPr>
          <w:rFonts w:hint="eastAsia" w:ascii="仿宋_GB2312" w:eastAsia="仿宋_GB2312" w:cs="仿宋_GB2312"/>
          <w:sz w:val="31"/>
          <w:szCs w:val="31"/>
        </w:rPr>
        <w:t>是精准性还不够。对部分栏目的</w:t>
      </w:r>
      <w:r>
        <w:rPr>
          <w:rFonts w:hint="eastAsia" w:ascii="仿宋_GB2312" w:eastAsia="仿宋_GB2312" w:cs="仿宋_GB2312"/>
          <w:sz w:val="31"/>
          <w:szCs w:val="31"/>
          <w:lang w:eastAsia="zh-CN"/>
        </w:rPr>
        <w:t>公开</w:t>
      </w:r>
      <w:r>
        <w:rPr>
          <w:rFonts w:hint="eastAsia" w:ascii="仿宋_GB2312" w:eastAsia="仿宋_GB2312" w:cs="仿宋_GB2312"/>
          <w:sz w:val="31"/>
          <w:szCs w:val="31"/>
        </w:rPr>
        <w:t>要点把握不透、领悟不深，主动公开的公开量、公开面、公开形式、公开深度等方面距离上级要求仍有差距。</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6"/>
        <w:textAlignment w:val="auto"/>
      </w:pPr>
      <w:r>
        <w:rPr>
          <w:rFonts w:hint="eastAsia" w:ascii="仿宋_GB2312" w:eastAsia="仿宋_GB2312" w:cs="仿宋_GB2312"/>
          <w:sz w:val="31"/>
          <w:szCs w:val="31"/>
          <w:lang w:eastAsia="zh-CN"/>
        </w:rPr>
        <w:t>二</w:t>
      </w:r>
      <w:r>
        <w:rPr>
          <w:rFonts w:hint="eastAsia" w:ascii="仿宋_GB2312" w:eastAsia="仿宋_GB2312" w:cs="仿宋_GB2312"/>
          <w:sz w:val="31"/>
          <w:szCs w:val="31"/>
        </w:rPr>
        <w:t>是创新性还不够。主要是涉及政策解读方面，形式不够丰富，回应方式单一。</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5"/>
        <w:textAlignment w:val="auto"/>
        <w:rPr>
          <w:rFonts w:hint="eastAsia" w:ascii="仿宋_GB2312" w:eastAsia="仿宋_GB2312" w:cs="仿宋_GB2312"/>
          <w:sz w:val="31"/>
          <w:szCs w:val="31"/>
          <w:lang w:eastAsia="zh-CN"/>
        </w:rPr>
      </w:pPr>
      <w:r>
        <w:rPr>
          <w:rFonts w:hint="eastAsia" w:ascii="仿宋_GB2312" w:eastAsia="仿宋_GB2312" w:cs="仿宋_GB2312"/>
          <w:sz w:val="31"/>
          <w:szCs w:val="31"/>
        </w:rPr>
        <w:t>针对存在问题，我局</w:t>
      </w:r>
      <w:r>
        <w:rPr>
          <w:rFonts w:hint="eastAsia" w:ascii="仿宋_GB2312" w:eastAsia="仿宋_GB2312" w:cs="仿宋_GB2312"/>
          <w:sz w:val="31"/>
          <w:szCs w:val="31"/>
          <w:lang w:eastAsia="zh-CN"/>
        </w:rPr>
        <w:t>将积极做出整改：</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5"/>
        <w:textAlignment w:val="auto"/>
        <w:rPr>
          <w:rFonts w:hint="eastAsia" w:ascii="仿宋_GB2312" w:eastAsia="仿宋_GB2312" w:cs="仿宋_GB2312"/>
          <w:sz w:val="31"/>
          <w:szCs w:val="31"/>
        </w:rPr>
      </w:pPr>
      <w:r>
        <w:rPr>
          <w:rFonts w:hint="eastAsia" w:ascii="仿宋_GB2312" w:eastAsia="仿宋_GB2312" w:cs="仿宋_GB2312"/>
          <w:sz w:val="31"/>
          <w:szCs w:val="31"/>
          <w:lang w:eastAsia="zh-CN"/>
        </w:rPr>
        <w:t>一</w:t>
      </w:r>
      <w:r>
        <w:rPr>
          <w:rFonts w:hint="eastAsia" w:ascii="仿宋_GB2312" w:eastAsia="仿宋_GB2312" w:cs="仿宋_GB2312"/>
          <w:sz w:val="31"/>
          <w:szCs w:val="31"/>
        </w:rPr>
        <w:t>是积极参加培训工作。充分利用区委、政府和市局政务公开业务培训班的机会，提高政策把握、测评要点和回应引导能力，努力提升信息公开的全面性。</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5"/>
        <w:textAlignment w:val="auto"/>
        <w:rPr>
          <w:rFonts w:hint="eastAsia" w:ascii="仿宋_GB2312" w:eastAsia="仿宋_GB2312" w:cs="仿宋_GB2312"/>
          <w:sz w:val="31"/>
          <w:szCs w:val="31"/>
          <w:lang w:eastAsia="zh-CN"/>
        </w:rPr>
      </w:pPr>
      <w:r>
        <w:rPr>
          <w:rFonts w:hint="eastAsia" w:ascii="仿宋_GB2312" w:eastAsia="仿宋_GB2312" w:cs="仿宋_GB2312"/>
          <w:sz w:val="31"/>
          <w:szCs w:val="31"/>
          <w:lang w:eastAsia="zh-CN"/>
        </w:rPr>
        <w:t>二</w:t>
      </w:r>
      <w:r>
        <w:rPr>
          <w:rFonts w:hint="eastAsia" w:ascii="仿宋_GB2312" w:eastAsia="仿宋_GB2312" w:cs="仿宋_GB2312"/>
          <w:sz w:val="31"/>
          <w:szCs w:val="31"/>
        </w:rPr>
        <w:t>是强化政务公开工作制度建设。不断规范工作程序，创新工作方式，使政务公开工作在制度化、规范化方面有新的突破。</w:t>
      </w:r>
    </w:p>
    <w:p>
      <w:pPr>
        <w:pStyle w:val="2"/>
        <w:keepNext w:val="0"/>
        <w:keepLines w:val="0"/>
        <w:widowControl/>
        <w:suppressLineNumbers w:val="0"/>
        <w:spacing w:line="420" w:lineRule="atLeast"/>
      </w:pPr>
      <w:r>
        <w:rPr>
          <w:rFonts w:hint="eastAsia" w:ascii="仿宋_GB2312" w:eastAsia="仿宋_GB2312" w:cs="仿宋_GB2312"/>
          <w:sz w:val="31"/>
          <w:szCs w:val="31"/>
        </w:rPr>
        <w:t>    </w:t>
      </w:r>
      <w:r>
        <w:rPr>
          <w:rFonts w:hint="eastAsia" w:ascii="黑体" w:hAnsi="宋体" w:eastAsia="黑体" w:cs="黑体"/>
          <w:sz w:val="31"/>
          <w:szCs w:val="31"/>
        </w:rPr>
        <w:t>六、其他需要报告的事项</w:t>
      </w:r>
    </w:p>
    <w:p>
      <w:pPr>
        <w:pStyle w:val="2"/>
        <w:keepNext w:val="0"/>
        <w:keepLines w:val="0"/>
        <w:widowControl/>
        <w:suppressLineNumbers w:val="0"/>
        <w:spacing w:line="420" w:lineRule="atLeast"/>
      </w:pPr>
      <w:r>
        <w:rPr>
          <w:rFonts w:hint="eastAsia" w:ascii="仿宋_GB2312" w:eastAsia="仿宋_GB2312" w:cs="仿宋_GB2312"/>
          <w:sz w:val="31"/>
          <w:szCs w:val="31"/>
        </w:rPr>
        <w:t>    无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324C9"/>
    <w:rsid w:val="2E7D6E24"/>
    <w:rsid w:val="357517FA"/>
    <w:rsid w:val="77E324C9"/>
    <w:rsid w:val="7EFBE62B"/>
    <w:rsid w:val="FEF6A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1491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2022-03-07T18:07:00Z</dcterms:created>
  <dc:creator>lenovo</dc:creator>
  <cp:lastModifiedBy>greatwall</cp:lastModifiedBy>
  <dcterms:modified xsi:type="dcterms:W3CDTF">2024-02-06T09:15:09Z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5A4D5381330E4C298A1BA877DE89C1D9</vt:lpwstr>
  </property>
</Properties>
</file>