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eastAsia="方正小标宋简体" w:cs="Times New Roman"/>
          <w:sz w:val="44"/>
          <w:szCs w:val="44"/>
          <w:lang w:val="en-US" w:eastAsia="zh-CN"/>
        </w:rPr>
        <w:t>1</w:t>
      </w:r>
      <w:r>
        <w:rPr>
          <w:rFonts w:hint="default" w:ascii="Times New Roman" w:hAnsi="Times New Roman" w:eastAsia="方正小标宋简体" w:cs="Times New Roman"/>
          <w:sz w:val="44"/>
          <w:szCs w:val="44"/>
        </w:rPr>
        <w:t>年津南区国民经济和社会发展统计公报</w:t>
      </w: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年</w:t>
      </w:r>
      <w:r>
        <w:rPr>
          <w:rFonts w:hint="eastAsia" w:eastAsia="楷体_GB2312" w:cs="Times New Roman"/>
          <w:color w:val="auto"/>
          <w:sz w:val="32"/>
          <w:szCs w:val="32"/>
          <w:lang w:val="en-US" w:eastAsia="zh-CN"/>
        </w:rPr>
        <w:t>4</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rPr>
        <w:t>日</w:t>
      </w:r>
    </w:p>
    <w:p>
      <w:pPr>
        <w:keepNext w:val="0"/>
        <w:keepLines w:val="0"/>
        <w:pageBreakBefore w:val="0"/>
        <w:widowControl/>
        <w:kinsoku/>
        <w:wordWrap/>
        <w:overflowPunct/>
        <w:topLinePunct w:val="0"/>
        <w:bidi w:val="0"/>
        <w:snapToGrid/>
        <w:spacing w:line="560" w:lineRule="exact"/>
        <w:jc w:val="both"/>
        <w:rPr>
          <w:rFonts w:hint="default" w:ascii="Times New Roman" w:hAnsi="Times New Roman" w:eastAsia="楷体_GB2312" w:cs="Times New Roman"/>
          <w:b w:val="0"/>
          <w:bCs/>
          <w:sz w:val="40"/>
          <w:szCs w:val="3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年，面对新冠肺炎疫情</w:t>
      </w:r>
      <w:r>
        <w:rPr>
          <w:rFonts w:hint="eastAsia" w:eastAsia="仿宋_GB2312" w:cs="Times New Roman"/>
          <w:sz w:val="32"/>
          <w:szCs w:val="32"/>
          <w:highlight w:val="none"/>
          <w:lang w:eastAsia="zh-CN"/>
        </w:rPr>
        <w:t>的持续影响</w:t>
      </w:r>
      <w:r>
        <w:rPr>
          <w:rFonts w:hint="default" w:ascii="Times New Roman" w:hAnsi="Times New Roman" w:eastAsia="仿宋_GB2312" w:cs="Times New Roman"/>
          <w:sz w:val="32"/>
          <w:szCs w:val="32"/>
          <w:highlight w:val="none"/>
        </w:rPr>
        <w:t>和复杂严峻的国内外环境，津南区坚持以习近平新时代中国特色社会主义思想为指导，全面贯彻党的十九大和十九届</w:t>
      </w:r>
      <w:r>
        <w:rPr>
          <w:rFonts w:hint="eastAsia" w:eastAsia="仿宋_GB2312" w:cs="Times New Roman"/>
          <w:sz w:val="32"/>
          <w:szCs w:val="32"/>
          <w:highlight w:val="none"/>
          <w:lang w:eastAsia="zh-CN"/>
        </w:rPr>
        <w:t>历次</w:t>
      </w:r>
      <w:r>
        <w:rPr>
          <w:rFonts w:hint="default" w:ascii="Times New Roman" w:hAnsi="Times New Roman" w:eastAsia="仿宋_GB2312" w:cs="Times New Roman"/>
          <w:sz w:val="32"/>
          <w:szCs w:val="32"/>
          <w:highlight w:val="none"/>
        </w:rPr>
        <w:t>全会精神，弘扬伟大建党精神，</w:t>
      </w:r>
      <w:r>
        <w:rPr>
          <w:rFonts w:hint="eastAsia" w:eastAsia="仿宋_GB2312" w:cs="Times New Roman"/>
          <w:sz w:val="32"/>
          <w:szCs w:val="32"/>
          <w:highlight w:val="none"/>
          <w:lang w:eastAsia="zh-CN"/>
        </w:rPr>
        <w:t>深入</w:t>
      </w:r>
      <w:r>
        <w:rPr>
          <w:rFonts w:hint="default" w:ascii="Times New Roman" w:hAnsi="Times New Roman" w:eastAsia="仿宋_GB2312" w:cs="Times New Roman"/>
          <w:sz w:val="32"/>
          <w:szCs w:val="32"/>
          <w:highlight w:val="none"/>
        </w:rPr>
        <w:t>落实习近平总书记对天津工作“三个着力”重要要求和一系列重要指示批示精神，按照市委、市政府和区委、区政府</w:t>
      </w:r>
      <w:r>
        <w:rPr>
          <w:rFonts w:hint="default" w:ascii="Times New Roman" w:hAnsi="Times New Roman" w:eastAsia="仿宋_GB2312" w:cs="Times New Roman"/>
          <w:sz w:val="32"/>
          <w:szCs w:val="32"/>
          <w:highlight w:val="none"/>
          <w:lang w:eastAsia="zh-CN"/>
        </w:rPr>
        <w:t>决策</w:t>
      </w:r>
      <w:r>
        <w:rPr>
          <w:rFonts w:hint="default" w:ascii="Times New Roman" w:hAnsi="Times New Roman" w:eastAsia="仿宋_GB2312" w:cs="Times New Roman"/>
          <w:sz w:val="32"/>
          <w:szCs w:val="32"/>
          <w:highlight w:val="none"/>
        </w:rPr>
        <w:t>部署，坚持稳中求进工作总基调，统筹疫情防控和经济社会发展</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坚决</w:t>
      </w:r>
      <w:r>
        <w:rPr>
          <w:rFonts w:hint="default" w:ascii="Times New Roman" w:hAnsi="Times New Roman" w:eastAsia="仿宋_GB2312" w:cs="Times New Roman"/>
          <w:sz w:val="32"/>
          <w:szCs w:val="32"/>
          <w:highlight w:val="none"/>
        </w:rPr>
        <w:t>贯彻新发展理念，</w:t>
      </w:r>
      <w:r>
        <w:rPr>
          <w:rFonts w:hint="eastAsia" w:eastAsia="仿宋_GB2312" w:cs="Times New Roman"/>
          <w:sz w:val="32"/>
          <w:szCs w:val="32"/>
          <w:highlight w:val="none"/>
          <w:lang w:eastAsia="zh-CN"/>
        </w:rPr>
        <w:t>加快</w:t>
      </w:r>
      <w:r>
        <w:rPr>
          <w:rFonts w:hint="default" w:ascii="Times New Roman" w:hAnsi="Times New Roman" w:eastAsia="仿宋_GB2312" w:cs="Times New Roman"/>
          <w:sz w:val="32"/>
          <w:szCs w:val="32"/>
          <w:highlight w:val="none"/>
        </w:rPr>
        <w:t>融入新发展格局</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加快建设绿色生态示范区、创新发展聚集区、会展经济功能区，积极创建“双碳”工作先行示范区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绿色高质量发展</w:t>
      </w:r>
      <w:r>
        <w:rPr>
          <w:rFonts w:hint="eastAsia" w:eastAsia="仿宋_GB2312" w:cs="Times New Roman"/>
          <w:sz w:val="32"/>
          <w:szCs w:val="32"/>
          <w:highlight w:val="none"/>
          <w:lang w:eastAsia="zh-CN"/>
        </w:rPr>
        <w:t>取得新</w:t>
      </w:r>
      <w:r>
        <w:rPr>
          <w:rFonts w:hint="default" w:ascii="Times New Roman" w:hAnsi="Times New Roman" w:eastAsia="仿宋_GB2312" w:cs="Times New Roman"/>
          <w:sz w:val="32"/>
          <w:szCs w:val="32"/>
          <w:highlight w:val="none"/>
          <w:lang w:eastAsia="zh-CN"/>
        </w:rPr>
        <w:t>成效</w:t>
      </w:r>
      <w:r>
        <w:rPr>
          <w:rFonts w:hint="eastAsia" w:eastAsia="仿宋_GB2312" w:cs="Times New Roman"/>
          <w:sz w:val="32"/>
          <w:szCs w:val="32"/>
          <w:highlight w:val="none"/>
          <w:lang w:eastAsia="zh-CN"/>
        </w:rPr>
        <w:t>，全区经济平稳发展，</w:t>
      </w:r>
      <w:r>
        <w:rPr>
          <w:rFonts w:hint="default" w:ascii="Times New Roman" w:hAnsi="Times New Roman" w:eastAsia="仿宋_GB2312" w:cs="Times New Roman"/>
          <w:sz w:val="32"/>
          <w:szCs w:val="32"/>
          <w:highlight w:val="none"/>
          <w:lang w:eastAsia="zh-CN"/>
        </w:rPr>
        <w:t>实现了“十四五”良好开局。</w:t>
      </w:r>
      <w:bookmarkStart w:id="0" w:name="_GoBack"/>
      <w:bookmarkEnd w:id="0"/>
    </w:p>
    <w:p>
      <w:pPr>
        <w:keepNext w:val="0"/>
        <w:keepLines w:val="0"/>
        <w:pageBreakBefore w:val="0"/>
        <w:widowControl/>
        <w:tabs>
          <w:tab w:val="center" w:pos="4573"/>
        </w:tabs>
        <w:kinsoku/>
        <w:wordWrap/>
        <w:overflowPunct/>
        <w:topLinePunct w:val="0"/>
        <w:bidi w:val="0"/>
        <w:snapToGrid/>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一、综合</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初步核算，</w:t>
      </w:r>
      <w:r>
        <w:rPr>
          <w:rFonts w:hint="default" w:eastAsia="仿宋_GB2312" w:cs="Times New Roman"/>
          <w:color w:val="auto"/>
          <w:sz w:val="32"/>
          <w:szCs w:val="32"/>
          <w:highlight w:val="none"/>
          <w:lang w:val="en"/>
        </w:rPr>
        <w:t>2021</w:t>
      </w:r>
      <w:r>
        <w:rPr>
          <w:rFonts w:hint="default" w:ascii="Times New Roman" w:hAnsi="Times New Roman" w:eastAsia="仿宋_GB2312" w:cs="Times New Roman"/>
          <w:color w:val="auto"/>
          <w:sz w:val="32"/>
          <w:szCs w:val="32"/>
          <w:highlight w:val="none"/>
        </w:rPr>
        <w:t>年全区地区生产总值比上年增长</w:t>
      </w:r>
      <w:r>
        <w:rPr>
          <w:rFonts w:hint="default" w:eastAsia="仿宋_GB2312" w:cs="Times New Roman"/>
          <w:color w:val="auto"/>
          <w:sz w:val="32"/>
          <w:szCs w:val="32"/>
          <w:highlight w:val="none"/>
          <w:lang w:val="en" w:eastAsia="zh-CN"/>
        </w:rPr>
        <w:t>6.3</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按可比价计算</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。分三次产业看，第一产业比上年下降</w:t>
      </w:r>
      <w:r>
        <w:rPr>
          <w:rFonts w:hint="default" w:eastAsia="仿宋_GB2312" w:cs="Times New Roman"/>
          <w:color w:val="auto"/>
          <w:sz w:val="32"/>
          <w:szCs w:val="32"/>
          <w:highlight w:val="none"/>
          <w:lang w:val="en"/>
        </w:rPr>
        <w:t>15.2</w:t>
      </w:r>
      <w:r>
        <w:rPr>
          <w:rFonts w:hint="default" w:ascii="Times New Roman" w:hAnsi="Times New Roman" w:eastAsia="仿宋_GB2312" w:cs="Times New Roman"/>
          <w:color w:val="auto"/>
          <w:sz w:val="32"/>
          <w:szCs w:val="32"/>
          <w:highlight w:val="none"/>
        </w:rPr>
        <w:t>%；第二产业比上年增长</w:t>
      </w:r>
      <w:r>
        <w:rPr>
          <w:rFonts w:hint="default" w:eastAsia="仿宋_GB2312" w:cs="Times New Roman"/>
          <w:color w:val="auto"/>
          <w:sz w:val="32"/>
          <w:szCs w:val="32"/>
          <w:highlight w:val="none"/>
          <w:lang w:val="en"/>
        </w:rPr>
        <w:t>5.2</w:t>
      </w:r>
      <w:r>
        <w:rPr>
          <w:rFonts w:hint="default" w:ascii="Times New Roman" w:hAnsi="Times New Roman" w:eastAsia="仿宋_GB2312" w:cs="Times New Roman"/>
          <w:color w:val="auto"/>
          <w:sz w:val="32"/>
          <w:szCs w:val="32"/>
          <w:highlight w:val="none"/>
        </w:rPr>
        <w:t>%；第三产业比上年增长</w:t>
      </w:r>
      <w:r>
        <w:rPr>
          <w:rFonts w:hint="default" w:eastAsia="仿宋_GB2312" w:cs="Times New Roman"/>
          <w:color w:val="auto"/>
          <w:sz w:val="32"/>
          <w:szCs w:val="32"/>
          <w:highlight w:val="none"/>
          <w:lang w:val="en"/>
        </w:rPr>
        <w:t>7.4</w:t>
      </w:r>
      <w:r>
        <w:rPr>
          <w:rFonts w:hint="default" w:ascii="Times New Roman" w:hAnsi="Times New Roman" w:eastAsia="仿宋_GB2312" w:cs="Times New Roman"/>
          <w:color w:val="auto"/>
          <w:sz w:val="32"/>
          <w:szCs w:val="32"/>
          <w:highlight w:val="none"/>
        </w:rPr>
        <w:t>%。三次产业结构为</w:t>
      </w:r>
      <w:r>
        <w:rPr>
          <w:rFonts w:hint="eastAsia" w:eastAsia="仿宋_GB2312" w:cs="Times New Roman"/>
          <w:color w:val="auto"/>
          <w:sz w:val="32"/>
          <w:szCs w:val="32"/>
          <w:highlight w:val="none"/>
          <w:lang w:val="en-US" w:eastAsia="zh-CN"/>
        </w:rPr>
        <w:t>0.84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42.77</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56.39</w:t>
      </w:r>
      <w:r>
        <w:rPr>
          <w:rFonts w:hint="default" w:ascii="Times New Roman" w:hAnsi="Times New Roman" w:eastAsia="仿宋_GB2312" w:cs="Times New Roman"/>
          <w:color w:val="auto"/>
          <w:sz w:val="32"/>
          <w:szCs w:val="32"/>
          <w:highlight w:val="none"/>
        </w:rPr>
        <w:t>。</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jc w:val="center"/>
        <w:rPr>
          <w:rFonts w:hint="default" w:ascii="Times New Roman" w:hAnsi="Times New Roman" w:eastAsia="仿宋_GB2312" w:cs="Times New Roman"/>
          <w:color w:val="auto"/>
          <w:sz w:val="28"/>
          <w:szCs w:val="28"/>
          <w:highlight w:val="none"/>
          <w:lang w:val="en-US"/>
        </w:rPr>
      </w:pPr>
      <w:r>
        <w:rPr>
          <w:sz w:val="20"/>
          <w:szCs w:val="22"/>
        </w:rPr>
        <w:drawing>
          <wp:anchor distT="0" distB="0" distL="114300" distR="114300" simplePos="0" relativeHeight="251661312" behindDoc="0" locked="0" layoutInCell="1" allowOverlap="1">
            <wp:simplePos x="0" y="0"/>
            <wp:positionH relativeFrom="column">
              <wp:posOffset>358140</wp:posOffset>
            </wp:positionH>
            <wp:positionV relativeFrom="paragraph">
              <wp:posOffset>121920</wp:posOffset>
            </wp:positionV>
            <wp:extent cx="4770755" cy="2605405"/>
            <wp:effectExtent l="4445" t="4445" r="6350" b="1905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仿宋_GB2312" w:cs="Times New Roman"/>
          <w:color w:val="auto"/>
          <w:sz w:val="28"/>
          <w:szCs w:val="28"/>
          <w:highlight w:val="none"/>
          <w:lang w:eastAsia="zh-CN"/>
        </w:rPr>
        <w:t>图</w:t>
      </w:r>
      <w:r>
        <w:rPr>
          <w:rFonts w:hint="eastAsia" w:eastAsia="仿宋_GB2312" w:cs="Times New Roman"/>
          <w:color w:val="auto"/>
          <w:sz w:val="28"/>
          <w:szCs w:val="28"/>
          <w:highlight w:val="none"/>
          <w:lang w:val="en-US" w:eastAsia="zh-CN"/>
        </w:rPr>
        <w:t>1  2017-2021年津南区生产总值增长速度</w:t>
      </w:r>
    </w:p>
    <w:p>
      <w:pPr>
        <w:keepNext w:val="0"/>
        <w:keepLines w:val="0"/>
        <w:pageBreakBefore w:val="0"/>
        <w:widowControl/>
        <w:shd w:val="clear" w:color="auto" w:fill="FFFFFF"/>
        <w:kinsoku/>
        <w:wordWrap/>
        <w:overflowPunct/>
        <w:topLinePunct w:val="0"/>
        <w:bidi w:val="0"/>
        <w:snapToGrid/>
        <w:spacing w:line="560" w:lineRule="exact"/>
        <w:jc w:val="center"/>
        <w:rPr>
          <w:rFonts w:hint="default" w:ascii="Times New Roman" w:hAnsi="Times New Roman" w:eastAsia="仿宋_GB2312" w:cs="Times New Roman"/>
          <w:color w:val="auto"/>
          <w:sz w:val="28"/>
          <w:szCs w:val="28"/>
          <w:highlight w:val="none"/>
          <w:lang w:val="en-US"/>
        </w:rPr>
      </w:pPr>
      <w:r>
        <w:rPr>
          <w:sz w:val="20"/>
          <w:szCs w:val="22"/>
        </w:rPr>
        <w:drawing>
          <wp:anchor distT="0" distB="0" distL="114300" distR="114300" simplePos="0" relativeHeight="251662336" behindDoc="0" locked="0" layoutInCell="1" allowOverlap="1">
            <wp:simplePos x="0" y="0"/>
            <wp:positionH relativeFrom="column">
              <wp:posOffset>340360</wp:posOffset>
            </wp:positionH>
            <wp:positionV relativeFrom="paragraph">
              <wp:posOffset>239395</wp:posOffset>
            </wp:positionV>
            <wp:extent cx="4781550" cy="3217545"/>
            <wp:effectExtent l="4445" t="4445" r="14605" b="1651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eastAsia="仿宋_GB2312" w:cs="Times New Roman"/>
          <w:color w:val="auto"/>
          <w:sz w:val="28"/>
          <w:szCs w:val="28"/>
          <w:highlight w:val="none"/>
          <w:lang w:eastAsia="zh-CN"/>
        </w:rPr>
        <w:t>图</w:t>
      </w:r>
      <w:r>
        <w:rPr>
          <w:rFonts w:hint="eastAsia" w:eastAsia="仿宋_GB2312" w:cs="Times New Roman"/>
          <w:color w:val="auto"/>
          <w:sz w:val="28"/>
          <w:szCs w:val="28"/>
          <w:highlight w:val="none"/>
          <w:lang w:val="en-US" w:eastAsia="zh-CN"/>
        </w:rPr>
        <w:t>2  2017-2021年津南区三次产业结构</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sz w:val="32"/>
          <w:szCs w:val="32"/>
          <w:highlight w:val="none"/>
          <w:lang w:eastAsia="zh-CN"/>
        </w:rPr>
        <w:t>财政收支平稳运行</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rPr>
        <w:t>2021年,实现区级一般公共预算收入61.53亿元，其中税收收入41.15亿元，占一般公共预算收入的66.9%。从主体税种看，增值税9.91亿元，企业所得税5.50亿元，个人所得税1.00亿元。全年一般公共预算支出157.62亿元，其中社会保障和就业支出13.7亿元，教育支出27.33亿元，卫生健康支出8.81亿元。</w:t>
      </w:r>
    </w:p>
    <w:p>
      <w:pPr>
        <w:keepNext w:val="0"/>
        <w:keepLines w:val="0"/>
        <w:pageBreakBefore w:val="0"/>
        <w:widowControl/>
        <w:shd w:val="clear" w:color="auto" w:fill="FFFFFF"/>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固定资产投资增势良好。</w:t>
      </w:r>
      <w:r>
        <w:rPr>
          <w:rFonts w:hint="default" w:ascii="Times New Roman" w:hAnsi="Times New Roman" w:eastAsia="仿宋_GB2312" w:cs="Times New Roman"/>
          <w:sz w:val="32"/>
          <w:szCs w:val="32"/>
          <w:highlight w:val="none"/>
        </w:rPr>
        <w:t>2021年，全区固定资产投资比上年增长5.2%。从产业完成情况看，第一产业比上年下降45.7%；第二产业比上年增长32.4%；第三产业比上年增长5.1%。三次产业投资结构为1.37:6.54:92.09。</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sz w:val="32"/>
          <w:szCs w:val="32"/>
          <w:highlight w:val="none"/>
        </w:rPr>
        <w:t>民营经济发展良好。</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年，民营经济增加值</w:t>
      </w:r>
      <w:r>
        <w:rPr>
          <w:rFonts w:hint="default" w:ascii="Times New Roman" w:hAnsi="Times New Roman" w:eastAsia="仿宋_GB2312" w:cs="Times New Roman"/>
          <w:color w:val="auto"/>
          <w:sz w:val="32"/>
          <w:szCs w:val="32"/>
          <w:highlight w:val="none"/>
          <w:lang w:eastAsia="zh-CN"/>
        </w:rPr>
        <w:t>占全区</w:t>
      </w:r>
      <w:r>
        <w:rPr>
          <w:rFonts w:hint="eastAsia" w:eastAsia="仿宋_GB2312" w:cs="Times New Roman"/>
          <w:color w:val="auto"/>
          <w:sz w:val="32"/>
          <w:szCs w:val="32"/>
          <w:highlight w:val="none"/>
          <w:lang w:eastAsia="zh-CN"/>
        </w:rPr>
        <w:t>地区生产总值</w:t>
      </w:r>
      <w:r>
        <w:rPr>
          <w:rFonts w:hint="default" w:ascii="Times New Roman" w:hAnsi="Times New Roman" w:eastAsia="仿宋_GB2312" w:cs="Times New Roman"/>
          <w:color w:val="auto"/>
          <w:sz w:val="32"/>
          <w:szCs w:val="32"/>
          <w:highlight w:val="none"/>
          <w:lang w:eastAsia="zh-CN"/>
        </w:rPr>
        <w:t>比重为</w:t>
      </w:r>
      <w:r>
        <w:rPr>
          <w:rFonts w:hint="eastAsia" w:eastAsia="仿宋_GB2312" w:cs="Times New Roman"/>
          <w:color w:val="auto"/>
          <w:sz w:val="32"/>
          <w:szCs w:val="32"/>
          <w:highlight w:val="none"/>
          <w:lang w:val="en-US" w:eastAsia="zh-CN"/>
        </w:rPr>
        <w:t>59.0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。全区新登记民营经济市场主体14748户，累计86688户，比上年增长20.5%，注册资金307.79亿元。全区累计注册资金5000万元以上的民营企业1350户，1000至5000万元的民营企业5570户，1000万元以下的民营企</w:t>
      </w:r>
      <w:r>
        <w:rPr>
          <w:rFonts w:hint="eastAsia" w:eastAsia="仿宋_GB2312" w:cs="Times New Roman"/>
          <w:color w:val="auto"/>
          <w:sz w:val="32"/>
          <w:szCs w:val="32"/>
          <w:highlight w:val="none"/>
          <w:lang w:eastAsia="zh-CN"/>
        </w:rPr>
        <w:t>业</w:t>
      </w:r>
      <w:r>
        <w:rPr>
          <w:rFonts w:hint="default" w:ascii="Times New Roman" w:hAnsi="Times New Roman" w:eastAsia="仿宋_GB2312" w:cs="Times New Roman"/>
          <w:color w:val="auto"/>
          <w:sz w:val="32"/>
          <w:szCs w:val="32"/>
          <w:highlight w:val="none"/>
        </w:rPr>
        <w:t>35116户。</w:t>
      </w:r>
    </w:p>
    <w:p>
      <w:pPr>
        <w:keepNext w:val="0"/>
        <w:keepLines w:val="0"/>
        <w:pageBreakBefore w:val="0"/>
        <w:widowControl/>
        <w:tabs>
          <w:tab w:val="center" w:pos="4573"/>
        </w:tabs>
        <w:kinsoku/>
        <w:wordWrap/>
        <w:overflowPunct/>
        <w:topLinePunct w:val="0"/>
        <w:bidi w:val="0"/>
        <w:snapToGrid/>
        <w:spacing w:line="560" w:lineRule="exact"/>
        <w:ind w:firstLine="642" w:firstLineChars="200"/>
        <w:jc w:val="both"/>
        <w:rPr>
          <w:rFonts w:hint="eastAsia" w:eastAsia="仿宋_GB2312" w:cs="Times New Roman"/>
          <w:color w:val="auto"/>
          <w:sz w:val="32"/>
          <w:szCs w:val="32"/>
          <w:highlight w:val="none"/>
          <w:lang w:eastAsia="zh-CN"/>
        </w:rPr>
      </w:pPr>
      <w:r>
        <w:rPr>
          <w:rFonts w:hint="eastAsia" w:eastAsia="仿宋_GB2312" w:cs="Times New Roman"/>
          <w:b/>
          <w:color w:val="auto"/>
          <w:sz w:val="32"/>
          <w:szCs w:val="32"/>
          <w:highlight w:val="none"/>
          <w:lang w:eastAsia="zh-CN"/>
        </w:rPr>
        <w:t>绿色高质量发展持续深入</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bCs/>
          <w:color w:val="auto"/>
          <w:sz w:val="32"/>
          <w:szCs w:val="32"/>
          <w:highlight w:val="none"/>
        </w:rPr>
        <w:t>绿色生态屏障建设</w:t>
      </w:r>
      <w:r>
        <w:rPr>
          <w:rFonts w:hint="eastAsia" w:eastAsia="仿宋_GB2312" w:cs="Times New Roman"/>
          <w:b/>
          <w:bCs/>
          <w:color w:val="auto"/>
          <w:sz w:val="32"/>
          <w:szCs w:val="32"/>
          <w:highlight w:val="none"/>
          <w:lang w:eastAsia="zh-CN"/>
        </w:rPr>
        <w:t>成果显现。</w:t>
      </w:r>
      <w:r>
        <w:rPr>
          <w:rFonts w:hint="eastAsia" w:ascii="Times New Roman" w:hAnsi="Times New Roman" w:eastAsia="仿宋_GB2312" w:cs="Times New Roman"/>
          <w:color w:val="auto"/>
          <w:sz w:val="32"/>
          <w:szCs w:val="32"/>
          <w:highlight w:val="none"/>
        </w:rPr>
        <w:t>自2018年启动绿屏建设以来，造林绿化6.4万亩，</w:t>
      </w:r>
      <w:r>
        <w:rPr>
          <w:rFonts w:ascii="Times New Roman" w:hAnsi="Times New Roman" w:eastAsia="仿宋_GB2312" w:cs="Times New Roman"/>
          <w:color w:val="auto"/>
          <w:sz w:val="32"/>
          <w:szCs w:val="32"/>
          <w:highlight w:val="none"/>
        </w:rPr>
        <w:t>“蓝绿”空间占比达到65%</w:t>
      </w:r>
      <w:r>
        <w:rPr>
          <w:rFonts w:hint="default" w:ascii="Times New Roman" w:hAnsi="Times New Roman" w:eastAsia="仿宋_GB2312" w:cs="Times New Roman"/>
          <w:color w:val="auto"/>
          <w:sz w:val="32"/>
          <w:szCs w:val="32"/>
          <w:highlight w:val="none"/>
        </w:rPr>
        <w:t>。积极创建“双碳”工作先行示范区</w:t>
      </w:r>
      <w:r>
        <w:rPr>
          <w:rFonts w:hint="eastAsia" w:eastAsia="仿宋_GB2312" w:cs="Times New Roman"/>
          <w:color w:val="auto"/>
          <w:sz w:val="32"/>
          <w:szCs w:val="32"/>
          <w:highlight w:val="none"/>
          <w:lang w:eastAsia="zh-CN"/>
        </w:rPr>
        <w:t>，2.7万亩林地纳入首批碳汇交易项目，固碳能力是全市平均水平的2.1倍。</w:t>
      </w:r>
      <w:r>
        <w:rPr>
          <w:rFonts w:hint="eastAsia" w:eastAsia="仿宋_GB2312" w:cs="Times New Roman"/>
          <w:b/>
          <w:bCs/>
          <w:color w:val="auto"/>
          <w:sz w:val="32"/>
          <w:szCs w:val="32"/>
          <w:highlight w:val="none"/>
          <w:lang w:eastAsia="zh-CN"/>
        </w:rPr>
        <w:t>“天津智谷”建设深入推进。</w:t>
      </w:r>
      <w:r>
        <w:rPr>
          <w:rFonts w:hint="eastAsia" w:eastAsia="仿宋_GB2312" w:cs="Times New Roman"/>
          <w:color w:val="auto"/>
          <w:sz w:val="32"/>
          <w:szCs w:val="32"/>
          <w:highlight w:val="none"/>
          <w:lang w:eastAsia="zh-CN"/>
        </w:rPr>
        <w:t>积极运营海棠众创大街等优质载体，</w:t>
      </w:r>
      <w:r>
        <w:rPr>
          <w:rFonts w:hint="eastAsia" w:eastAsia="仿宋_GB2312" w:cs="Times New Roman"/>
          <w:color w:val="auto"/>
          <w:sz w:val="32"/>
          <w:szCs w:val="32"/>
          <w:highlight w:val="none"/>
          <w:lang w:val="en-US" w:eastAsia="zh-CN"/>
        </w:rPr>
        <w:t>2021年</w:t>
      </w:r>
      <w:r>
        <w:rPr>
          <w:rFonts w:hint="eastAsia" w:eastAsia="仿宋_GB2312" w:cs="Times New Roman"/>
          <w:color w:val="auto"/>
          <w:sz w:val="32"/>
          <w:szCs w:val="32"/>
          <w:highlight w:val="none"/>
          <w:lang w:eastAsia="zh-CN"/>
        </w:rPr>
        <w:t>引进创新创业企业</w:t>
      </w:r>
      <w:r>
        <w:rPr>
          <w:rFonts w:hint="eastAsia" w:eastAsia="仿宋_GB2312" w:cs="Times New Roman"/>
          <w:color w:val="auto"/>
          <w:sz w:val="32"/>
          <w:szCs w:val="32"/>
          <w:highlight w:val="none"/>
          <w:lang w:val="en-US" w:eastAsia="zh-CN"/>
        </w:rPr>
        <w:t>135</w:t>
      </w:r>
      <w:r>
        <w:rPr>
          <w:rFonts w:hint="eastAsia" w:eastAsia="仿宋_GB2312" w:cs="Times New Roman"/>
          <w:color w:val="auto"/>
          <w:sz w:val="32"/>
          <w:szCs w:val="32"/>
          <w:highlight w:val="none"/>
          <w:lang w:eastAsia="zh-CN"/>
        </w:rPr>
        <w:t>家，</w:t>
      </w:r>
      <w:r>
        <w:rPr>
          <w:rFonts w:hint="eastAsia" w:eastAsia="仿宋_GB2312" w:cs="Times New Roman"/>
          <w:color w:val="auto"/>
          <w:sz w:val="32"/>
          <w:szCs w:val="32"/>
          <w:highlight w:val="none"/>
          <w:lang w:val="en-US" w:eastAsia="zh-CN"/>
        </w:rPr>
        <w:t>2718</w:t>
      </w:r>
      <w:r>
        <w:rPr>
          <w:rFonts w:hint="eastAsia" w:eastAsia="仿宋_GB2312" w:cs="Times New Roman"/>
          <w:color w:val="auto"/>
          <w:sz w:val="32"/>
          <w:szCs w:val="32"/>
          <w:highlight w:val="none"/>
          <w:lang w:eastAsia="zh-CN"/>
        </w:rPr>
        <w:t>个5G基站覆盖全区，</w:t>
      </w:r>
      <w:r>
        <w:rPr>
          <w:rFonts w:ascii="Times New Roman" w:hAnsi="Times New Roman" w:eastAsia="仿宋_GB2312" w:cs="Times New Roman"/>
          <w:color w:val="auto"/>
          <w:sz w:val="32"/>
          <w:szCs w:val="32"/>
          <w:highlight w:val="none"/>
        </w:rPr>
        <w:t>海尔互联工厂成为天津市首个全球“灯塔工厂”</w:t>
      </w:r>
      <w:r>
        <w:rPr>
          <w:rFonts w:hint="eastAsia" w:eastAsia="仿宋_GB2312" w:cs="Times New Roman"/>
          <w:color w:val="auto"/>
          <w:sz w:val="32"/>
          <w:szCs w:val="32"/>
          <w:highlight w:val="none"/>
          <w:lang w:eastAsia="zh-CN"/>
        </w:rPr>
        <w:t>。</w:t>
      </w:r>
      <w:r>
        <w:rPr>
          <w:rFonts w:hint="eastAsia" w:eastAsia="仿宋_GB2312" w:cs="Times New Roman"/>
          <w:b/>
          <w:bCs/>
          <w:color w:val="auto"/>
          <w:sz w:val="32"/>
          <w:szCs w:val="32"/>
          <w:highlight w:val="none"/>
          <w:lang w:eastAsia="zh-CN"/>
        </w:rPr>
        <w:t>会展经济持续发展壮大。</w:t>
      </w:r>
      <w:r>
        <w:rPr>
          <w:rFonts w:hint="eastAsia" w:eastAsia="仿宋_GB2312" w:cs="Times New Roman"/>
          <w:color w:val="auto"/>
          <w:sz w:val="32"/>
          <w:szCs w:val="32"/>
          <w:highlight w:val="none"/>
          <w:lang w:eastAsia="zh-CN"/>
        </w:rPr>
        <w:t>国家会展中心（天津）一期展馆投入运营，2021年成功举办中国建筑科学大会暨绿色智慧建筑博览会和中国（天津）国际汽车展览会等展会活动17场次。</w:t>
      </w:r>
    </w:p>
    <w:p>
      <w:pPr>
        <w:keepNext w:val="0"/>
        <w:keepLines w:val="0"/>
        <w:pageBreakBefore w:val="0"/>
        <w:widowControl/>
        <w:tabs>
          <w:tab w:val="center" w:pos="4573"/>
        </w:tabs>
        <w:kinsoku/>
        <w:wordWrap/>
        <w:overflowPunct/>
        <w:topLinePunct w:val="0"/>
        <w:bidi w:val="0"/>
        <w:snapToGrid/>
        <w:spacing w:line="560" w:lineRule="exact"/>
        <w:ind w:firstLine="642" w:firstLineChars="200"/>
        <w:jc w:val="both"/>
        <w:rPr>
          <w:rFonts w:hint="eastAsia" w:eastAsia="仿宋_GB2312" w:cs="Times New Roman"/>
          <w:b/>
          <w:color w:val="auto"/>
          <w:sz w:val="32"/>
          <w:szCs w:val="32"/>
          <w:highlight w:val="none"/>
          <w:lang w:val="en-US" w:eastAsia="zh-CN"/>
        </w:rPr>
      </w:pPr>
      <w:r>
        <w:rPr>
          <w:rFonts w:ascii="Times New Roman" w:hAnsi="Times New Roman" w:eastAsia="仿宋_GB2312" w:cs="Times New Roman"/>
          <w:b/>
          <w:sz w:val="32"/>
          <w:szCs w:val="32"/>
        </w:rPr>
        <w:t>疫情防控</w:t>
      </w:r>
      <w:r>
        <w:rPr>
          <w:rFonts w:hint="eastAsia" w:eastAsia="仿宋_GB2312" w:cs="Times New Roman"/>
          <w:b/>
          <w:sz w:val="32"/>
          <w:szCs w:val="32"/>
          <w:lang w:eastAsia="zh-CN"/>
        </w:rPr>
        <w:t>强抓有力</w:t>
      </w:r>
      <w:r>
        <w:rPr>
          <w:rFonts w:ascii="Times New Roman" w:hAnsi="Times New Roman" w:eastAsia="仿宋_GB2312" w:cs="Times New Roman"/>
          <w:sz w:val="32"/>
          <w:szCs w:val="32"/>
        </w:rPr>
        <w:t>。</w:t>
      </w:r>
      <w:r>
        <w:rPr>
          <w:rFonts w:hint="eastAsia" w:eastAsia="仿宋_GB2312" w:cs="Times New Roman"/>
          <w:color w:val="auto"/>
          <w:sz w:val="32"/>
          <w:szCs w:val="32"/>
          <w:lang w:eastAsia="zh-CN"/>
        </w:rPr>
        <w:t>安全有序推进疫苗全民免费接种，</w:t>
      </w:r>
      <w:r>
        <w:rPr>
          <w:rFonts w:hint="eastAsia" w:eastAsia="仿宋_GB2312" w:cs="Times New Roman"/>
          <w:color w:val="auto"/>
          <w:sz w:val="32"/>
          <w:szCs w:val="32"/>
          <w:lang w:val="en-US" w:eastAsia="zh-CN"/>
        </w:rPr>
        <w:t>2021年共接种疫苗207.20万剂次，</w:t>
      </w:r>
      <w:r>
        <w:rPr>
          <w:rFonts w:hint="eastAsia" w:eastAsia="仿宋_GB2312" w:cs="Times New Roman"/>
          <w:color w:val="auto"/>
          <w:sz w:val="32"/>
          <w:szCs w:val="32"/>
          <w:lang w:eastAsia="zh-CN"/>
        </w:rPr>
        <w:t>全人群首剂接种率达到90%。</w:t>
      </w:r>
      <w:r>
        <w:rPr>
          <w:rFonts w:ascii="Times New Roman" w:hAnsi="Times New Roman" w:eastAsia="仿宋_GB2312" w:cs="Times New Roman"/>
          <w:color w:val="auto"/>
          <w:sz w:val="32"/>
          <w:szCs w:val="32"/>
        </w:rPr>
        <w:t>强化社区网格化精细化管理，城市检测基地投入使用，疾控中心实验楼启动建设。</w:t>
      </w:r>
    </w:p>
    <w:p>
      <w:pPr>
        <w:keepNext w:val="0"/>
        <w:keepLines w:val="0"/>
        <w:pageBreakBefore w:val="0"/>
        <w:widowControl/>
        <w:tabs>
          <w:tab w:val="center" w:pos="4573"/>
        </w:tabs>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二、农业</w:t>
      </w:r>
    </w:p>
    <w:p>
      <w:pPr>
        <w:keepNext w:val="0"/>
        <w:keepLines w:val="0"/>
        <w:pageBreakBefore w:val="0"/>
        <w:kinsoku/>
        <w:wordWrap/>
        <w:overflowPunct/>
        <w:topLinePunct w:val="0"/>
        <w:autoSpaceDE w:val="0"/>
        <w:autoSpaceDN w:val="0"/>
        <w:bidi w:val="0"/>
        <w:adjustRightInd w:val="0"/>
        <w:snapToGrid/>
        <w:spacing w:line="560" w:lineRule="exact"/>
        <w:ind w:firstLine="645"/>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农业生产</w:t>
      </w:r>
      <w:r>
        <w:rPr>
          <w:rFonts w:hint="eastAsia" w:eastAsia="仿宋_GB2312" w:cs="Times New Roman"/>
          <w:b/>
          <w:sz w:val="32"/>
          <w:szCs w:val="32"/>
          <w:highlight w:val="none"/>
          <w:lang w:eastAsia="zh-CN"/>
        </w:rPr>
        <w:t>总体稳定</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rPr>
        <w:t>全年农业总产值10.31亿元。其中，种植业产值5.84亿元，林业产值0.9亿元，畜牧业产值0.5亿元，渔业产值2.93亿元，农林牧渔专业及辅助性活动产值0.14亿元。</w:t>
      </w:r>
    </w:p>
    <w:p>
      <w:pPr>
        <w:keepNext w:val="0"/>
        <w:keepLines w:val="0"/>
        <w:pageBreakBefore w:val="0"/>
        <w:widowControl/>
        <w:shd w:val="clear" w:color="auto" w:fill="FFFFFF"/>
        <w:kinsoku/>
        <w:wordWrap/>
        <w:overflowPunct/>
        <w:topLinePunct w:val="0"/>
        <w:bidi w:val="0"/>
        <w:snapToGrid/>
        <w:spacing w:line="560" w:lineRule="exact"/>
        <w:ind w:firstLine="642" w:firstLineChars="200"/>
        <w:jc w:val="both"/>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现代农业健康发展。</w:t>
      </w:r>
      <w:r>
        <w:rPr>
          <w:rFonts w:hint="default" w:ascii="Times New Roman" w:hAnsi="Times New Roman" w:eastAsia="仿宋_GB2312" w:cs="Times New Roman"/>
          <w:color w:val="auto"/>
          <w:sz w:val="32"/>
          <w:szCs w:val="32"/>
          <w:highlight w:val="none"/>
          <w:lang w:val="en-US" w:eastAsia="zh-CN"/>
        </w:rPr>
        <w:t>全区龙头企业20家，其中国家级龙头企业1家，市级龙头企业9家，区级龙头企业10家。市级合作社4个，</w:t>
      </w:r>
      <w:r>
        <w:rPr>
          <w:rFonts w:hint="eastAsia"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lang w:val="en-US" w:eastAsia="zh-CN"/>
        </w:rPr>
        <w:t>市级示范合作社2个</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示范家庭农场3个。</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三、工业和建筑业</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年，全区工业增加值比上年</w:t>
      </w:r>
      <w:r>
        <w:rPr>
          <w:rFonts w:hint="eastAsia" w:eastAsia="仿宋_GB2312" w:cs="Times New Roman"/>
          <w:color w:val="auto"/>
          <w:sz w:val="32"/>
          <w:szCs w:val="32"/>
          <w:highlight w:val="none"/>
          <w:lang w:eastAsia="zh-CN"/>
        </w:rPr>
        <w:t>增长</w:t>
      </w:r>
      <w:r>
        <w:rPr>
          <w:rFonts w:hint="eastAsia" w:eastAsia="仿宋_GB2312" w:cs="Times New Roman"/>
          <w:color w:val="auto"/>
          <w:sz w:val="32"/>
          <w:szCs w:val="32"/>
          <w:highlight w:val="none"/>
          <w:lang w:val="en-US" w:eastAsia="zh-CN"/>
        </w:rPr>
        <w:t>7.8</w:t>
      </w:r>
      <w:r>
        <w:rPr>
          <w:rFonts w:hint="default" w:ascii="Times New Roman" w:hAnsi="Times New Roman" w:eastAsia="仿宋_GB2312" w:cs="Times New Roman"/>
          <w:color w:val="auto"/>
          <w:sz w:val="32"/>
          <w:szCs w:val="32"/>
          <w:highlight w:val="none"/>
        </w:rPr>
        <w:t>%；建筑业增加值比上年下降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工业</w:t>
      </w:r>
      <w:r>
        <w:rPr>
          <w:rFonts w:hint="eastAsia" w:eastAsia="仿宋_GB2312" w:cs="Times New Roman"/>
          <w:b/>
          <w:color w:val="auto"/>
          <w:sz w:val="32"/>
          <w:szCs w:val="32"/>
          <w:highlight w:val="none"/>
          <w:lang w:eastAsia="zh-CN"/>
        </w:rPr>
        <w:t>企业效益良好</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val="0"/>
          <w:bCs/>
          <w:color w:val="auto"/>
          <w:sz w:val="32"/>
          <w:szCs w:val="32"/>
          <w:highlight w:val="none"/>
        </w:rPr>
        <w:t>全年规模以上工业营业收入比上年增长</w:t>
      </w:r>
      <w:r>
        <w:rPr>
          <w:rFonts w:hint="default" w:ascii="Times New Roman" w:hAnsi="Times New Roman" w:eastAsia="仿宋_GB2312" w:cs="Times New Roman"/>
          <w:color w:val="auto"/>
          <w:sz w:val="32"/>
          <w:szCs w:val="32"/>
          <w:highlight w:val="none"/>
          <w:lang w:val="en"/>
        </w:rPr>
        <w:t>22.9</w:t>
      </w:r>
      <w:r>
        <w:rPr>
          <w:rFonts w:hint="default" w:ascii="Times New Roman" w:hAnsi="Times New Roman" w:eastAsia="仿宋_GB2312" w:cs="Times New Roman"/>
          <w:b w:val="0"/>
          <w:bCs/>
          <w:color w:val="auto"/>
          <w:sz w:val="32"/>
          <w:szCs w:val="32"/>
          <w:highlight w:val="none"/>
        </w:rPr>
        <w:t>%</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营业利润同比上年增长</w:t>
      </w:r>
      <w:r>
        <w:rPr>
          <w:rFonts w:hint="default" w:ascii="Times New Roman" w:hAnsi="Times New Roman" w:eastAsia="仿宋_GB2312" w:cs="Times New Roman"/>
          <w:b w:val="0"/>
          <w:bCs/>
          <w:color w:val="auto"/>
          <w:sz w:val="32"/>
          <w:szCs w:val="32"/>
          <w:highlight w:val="none"/>
          <w:lang w:val="en"/>
        </w:rPr>
        <w:t>63</w:t>
      </w:r>
      <w:r>
        <w:rPr>
          <w:rFonts w:hint="eastAsia" w:eastAsia="仿宋_GB2312" w:cs="Times New Roman"/>
          <w:b w:val="0"/>
          <w:bCs/>
          <w:color w:val="auto"/>
          <w:sz w:val="32"/>
          <w:szCs w:val="32"/>
          <w:highlight w:val="none"/>
          <w:lang w:val="en-US" w:eastAsia="zh-CN"/>
        </w:rPr>
        <w:t>.9</w:t>
      </w:r>
      <w:r>
        <w:rPr>
          <w:rFonts w:hint="default" w:ascii="Times New Roman" w:hAnsi="Times New Roman" w:eastAsia="仿宋_GB2312" w:cs="Times New Roman"/>
          <w:b w:val="0"/>
          <w:bCs/>
          <w:color w:val="auto"/>
          <w:sz w:val="32"/>
          <w:szCs w:val="32"/>
          <w:highlight w:val="none"/>
          <w:lang w:val="en"/>
        </w:rPr>
        <w:t>%</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应交增值税比上年增长</w:t>
      </w:r>
      <w:r>
        <w:rPr>
          <w:rFonts w:hint="eastAsia" w:eastAsia="仿宋_GB2312" w:cs="Times New Roman"/>
          <w:color w:val="auto"/>
          <w:sz w:val="32"/>
          <w:szCs w:val="32"/>
          <w:highlight w:val="none"/>
          <w:lang w:val="en-US" w:eastAsia="zh-CN"/>
        </w:rPr>
        <w:t>7.0</w:t>
      </w:r>
      <w:r>
        <w:rPr>
          <w:rFonts w:hint="default" w:ascii="Times New Roman" w:hAnsi="Times New Roman" w:eastAsia="仿宋_GB2312" w:cs="Times New Roman"/>
          <w:b w:val="0"/>
          <w:bCs/>
          <w:color w:val="auto"/>
          <w:sz w:val="32"/>
          <w:szCs w:val="32"/>
          <w:highlight w:val="none"/>
        </w:rPr>
        <w:t>%</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营业收入利润率</w:t>
      </w:r>
      <w:r>
        <w:rPr>
          <w:rFonts w:hint="eastAsia" w:eastAsia="仿宋_GB2312" w:cs="Times New Roman"/>
          <w:b w:val="0"/>
          <w:bCs/>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
        </w:rPr>
        <w:t>3.</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建筑业</w:t>
      </w:r>
      <w:r>
        <w:rPr>
          <w:rFonts w:hint="eastAsia" w:eastAsia="仿宋_GB2312" w:cs="Times New Roman"/>
          <w:b/>
          <w:sz w:val="32"/>
          <w:szCs w:val="32"/>
          <w:highlight w:val="none"/>
          <w:lang w:eastAsia="zh-CN"/>
        </w:rPr>
        <w:t>发展稳中向好</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rPr>
        <w:t>2021年，全区具有资质等级的总承包和专业承包建筑业企业完成建筑业总产值624.85亿元，比上年增长4.6%。建筑业企业房屋施工面积1654.04万平方米，其中新开工面积368.68万平方米；房屋建筑竣工面积146.46万平方米，其中住宅房屋竣工面积58.43万平方米。</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四、批发零售和住宿餐饮</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年，全区批发和零售业增加值比上年增长</w:t>
      </w:r>
      <w:r>
        <w:rPr>
          <w:rFonts w:hint="eastAsia" w:eastAsia="仿宋_GB2312" w:cs="Times New Roman"/>
          <w:color w:val="auto"/>
          <w:sz w:val="32"/>
          <w:szCs w:val="32"/>
          <w:highlight w:val="none"/>
          <w:lang w:val="en-US" w:eastAsia="zh-CN"/>
        </w:rPr>
        <w:t>13.1</w:t>
      </w:r>
      <w:r>
        <w:rPr>
          <w:rFonts w:hint="default" w:ascii="Times New Roman" w:hAnsi="Times New Roman" w:eastAsia="仿宋_GB2312" w:cs="Times New Roman"/>
          <w:color w:val="auto"/>
          <w:sz w:val="32"/>
          <w:szCs w:val="32"/>
          <w:highlight w:val="none"/>
        </w:rPr>
        <w:t>%；住宿餐饮业增加值比上年增长</w:t>
      </w:r>
      <w:r>
        <w:rPr>
          <w:rFonts w:hint="eastAsia" w:eastAsia="仿宋_GB2312" w:cs="Times New Roman"/>
          <w:color w:val="auto"/>
          <w:sz w:val="32"/>
          <w:szCs w:val="32"/>
          <w:highlight w:val="none"/>
          <w:lang w:val="en-US" w:eastAsia="zh-CN"/>
        </w:rPr>
        <w:t>14.6</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b/>
          <w:color w:val="auto"/>
          <w:sz w:val="32"/>
          <w:szCs w:val="32"/>
          <w:highlight w:val="none"/>
          <w:lang w:eastAsia="zh-CN"/>
        </w:rPr>
      </w:pPr>
      <w:r>
        <w:rPr>
          <w:rFonts w:hint="eastAsia" w:ascii="Times New Roman" w:hAnsi="Times New Roman" w:eastAsia="仿宋_GB2312" w:cs="Times New Roman"/>
          <w:b/>
          <w:color w:val="auto"/>
          <w:sz w:val="32"/>
          <w:szCs w:val="32"/>
          <w:highlight w:val="none"/>
        </w:rPr>
        <w:t>批发和零售业</w:t>
      </w:r>
      <w:r>
        <w:rPr>
          <w:rFonts w:hint="eastAsia" w:eastAsia="仿宋_GB2312" w:cs="Times New Roman"/>
          <w:b/>
          <w:color w:val="auto"/>
          <w:sz w:val="32"/>
          <w:szCs w:val="32"/>
          <w:highlight w:val="none"/>
          <w:lang w:eastAsia="zh-CN"/>
        </w:rPr>
        <w:t>繁荣发展</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全年批发和零售业商品销售额1652.9亿元，比上年增长33.6%。其中，限额以上批发零售业商品销售额完成1498.89亿元，比上年增长36.</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 xml:space="preserve"> %。社会消费品零售总额达到130.9</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亿元，比上年增长9.1%。</w:t>
      </w:r>
    </w:p>
    <w:p>
      <w:pPr>
        <w:keepNext w:val="0"/>
        <w:keepLines w:val="0"/>
        <w:pageBreakBefore w:val="0"/>
        <w:kinsoku/>
        <w:wordWrap/>
        <w:overflowPunct/>
        <w:topLinePunct w:val="0"/>
        <w:bidi w:val="0"/>
        <w:snapToGrid/>
        <w:spacing w:line="560" w:lineRule="exact"/>
        <w:ind w:firstLine="642"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住宿和餐饮业</w:t>
      </w:r>
      <w:r>
        <w:rPr>
          <w:rFonts w:hint="eastAsia" w:eastAsia="仿宋_GB2312" w:cs="Times New Roman"/>
          <w:b/>
          <w:color w:val="auto"/>
          <w:sz w:val="32"/>
          <w:szCs w:val="32"/>
          <w:highlight w:val="none"/>
          <w:lang w:eastAsia="zh-CN"/>
        </w:rPr>
        <w:t>快速恢复</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全年住宿和餐饮业营业额10.98亿元，比上年增长25.5%。其中，限额以上住宿和餐饮业营业额5.91亿元，</w:t>
      </w:r>
      <w:r>
        <w:rPr>
          <w:rFonts w:hint="eastAsia" w:eastAsia="仿宋_GB2312" w:cs="Times New Roman"/>
          <w:color w:val="auto"/>
          <w:sz w:val="32"/>
          <w:szCs w:val="32"/>
          <w:highlight w:val="none"/>
          <w:lang w:eastAsia="zh-CN"/>
        </w:rPr>
        <w:t>比上年</w:t>
      </w:r>
      <w:r>
        <w:rPr>
          <w:rFonts w:hint="default" w:ascii="Times New Roman" w:hAnsi="Times New Roman" w:eastAsia="仿宋_GB2312" w:cs="Times New Roman"/>
          <w:color w:val="auto"/>
          <w:sz w:val="32"/>
          <w:szCs w:val="32"/>
          <w:highlight w:val="none"/>
        </w:rPr>
        <w:t>增长45.6%；限额以下住宿和餐饮业营业额</w:t>
      </w:r>
      <w:r>
        <w:rPr>
          <w:rFonts w:hint="eastAsia" w:eastAsia="仿宋_GB2312" w:cs="Times New Roman"/>
          <w:color w:val="auto"/>
          <w:sz w:val="32"/>
          <w:szCs w:val="32"/>
          <w:highlight w:val="none"/>
          <w:lang w:val="en-US" w:eastAsia="zh-CN"/>
        </w:rPr>
        <w:t>5.07</w:t>
      </w:r>
      <w:r>
        <w:rPr>
          <w:rFonts w:hint="default" w:ascii="Times New Roman" w:hAnsi="Times New Roman" w:eastAsia="仿宋_GB2312" w:cs="Times New Roman"/>
          <w:color w:val="auto"/>
          <w:sz w:val="32"/>
          <w:szCs w:val="32"/>
          <w:highlight w:val="none"/>
        </w:rPr>
        <w:t>亿元，比上年增长8.1%，占全区营业额的46.1%。</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五、交通、邮电和旅游</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02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年，全区交通运输、仓储及邮政业增加值比上年</w:t>
      </w:r>
      <w:r>
        <w:rPr>
          <w:rFonts w:hint="default" w:ascii="Times New Roman" w:hAnsi="Times New Roman" w:eastAsia="仿宋_GB2312" w:cs="Times New Roman"/>
          <w:color w:val="auto"/>
          <w:sz w:val="32"/>
          <w:szCs w:val="32"/>
          <w:highlight w:val="none"/>
          <w:lang w:eastAsia="zh-CN"/>
        </w:rPr>
        <w:t>下降</w:t>
      </w:r>
      <w:r>
        <w:rPr>
          <w:rFonts w:hint="eastAsia"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sz w:val="32"/>
          <w:szCs w:val="32"/>
          <w:highlight w:val="none"/>
        </w:rPr>
        <w:t>交通运输</w:t>
      </w:r>
      <w:r>
        <w:rPr>
          <w:rFonts w:hint="eastAsia" w:eastAsia="仿宋_GB2312" w:cs="Times New Roman"/>
          <w:b/>
          <w:sz w:val="32"/>
          <w:szCs w:val="32"/>
          <w:highlight w:val="none"/>
          <w:lang w:eastAsia="zh-CN"/>
        </w:rPr>
        <w:t>平稳</w:t>
      </w:r>
      <w:r>
        <w:rPr>
          <w:rFonts w:hint="default" w:ascii="Times New Roman" w:hAnsi="Times New Roman" w:eastAsia="仿宋_GB2312" w:cs="Times New Roman"/>
          <w:b/>
          <w:sz w:val="32"/>
          <w:szCs w:val="32"/>
          <w:highlight w:val="none"/>
        </w:rPr>
        <w:t>发展。</w:t>
      </w:r>
      <w:r>
        <w:rPr>
          <w:rFonts w:hint="default" w:ascii="Times New Roman" w:hAnsi="Times New Roman" w:eastAsia="仿宋_GB2312" w:cs="Times New Roman"/>
          <w:color w:val="auto"/>
          <w:sz w:val="32"/>
          <w:szCs w:val="32"/>
          <w:highlight w:val="none"/>
        </w:rPr>
        <w:t>新增运输企业120家，新增运力1545车19025.14吨。全区运输企业累计707家，运力总量5554车76304.36吨。</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邮电业</w:t>
      </w:r>
      <w:r>
        <w:rPr>
          <w:rFonts w:hint="eastAsia" w:eastAsia="仿宋_GB2312" w:cs="Times New Roman"/>
          <w:b/>
          <w:color w:val="auto"/>
          <w:sz w:val="32"/>
          <w:szCs w:val="32"/>
          <w:highlight w:val="none"/>
          <w:lang w:eastAsia="zh-CN"/>
        </w:rPr>
        <w:t>运行平稳</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全年邮政业务总量完成</w:t>
      </w:r>
      <w:r>
        <w:rPr>
          <w:rFonts w:hint="eastAsia" w:eastAsia="仿宋_GB2312" w:cs="Times New Roman"/>
          <w:color w:val="auto"/>
          <w:sz w:val="32"/>
          <w:szCs w:val="32"/>
          <w:highlight w:val="none"/>
          <w:lang w:val="en-US" w:eastAsia="zh-CN"/>
        </w:rPr>
        <w:t>5484.6</w:t>
      </w:r>
      <w:r>
        <w:rPr>
          <w:rFonts w:hint="default" w:ascii="Times New Roman" w:hAnsi="Times New Roman" w:eastAsia="仿宋_GB2312" w:cs="Times New Roman"/>
          <w:color w:val="auto"/>
          <w:sz w:val="32"/>
          <w:szCs w:val="32"/>
          <w:highlight w:val="none"/>
        </w:rPr>
        <w:t>万元，发送函件</w:t>
      </w:r>
      <w:r>
        <w:rPr>
          <w:rFonts w:hint="eastAsia"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万件，</w:t>
      </w:r>
      <w:r>
        <w:rPr>
          <w:rFonts w:hint="eastAsia" w:eastAsia="仿宋_GB2312" w:cs="Times New Roman"/>
          <w:color w:val="auto"/>
          <w:sz w:val="32"/>
          <w:szCs w:val="32"/>
          <w:highlight w:val="none"/>
          <w:lang w:eastAsia="zh-CN"/>
        </w:rPr>
        <w:t>包裹</w:t>
      </w:r>
      <w:r>
        <w:rPr>
          <w:rFonts w:hint="eastAsia" w:eastAsia="仿宋_GB2312" w:cs="Times New Roman"/>
          <w:color w:val="auto"/>
          <w:sz w:val="32"/>
          <w:szCs w:val="32"/>
          <w:highlight w:val="none"/>
          <w:lang w:val="en-US" w:eastAsia="zh-CN"/>
        </w:rPr>
        <w:t>257.7万件，</w:t>
      </w:r>
      <w:r>
        <w:rPr>
          <w:rFonts w:hint="default" w:ascii="Times New Roman" w:hAnsi="Times New Roman" w:eastAsia="仿宋_GB2312" w:cs="Times New Roman"/>
          <w:color w:val="auto"/>
          <w:sz w:val="32"/>
          <w:szCs w:val="32"/>
          <w:highlight w:val="none"/>
        </w:rPr>
        <w:t>汇票</w:t>
      </w:r>
      <w:r>
        <w:rPr>
          <w:rFonts w:hint="default" w:ascii="Times New Roman" w:hAnsi="Times New Roman" w:eastAsia="仿宋_GB2312" w:cs="Times New Roman"/>
          <w:color w:val="auto"/>
          <w:sz w:val="32"/>
          <w:szCs w:val="32"/>
          <w:highlight w:val="none"/>
          <w:lang w:val="en-US" w:eastAsia="zh-CN"/>
        </w:rPr>
        <w:t>0.2</w:t>
      </w:r>
      <w:r>
        <w:rPr>
          <w:rFonts w:hint="default" w:ascii="Times New Roman" w:hAnsi="Times New Roman" w:eastAsia="仿宋_GB2312" w:cs="Times New Roman"/>
          <w:color w:val="auto"/>
          <w:sz w:val="32"/>
          <w:szCs w:val="32"/>
          <w:highlight w:val="none"/>
        </w:rPr>
        <w:t>万件，特快专递</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万件。</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color w:val="auto"/>
          <w:sz w:val="32"/>
          <w:szCs w:val="32"/>
          <w:highlight w:val="none"/>
        </w:rPr>
        <w:t>旅游产业</w:t>
      </w:r>
      <w:r>
        <w:rPr>
          <w:rFonts w:hint="eastAsia" w:eastAsia="仿宋_GB2312" w:cs="Times New Roman"/>
          <w:b/>
          <w:color w:val="auto"/>
          <w:sz w:val="32"/>
          <w:szCs w:val="32"/>
          <w:highlight w:val="none"/>
          <w:lang w:eastAsia="zh-CN"/>
        </w:rPr>
        <w:t>稳步</w:t>
      </w:r>
      <w:r>
        <w:rPr>
          <w:rFonts w:hint="default" w:ascii="Times New Roman" w:hAnsi="Times New Roman" w:eastAsia="仿宋_GB2312" w:cs="Times New Roman"/>
          <w:b/>
          <w:color w:val="auto"/>
          <w:sz w:val="32"/>
          <w:szCs w:val="32"/>
          <w:highlight w:val="none"/>
          <w:lang w:eastAsia="zh-CN"/>
        </w:rPr>
        <w:t>恢复</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lang w:eastAsia="zh-CN"/>
        </w:rPr>
        <w:t>通过文化旅游融合、借势会展经济、发展乡村旅游等形式，推动旅游产业逐步复苏</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全年接待游客</w:t>
      </w:r>
      <w:r>
        <w:rPr>
          <w:rFonts w:hint="eastAsia" w:eastAsia="仿宋_GB2312" w:cs="Times New Roman"/>
          <w:color w:val="auto"/>
          <w:sz w:val="32"/>
          <w:szCs w:val="32"/>
          <w:highlight w:val="none"/>
          <w:lang w:eastAsia="zh-CN"/>
        </w:rPr>
        <w:t>超</w:t>
      </w:r>
      <w:r>
        <w:rPr>
          <w:rFonts w:hint="default" w:ascii="Times New Roman" w:hAnsi="Times New Roman" w:eastAsia="仿宋_GB2312" w:cs="Times New Roman"/>
          <w:color w:val="auto"/>
          <w:sz w:val="32"/>
          <w:szCs w:val="32"/>
          <w:highlight w:val="none"/>
          <w:lang w:eastAsia="zh-CN"/>
        </w:rPr>
        <w:t>280万余人次</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广泛开展旅游宣传推介活动，全年完成组织区级旅游活动、指导基层、文旅企业开展活动60余场次。</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六、金融</w:t>
      </w:r>
    </w:p>
    <w:p>
      <w:pPr>
        <w:keepNext w:val="0"/>
        <w:keepLines w:val="0"/>
        <w:pageBreakBefore w:val="0"/>
        <w:kinsoku/>
        <w:wordWrap/>
        <w:overflowPunct/>
        <w:topLinePunct w:val="0"/>
        <w:bidi w:val="0"/>
        <w:snapToGrid/>
        <w:spacing w:line="56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年，全区金融业增加值比上年</w:t>
      </w:r>
      <w:r>
        <w:rPr>
          <w:rFonts w:hint="eastAsia" w:eastAsia="仿宋_GB2312" w:cs="Times New Roman"/>
          <w:color w:val="auto"/>
          <w:sz w:val="32"/>
          <w:szCs w:val="32"/>
          <w:highlight w:val="none"/>
          <w:lang w:eastAsia="zh-CN"/>
        </w:rPr>
        <w:t>下降</w:t>
      </w:r>
      <w:r>
        <w:rPr>
          <w:rFonts w:hint="eastAsia" w:eastAsia="仿宋_GB2312"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%。截至年末，城乡储蓄存款余额</w:t>
      </w:r>
      <w:r>
        <w:rPr>
          <w:rFonts w:hint="eastAsia" w:eastAsia="仿宋_GB2312" w:cs="Times New Roman"/>
          <w:color w:val="auto"/>
          <w:sz w:val="32"/>
          <w:szCs w:val="32"/>
          <w:highlight w:val="none"/>
          <w:lang w:val="en-US" w:eastAsia="zh-CN"/>
        </w:rPr>
        <w:t>913.64</w:t>
      </w:r>
      <w:r>
        <w:rPr>
          <w:rFonts w:hint="default" w:ascii="Times New Roman" w:hAnsi="Times New Roman" w:eastAsia="仿宋_GB2312" w:cs="Times New Roman"/>
          <w:color w:val="auto"/>
          <w:sz w:val="32"/>
          <w:szCs w:val="32"/>
          <w:highlight w:val="none"/>
        </w:rPr>
        <w:t>亿元，比上年</w:t>
      </w:r>
      <w:r>
        <w:rPr>
          <w:rFonts w:hint="eastAsia" w:eastAsia="仿宋_GB2312" w:cs="Times New Roman"/>
          <w:color w:val="auto"/>
          <w:sz w:val="32"/>
          <w:szCs w:val="32"/>
          <w:highlight w:val="none"/>
          <w:lang w:eastAsia="zh-CN"/>
        </w:rPr>
        <w:t>下降</w:t>
      </w:r>
      <w:r>
        <w:rPr>
          <w:rFonts w:hint="eastAsia"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rPr>
        <w:t>%，其中居民储蓄</w:t>
      </w:r>
      <w:r>
        <w:rPr>
          <w:rFonts w:hint="eastAsia" w:eastAsia="仿宋_GB2312" w:cs="Times New Roman"/>
          <w:color w:val="auto"/>
          <w:sz w:val="32"/>
          <w:szCs w:val="32"/>
          <w:highlight w:val="none"/>
          <w:lang w:val="en-US" w:eastAsia="zh-CN"/>
        </w:rPr>
        <w:t>642.28</w:t>
      </w:r>
      <w:r>
        <w:rPr>
          <w:rFonts w:hint="default" w:ascii="Times New Roman" w:hAnsi="Times New Roman" w:eastAsia="仿宋_GB2312" w:cs="Times New Roman"/>
          <w:color w:val="auto"/>
          <w:sz w:val="32"/>
          <w:szCs w:val="32"/>
          <w:highlight w:val="none"/>
        </w:rPr>
        <w:t>亿元，比上年增长</w:t>
      </w:r>
      <w:r>
        <w:rPr>
          <w:rFonts w:hint="eastAsia" w:eastAsia="仿宋_GB2312" w:cs="Times New Roman"/>
          <w:color w:val="auto"/>
          <w:sz w:val="32"/>
          <w:szCs w:val="32"/>
          <w:highlight w:val="none"/>
          <w:lang w:val="en-US" w:eastAsia="zh-CN"/>
        </w:rPr>
        <w:t>10.2</w:t>
      </w:r>
      <w:r>
        <w:rPr>
          <w:rFonts w:hint="default" w:ascii="Times New Roman" w:hAnsi="Times New Roman" w:eastAsia="仿宋_GB2312" w:cs="Times New Roman"/>
          <w:color w:val="auto"/>
          <w:sz w:val="32"/>
          <w:szCs w:val="32"/>
          <w:highlight w:val="none"/>
        </w:rPr>
        <w:t>%。城乡贷款余额</w:t>
      </w:r>
      <w:r>
        <w:rPr>
          <w:rFonts w:hint="eastAsia" w:eastAsia="仿宋_GB2312" w:cs="Times New Roman"/>
          <w:color w:val="auto"/>
          <w:sz w:val="32"/>
          <w:szCs w:val="32"/>
          <w:highlight w:val="none"/>
          <w:lang w:val="en-US" w:eastAsia="zh-CN"/>
        </w:rPr>
        <w:t>641.50</w:t>
      </w:r>
      <w:r>
        <w:rPr>
          <w:rFonts w:hint="default" w:ascii="Times New Roman" w:hAnsi="Times New Roman" w:eastAsia="仿宋_GB2312" w:cs="Times New Roman"/>
          <w:color w:val="auto"/>
          <w:sz w:val="32"/>
          <w:szCs w:val="32"/>
          <w:highlight w:val="none"/>
        </w:rPr>
        <w:t>亿元，比上年</w:t>
      </w:r>
      <w:r>
        <w:rPr>
          <w:rFonts w:hint="eastAsia" w:eastAsia="仿宋_GB2312" w:cs="Times New Roman"/>
          <w:color w:val="auto"/>
          <w:sz w:val="32"/>
          <w:szCs w:val="32"/>
          <w:highlight w:val="none"/>
          <w:lang w:eastAsia="zh-CN"/>
        </w:rPr>
        <w:t>下降</w:t>
      </w:r>
      <w:r>
        <w:rPr>
          <w:rFonts w:hint="eastAsia"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七、房地产</w:t>
      </w:r>
    </w:p>
    <w:p>
      <w:pPr>
        <w:keepNext w:val="0"/>
        <w:keepLines w:val="0"/>
        <w:pageBreakBefore w:val="0"/>
        <w:kinsoku/>
        <w:wordWrap/>
        <w:overflowPunct/>
        <w:topLinePunct w:val="0"/>
        <w:bidi w:val="0"/>
        <w:snapToGrid/>
        <w:spacing w:line="56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年，全区房地产业增加值比上年增长</w:t>
      </w:r>
      <w:r>
        <w:rPr>
          <w:rFonts w:hint="eastAsia" w:eastAsia="仿宋_GB2312" w:cs="Times New Roman"/>
          <w:color w:val="auto"/>
          <w:sz w:val="32"/>
          <w:szCs w:val="32"/>
          <w:highlight w:val="none"/>
          <w:lang w:val="en-US" w:eastAsia="zh-CN"/>
        </w:rPr>
        <w:t>14.3</w:t>
      </w:r>
      <w:r>
        <w:rPr>
          <w:rFonts w:hint="default" w:ascii="Times New Roman" w:hAnsi="Times New Roman" w:eastAsia="仿宋_GB2312" w:cs="Times New Roman"/>
          <w:color w:val="auto"/>
          <w:sz w:val="32"/>
          <w:szCs w:val="32"/>
          <w:highlight w:val="none"/>
        </w:rPr>
        <w:t>%。房地产开发商品房屋施工面积1193.87万平方米，比上年增长2.4%；竣工面积277.94万平方米，比上年下降20.8%。商品房销售面积232.08万平方米，比上年增长59.</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%；实现销售额294.57亿元，比上年增长44.6%。</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八、招商引资</w:t>
      </w:r>
    </w:p>
    <w:p>
      <w:pPr>
        <w:keepNext w:val="0"/>
        <w:keepLines w:val="0"/>
        <w:pageBreakBefore w:val="0"/>
        <w:kinsoku/>
        <w:wordWrap/>
        <w:overflowPunct/>
        <w:topLinePunct w:val="0"/>
        <w:bidi w:val="0"/>
        <w:snapToGrid/>
        <w:spacing w:line="560" w:lineRule="exact"/>
        <w:ind w:firstLine="642" w:firstLineChars="200"/>
        <w:jc w:val="both"/>
        <w:rPr>
          <w:rFonts w:hint="eastAsia"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吸引内资</w:t>
      </w:r>
      <w:r>
        <w:rPr>
          <w:rFonts w:hint="eastAsia" w:eastAsia="仿宋_GB2312" w:cs="Times New Roman"/>
          <w:b/>
          <w:sz w:val="32"/>
          <w:szCs w:val="32"/>
          <w:highlight w:val="none"/>
          <w:lang w:eastAsia="zh-CN"/>
        </w:rPr>
        <w:t>成果丰硕</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rPr>
        <w:t>京津冀协同发展深入推进，承接非首都功能项目联动机制进一步健全，成功举办中国服贸会·津南（北京）科技创新交流对接会等招商活动。2021年，完成外省市内资额239.56亿元，其中区域主导产业实际利用内资7.14亿元；引进京冀项目59个，到位资金117.35亿元；引进外地民营企业项目85个，到位资金93.59亿元。</w:t>
      </w:r>
    </w:p>
    <w:p>
      <w:pPr>
        <w:keepNext w:val="0"/>
        <w:keepLines w:val="0"/>
        <w:pageBreakBefore w:val="0"/>
        <w:kinsoku/>
        <w:wordWrap/>
        <w:overflowPunct/>
        <w:topLinePunct w:val="0"/>
        <w:bidi w:val="0"/>
        <w:snapToGrid/>
        <w:spacing w:line="560" w:lineRule="exact"/>
        <w:ind w:firstLine="642" w:firstLineChars="200"/>
        <w:jc w:val="both"/>
        <w:rPr>
          <w:rFonts w:hint="eastAsia" w:eastAsia="仿宋_GB2312" w:cs="Times New Roman"/>
          <w:sz w:val="32"/>
          <w:szCs w:val="32"/>
          <w:highlight w:val="none"/>
          <w:lang w:eastAsia="zh-CN"/>
        </w:rPr>
      </w:pPr>
      <w:r>
        <w:rPr>
          <w:rFonts w:hint="default" w:ascii="Times New Roman" w:hAnsi="Times New Roman" w:eastAsia="仿宋_GB2312" w:cs="Times New Roman"/>
          <w:b/>
          <w:color w:val="auto"/>
          <w:sz w:val="32"/>
          <w:szCs w:val="32"/>
          <w:highlight w:val="none"/>
        </w:rPr>
        <w:t>外</w:t>
      </w:r>
      <w:r>
        <w:rPr>
          <w:rFonts w:hint="default" w:ascii="Times New Roman" w:hAnsi="Times New Roman" w:eastAsia="仿宋_GB2312" w:cs="Times New Roman"/>
          <w:b/>
          <w:color w:val="auto"/>
          <w:sz w:val="32"/>
          <w:szCs w:val="32"/>
          <w:highlight w:val="none"/>
          <w:lang w:eastAsia="zh-CN"/>
        </w:rPr>
        <w:t>经贸</w:t>
      </w:r>
      <w:r>
        <w:rPr>
          <w:rFonts w:hint="eastAsia" w:eastAsia="仿宋_GB2312" w:cs="Times New Roman"/>
          <w:b/>
          <w:color w:val="auto"/>
          <w:sz w:val="32"/>
          <w:szCs w:val="32"/>
          <w:highlight w:val="none"/>
          <w:lang w:eastAsia="zh-CN"/>
        </w:rPr>
        <w:t>工作深入开展</w:t>
      </w:r>
      <w:r>
        <w:rPr>
          <w:rFonts w:hint="default"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color w:val="auto"/>
          <w:sz w:val="32"/>
          <w:szCs w:val="32"/>
          <w:highlight w:val="none"/>
          <w:lang w:eastAsia="zh-CN"/>
        </w:rPr>
        <w:t>进一步健全招商考核激励机制，出台促进大数据产业发展、产业链招商等政策措施</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w:t>
      </w:r>
      <w:r>
        <w:rPr>
          <w:rFonts w:hint="eastAsia"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年，全区实际利用外资额</w:t>
      </w:r>
      <w:r>
        <w:rPr>
          <w:rFonts w:hint="eastAsia" w:eastAsia="仿宋_GB2312" w:cs="Times New Roman"/>
          <w:color w:val="auto"/>
          <w:sz w:val="32"/>
          <w:szCs w:val="32"/>
          <w:highlight w:val="none"/>
          <w:lang w:val="en-US" w:eastAsia="zh-CN"/>
        </w:rPr>
        <w:t>3310</w:t>
      </w:r>
      <w:r>
        <w:rPr>
          <w:rFonts w:hint="default" w:ascii="Times New Roman" w:hAnsi="Times New Roman" w:eastAsia="仿宋_GB2312" w:cs="Times New Roman"/>
          <w:color w:val="auto"/>
          <w:sz w:val="32"/>
          <w:szCs w:val="32"/>
          <w:highlight w:val="none"/>
        </w:rPr>
        <w:t>万美元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外贸</w:t>
      </w:r>
      <w:r>
        <w:rPr>
          <w:rFonts w:hint="default" w:ascii="Times New Roman" w:hAnsi="Times New Roman" w:eastAsia="仿宋_GB2312" w:cs="Times New Roman"/>
          <w:color w:val="auto"/>
          <w:sz w:val="32"/>
          <w:szCs w:val="32"/>
          <w:highlight w:val="none"/>
          <w:lang w:eastAsia="zh-CN"/>
        </w:rPr>
        <w:t>进</w:t>
      </w:r>
      <w:r>
        <w:rPr>
          <w:rFonts w:hint="default" w:ascii="Times New Roman" w:hAnsi="Times New Roman" w:eastAsia="仿宋_GB2312" w:cs="Times New Roman"/>
          <w:color w:val="auto"/>
          <w:sz w:val="32"/>
          <w:szCs w:val="32"/>
          <w:highlight w:val="none"/>
        </w:rPr>
        <w:t>出口实现</w:t>
      </w:r>
      <w:r>
        <w:rPr>
          <w:rFonts w:hint="eastAsia" w:eastAsia="仿宋_GB2312" w:cs="Times New Roman"/>
          <w:color w:val="auto"/>
          <w:sz w:val="32"/>
          <w:szCs w:val="32"/>
          <w:highlight w:val="none"/>
          <w:lang w:val="en-US" w:eastAsia="zh-CN"/>
        </w:rPr>
        <w:t>138.9</w:t>
      </w:r>
      <w:r>
        <w:rPr>
          <w:rFonts w:hint="default" w:ascii="Times New Roman" w:hAnsi="Times New Roman" w:eastAsia="仿宋_GB2312" w:cs="Times New Roman"/>
          <w:color w:val="auto"/>
          <w:sz w:val="32"/>
          <w:szCs w:val="32"/>
          <w:highlight w:val="none"/>
        </w:rPr>
        <w:t>亿元。</w:t>
      </w:r>
    </w:p>
    <w:p>
      <w:pPr>
        <w:keepNext w:val="0"/>
        <w:keepLines w:val="0"/>
        <w:pageBreakBefore w:val="0"/>
        <w:kinsoku/>
        <w:wordWrap/>
        <w:overflowPunct/>
        <w:topLinePunct w:val="0"/>
        <w:bidi w:val="0"/>
        <w:snapToGrid/>
        <w:spacing w:line="560" w:lineRule="exact"/>
        <w:ind w:firstLine="642" w:firstLineChars="2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sz w:val="32"/>
          <w:szCs w:val="32"/>
          <w:highlight w:val="none"/>
          <w:lang w:eastAsia="zh-CN"/>
        </w:rPr>
        <w:t>营商环境不断优化</w:t>
      </w:r>
      <w:r>
        <w:rPr>
          <w:rFonts w:hint="eastAsia" w:eastAsia="仿宋_GB2312" w:cs="Times New Roman"/>
          <w:b/>
          <w:sz w:val="32"/>
          <w:szCs w:val="32"/>
          <w:highlight w:val="none"/>
          <w:lang w:eastAsia="zh-CN"/>
        </w:rPr>
        <w:t>。</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rPr>
        <w:t>扎实推进“一制三化”改革，推行跨省通办、承诺制审批、无人审批等改革事项</w:t>
      </w:r>
      <w:r>
        <w:rPr>
          <w:rFonts w:hint="default" w:ascii="Times New Roman" w:hAnsi="Times New Roman" w:eastAsia="仿宋_GB2312" w:cs="Times New Roman"/>
          <w:color w:val="auto"/>
          <w:sz w:val="32"/>
          <w:szCs w:val="32"/>
          <w:lang w:val="en-US" w:eastAsia="zh-CN"/>
        </w:rPr>
        <w:t>517</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。深入开展“双万双服促发展”活动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rPr>
        <w:t>解决</w:t>
      </w:r>
      <w:r>
        <w:rPr>
          <w:rFonts w:hint="default" w:ascii="Times New Roman" w:hAnsi="Times New Roman" w:eastAsia="仿宋_GB2312" w:cs="Times New Roman"/>
          <w:color w:val="auto"/>
          <w:sz w:val="32"/>
          <w:szCs w:val="32"/>
          <w:lang w:eastAsia="zh-CN"/>
        </w:rPr>
        <w:t>平台</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问题</w:t>
      </w:r>
      <w:r>
        <w:rPr>
          <w:rFonts w:hint="default" w:ascii="Times New Roman" w:hAnsi="Times New Roman" w:eastAsia="仿宋_GB2312" w:cs="Times New Roman"/>
          <w:color w:val="auto"/>
          <w:sz w:val="32"/>
          <w:szCs w:val="32"/>
          <w:lang w:val="en-US" w:eastAsia="zh-CN"/>
        </w:rPr>
        <w:t>1108</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eastAsia" w:eastAsia="黑体" w:cs="Times New Roman"/>
          <w:kern w:val="0"/>
          <w:sz w:val="32"/>
          <w:szCs w:val="32"/>
          <w:highlight w:val="none"/>
          <w:lang w:eastAsia="zh-CN"/>
        </w:rPr>
        <w:t>九</w:t>
      </w:r>
      <w:r>
        <w:rPr>
          <w:rFonts w:hint="default" w:ascii="Times New Roman" w:hAnsi="Times New Roman" w:eastAsia="黑体" w:cs="Times New Roman"/>
          <w:kern w:val="0"/>
          <w:sz w:val="32"/>
          <w:szCs w:val="32"/>
          <w:highlight w:val="none"/>
        </w:rPr>
        <w:t>、科教文卫体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ascii="Times New Roman" w:hAnsi="Times New Roman" w:eastAsia="仿宋_GB2312" w:cs="Times New Roman"/>
          <w:b/>
          <w:sz w:val="32"/>
          <w:szCs w:val="32"/>
        </w:rPr>
        <w:t>科技创新能力显著增强</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rPr>
        <w:t>2021年国家科技型中小企业评价入库610家，“雏鹰”企业评价入库278家，“瞪羚”企业评价入库32家，通过天津市科技领军（培育）企业认定企业4家，有效国家高新技术企业达到726家。科技进步成果丰硕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专利授权</w:t>
      </w:r>
      <w:r>
        <w:rPr>
          <w:rFonts w:hint="eastAsia" w:eastAsia="仿宋_GB2312" w:cs="Times New Roman"/>
          <w:color w:val="auto"/>
          <w:sz w:val="32"/>
          <w:szCs w:val="32"/>
          <w:highlight w:val="none"/>
          <w:lang w:val="en-US" w:eastAsia="zh-CN"/>
        </w:rPr>
        <w:t>9431</w:t>
      </w:r>
      <w:r>
        <w:rPr>
          <w:rFonts w:hint="default" w:ascii="Times New Roman" w:hAnsi="Times New Roman" w:eastAsia="仿宋_GB2312" w:cs="Times New Roman"/>
          <w:color w:val="auto"/>
          <w:sz w:val="32"/>
          <w:szCs w:val="32"/>
          <w:highlight w:val="none"/>
        </w:rPr>
        <w:t>件，其中发明专利</w:t>
      </w:r>
      <w:r>
        <w:rPr>
          <w:rFonts w:hint="eastAsia" w:eastAsia="仿宋_GB2312" w:cs="Times New Roman"/>
          <w:color w:val="auto"/>
          <w:sz w:val="32"/>
          <w:szCs w:val="32"/>
          <w:highlight w:val="none"/>
          <w:lang w:val="en-US" w:eastAsia="zh-CN"/>
        </w:rPr>
        <w:t>608</w:t>
      </w:r>
      <w:r>
        <w:rPr>
          <w:rFonts w:hint="default" w:ascii="Times New Roman" w:hAnsi="Times New Roman" w:eastAsia="仿宋_GB2312" w:cs="Times New Roman"/>
          <w:color w:val="auto"/>
          <w:sz w:val="32"/>
          <w:szCs w:val="32"/>
          <w:highlight w:val="none"/>
        </w:rPr>
        <w:t>件；年末有效发明专利</w:t>
      </w:r>
      <w:r>
        <w:rPr>
          <w:rFonts w:hint="eastAsia" w:eastAsia="仿宋_GB2312" w:cs="Times New Roman"/>
          <w:color w:val="auto"/>
          <w:sz w:val="32"/>
          <w:szCs w:val="32"/>
          <w:highlight w:val="none"/>
          <w:lang w:val="en-US" w:eastAsia="zh-CN"/>
        </w:rPr>
        <w:t>2185</w:t>
      </w:r>
      <w:r>
        <w:rPr>
          <w:rFonts w:hint="default" w:ascii="Times New Roman" w:hAnsi="Times New Roman" w:eastAsia="仿宋_GB2312" w:cs="Times New Roman"/>
          <w:color w:val="auto"/>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b/>
          <w:sz w:val="32"/>
          <w:szCs w:val="32"/>
          <w:highlight w:val="none"/>
        </w:rPr>
        <w:t>教育事业不断发展。</w:t>
      </w:r>
      <w:r>
        <w:rPr>
          <w:rFonts w:hint="default" w:ascii="Times New Roman" w:hAnsi="Times New Roman" w:eastAsia="仿宋_GB2312" w:cs="Times New Roman"/>
          <w:color w:val="auto"/>
          <w:sz w:val="32"/>
          <w:szCs w:val="32"/>
          <w:highlight w:val="none"/>
        </w:rPr>
        <w:t>2021年全区中小学招生6537人，毕业6195人，年末在校39249人，专任教师2144人。普通中学招生8959人，其中小升初6055人，中招高2904人，毕业6961人，其中初中4785人，高中2176人，年末在校生25570人，专任教师1660人，年末幼儿园在园幼儿20699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文化</w:t>
      </w:r>
      <w:r>
        <w:rPr>
          <w:rFonts w:hint="eastAsia" w:eastAsia="仿宋_GB2312" w:cs="Times New Roman"/>
          <w:b/>
          <w:sz w:val="32"/>
          <w:szCs w:val="32"/>
          <w:highlight w:val="none"/>
          <w:lang w:eastAsia="zh-CN"/>
        </w:rPr>
        <w:t>惠民取得成效</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lang w:eastAsia="zh-CN"/>
        </w:rPr>
        <w:t>深入推进图书馆、文化馆总分馆制建设，2021年新建区图书馆分馆1个，基层服务点9个，图书流动服务点3个，图书加工与配送共计2.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万册。文化活动深入基层，开展“文化公益大讲堂”和“沽上讲堂”活动596场次，受众人群达到2</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1</w:t>
      </w:r>
      <w:r>
        <w:rPr>
          <w:rFonts w:hint="eastAsia" w:eastAsia="仿宋_GB2312" w:cs="Times New Roman"/>
          <w:color w:val="auto"/>
          <w:sz w:val="32"/>
          <w:szCs w:val="32"/>
          <w:highlight w:val="none"/>
          <w:lang w:eastAsia="zh-CN"/>
        </w:rPr>
        <w:t>万</w:t>
      </w:r>
      <w:r>
        <w:rPr>
          <w:rFonts w:hint="default" w:ascii="Times New Roman" w:hAnsi="Times New Roman" w:eastAsia="仿宋_GB2312" w:cs="Times New Roman"/>
          <w:color w:val="auto"/>
          <w:sz w:val="32"/>
          <w:szCs w:val="32"/>
          <w:highlight w:val="none"/>
          <w:lang w:eastAsia="zh-CN"/>
        </w:rPr>
        <w:t>余人次。</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医疗卫生服务日臻完善。</w:t>
      </w:r>
      <w:r>
        <w:rPr>
          <w:rFonts w:hint="default" w:ascii="Times New Roman" w:hAnsi="Times New Roman" w:eastAsia="仿宋_GB2312" w:cs="Times New Roman"/>
          <w:color w:val="auto"/>
          <w:sz w:val="32"/>
          <w:szCs w:val="32"/>
          <w:highlight w:val="none"/>
        </w:rPr>
        <w:t>截至年末，全区有卫生机构307个（含三级医院），床位4436张，卫生技术人员7433人，其中执业医师2699人，执业助理医师147人，注册护士3276人，拥有社区卫生服务站19个，民营医</w:t>
      </w:r>
      <w:r>
        <w:rPr>
          <w:rFonts w:hint="eastAsia" w:eastAsia="仿宋_GB2312" w:cs="Times New Roman"/>
          <w:color w:val="auto"/>
          <w:sz w:val="32"/>
          <w:szCs w:val="32"/>
          <w:highlight w:val="none"/>
          <w:lang w:eastAsia="zh-CN"/>
        </w:rPr>
        <w:t>院</w:t>
      </w:r>
      <w:r>
        <w:rPr>
          <w:rFonts w:hint="default" w:ascii="Times New Roman" w:hAnsi="Times New Roman" w:eastAsia="仿宋_GB2312" w:cs="Times New Roman"/>
          <w:color w:val="auto"/>
          <w:sz w:val="32"/>
          <w:szCs w:val="32"/>
          <w:highlight w:val="none"/>
        </w:rPr>
        <w:t>19个，村级卫生室53个。</w:t>
      </w:r>
    </w:p>
    <w:p>
      <w:pPr>
        <w:keepNext w:val="0"/>
        <w:keepLines w:val="0"/>
        <w:pageBreakBefore w:val="0"/>
        <w:kinsoku/>
        <w:wordWrap/>
        <w:overflowPunct/>
        <w:topLinePunct w:val="0"/>
        <w:bidi w:val="0"/>
        <w:snapToGrid/>
        <w:spacing w:line="560" w:lineRule="exact"/>
        <w:ind w:firstLine="64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体育事业</w:t>
      </w:r>
      <w:r>
        <w:rPr>
          <w:rFonts w:hint="eastAsia" w:eastAsia="仿宋_GB2312" w:cs="Times New Roman"/>
          <w:b/>
          <w:sz w:val="32"/>
          <w:szCs w:val="32"/>
          <w:highlight w:val="none"/>
          <w:lang w:eastAsia="zh-CN"/>
        </w:rPr>
        <w:t>繁荣</w:t>
      </w:r>
      <w:r>
        <w:rPr>
          <w:rFonts w:hint="default" w:ascii="Times New Roman" w:hAnsi="Times New Roman" w:eastAsia="仿宋_GB2312" w:cs="Times New Roman"/>
          <w:b/>
          <w:sz w:val="32"/>
          <w:szCs w:val="32"/>
          <w:highlight w:val="none"/>
        </w:rPr>
        <w:t>发展。</w:t>
      </w:r>
      <w:r>
        <w:rPr>
          <w:rFonts w:hint="default" w:ascii="Times New Roman" w:hAnsi="Times New Roman" w:eastAsia="仿宋_GB2312" w:cs="Times New Roman"/>
          <w:color w:val="auto"/>
          <w:sz w:val="32"/>
          <w:szCs w:val="32"/>
          <w:highlight w:val="none"/>
        </w:rPr>
        <w:t>加强基层体育公共服务设施建设，全区建设8个社区体育园、60个健身园，配建体育设施共计980件。开展比赛活动共计26项,涉及津南区百姓喜爱的健步行、乒乓球、羽毛球、篮球、足球、武术、空竹、跳绳、中国象棋、竞技二打一、钓鱼、广播体操、冰雪等项目</w:t>
      </w:r>
      <w:r>
        <w:rPr>
          <w:rFonts w:hint="eastAsia" w:eastAsia="仿宋_GB2312" w:cs="Times New Roman"/>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十、人口、人民生活和社会保障</w:t>
      </w:r>
    </w:p>
    <w:p>
      <w:pPr>
        <w:keepNext w:val="0"/>
        <w:keepLines w:val="0"/>
        <w:pageBreakBefore w:val="0"/>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全区常住人口</w:t>
      </w:r>
      <w:r>
        <w:rPr>
          <w:rFonts w:hint="default" w:ascii="Times New Roman" w:hAnsi="Times New Roman" w:eastAsia="仿宋_GB2312" w:cs="Times New Roman"/>
          <w:color w:val="auto"/>
          <w:sz w:val="32"/>
          <w:szCs w:val="32"/>
          <w:highlight w:val="none"/>
          <w:lang w:val="en-US" w:eastAsia="zh-CN"/>
        </w:rPr>
        <w:t>92.71</w:t>
      </w:r>
      <w:r>
        <w:rPr>
          <w:rFonts w:hint="default" w:ascii="Times New Roman" w:hAnsi="Times New Roman" w:eastAsia="仿宋_GB2312" w:cs="Times New Roman"/>
          <w:color w:val="auto"/>
          <w:sz w:val="32"/>
          <w:szCs w:val="32"/>
          <w:highlight w:val="none"/>
        </w:rPr>
        <w:t>万人</w:t>
      </w:r>
      <w:r>
        <w:rPr>
          <w:rFonts w:hint="default" w:ascii="Times New Roman" w:hAnsi="Times New Roman" w:eastAsia="仿宋_GB2312" w:cs="Times New Roman"/>
          <w:sz w:val="32"/>
          <w:szCs w:val="32"/>
          <w:highlight w:val="none"/>
        </w:rPr>
        <w:t>，户籍人口</w:t>
      </w:r>
      <w:r>
        <w:rPr>
          <w:rFonts w:hint="default" w:ascii="Times New Roman" w:hAnsi="Times New Roman" w:eastAsia="仿宋_GB2312" w:cs="Times New Roman"/>
          <w:sz w:val="32"/>
          <w:szCs w:val="32"/>
          <w:highlight w:val="none"/>
          <w:lang w:val="en-US" w:eastAsia="zh-CN"/>
        </w:rPr>
        <w:t>55.66</w:t>
      </w:r>
      <w:r>
        <w:rPr>
          <w:rFonts w:hint="default" w:ascii="Times New Roman" w:hAnsi="Times New Roman" w:eastAsia="仿宋_GB2312" w:cs="Times New Roman"/>
          <w:sz w:val="32"/>
          <w:szCs w:val="32"/>
          <w:highlight w:val="none"/>
        </w:rPr>
        <w:t>万人。</w:t>
      </w:r>
      <w:r>
        <w:rPr>
          <w:rFonts w:hint="default" w:ascii="Times New Roman" w:hAnsi="Times New Roman" w:eastAsia="仿宋_GB2312" w:cs="Times New Roman"/>
          <w:color w:val="auto"/>
          <w:sz w:val="32"/>
          <w:szCs w:val="32"/>
          <w:highlight w:val="none"/>
        </w:rPr>
        <w:t>全年出生人口</w:t>
      </w:r>
      <w:r>
        <w:rPr>
          <w:rFonts w:hint="default" w:ascii="Times New Roman" w:hAnsi="Times New Roman" w:eastAsia="仿宋_GB2312" w:cs="Times New Roman"/>
          <w:color w:val="auto"/>
          <w:sz w:val="32"/>
          <w:szCs w:val="32"/>
          <w:highlight w:val="none"/>
          <w:lang w:eastAsia="zh-CN"/>
        </w:rPr>
        <w:t>共</w:t>
      </w:r>
      <w:r>
        <w:rPr>
          <w:rFonts w:hint="eastAsia" w:eastAsia="仿宋_GB2312" w:cs="Times New Roman"/>
          <w:color w:val="auto"/>
          <w:sz w:val="32"/>
          <w:szCs w:val="32"/>
          <w:highlight w:val="none"/>
          <w:lang w:val="en-US" w:eastAsia="zh-CN"/>
        </w:rPr>
        <w:t>5204</w:t>
      </w:r>
      <w:r>
        <w:rPr>
          <w:rFonts w:hint="default" w:ascii="Times New Roman" w:hAnsi="Times New Roman" w:eastAsia="仿宋_GB2312" w:cs="Times New Roman"/>
          <w:color w:val="auto"/>
          <w:sz w:val="32"/>
          <w:szCs w:val="32"/>
          <w:highlight w:val="none"/>
        </w:rPr>
        <w:t>人，其中一孩出生</w:t>
      </w:r>
      <w:r>
        <w:rPr>
          <w:rFonts w:hint="eastAsia" w:eastAsia="仿宋_GB2312" w:cs="Times New Roman"/>
          <w:color w:val="auto"/>
          <w:sz w:val="32"/>
          <w:szCs w:val="32"/>
          <w:highlight w:val="none"/>
          <w:lang w:val="en-US" w:eastAsia="zh-CN"/>
        </w:rPr>
        <w:t>2962</w:t>
      </w:r>
      <w:r>
        <w:rPr>
          <w:rFonts w:hint="default" w:ascii="Times New Roman" w:hAnsi="Times New Roman" w:eastAsia="仿宋_GB2312" w:cs="Times New Roman"/>
          <w:color w:val="auto"/>
          <w:sz w:val="32"/>
          <w:szCs w:val="32"/>
          <w:highlight w:val="none"/>
        </w:rPr>
        <w:t>人，二孩出生</w:t>
      </w:r>
      <w:r>
        <w:rPr>
          <w:rFonts w:hint="eastAsia" w:eastAsia="仿宋_GB2312" w:cs="Times New Roman"/>
          <w:color w:val="auto"/>
          <w:sz w:val="32"/>
          <w:szCs w:val="32"/>
          <w:highlight w:val="none"/>
          <w:lang w:val="en-US" w:eastAsia="zh-CN"/>
        </w:rPr>
        <w:t>2011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，多孩出生</w:t>
      </w:r>
      <w:r>
        <w:rPr>
          <w:rFonts w:hint="eastAsia" w:eastAsia="仿宋_GB2312" w:cs="Times New Roman"/>
          <w:color w:val="auto"/>
          <w:sz w:val="32"/>
          <w:szCs w:val="32"/>
          <w:highlight w:val="none"/>
          <w:lang w:val="en-US" w:eastAsia="zh-CN"/>
        </w:rPr>
        <w:t>231</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line="560" w:lineRule="exact"/>
        <w:ind w:firstLine="642" w:firstLineChars="200"/>
        <w:jc w:val="both"/>
        <w:rPr>
          <w:rFonts w:hint="eastAsia" w:eastAsia="仿宋_GB2312" w:cs="Times New Roman"/>
          <w:color w:val="auto"/>
          <w:sz w:val="32"/>
          <w:szCs w:val="32"/>
          <w:highlight w:val="none"/>
          <w:lang w:eastAsia="zh-CN"/>
        </w:rPr>
      </w:pPr>
      <w:r>
        <w:rPr>
          <w:rFonts w:hint="default" w:ascii="Times New Roman" w:hAnsi="Times New Roman" w:eastAsia="仿宋_GB2312" w:cs="Times New Roman"/>
          <w:b/>
          <w:sz w:val="32"/>
          <w:szCs w:val="32"/>
          <w:highlight w:val="none"/>
        </w:rPr>
        <w:t>居民收入稳步增长。</w:t>
      </w:r>
      <w:r>
        <w:rPr>
          <w:rFonts w:hint="default" w:ascii="Times New Roman" w:hAnsi="Times New Roman" w:eastAsia="仿宋_GB2312" w:cs="Times New Roman"/>
          <w:color w:val="auto"/>
          <w:sz w:val="32"/>
          <w:szCs w:val="32"/>
          <w:highlight w:val="none"/>
        </w:rPr>
        <w:t>2021年，我区居民人均可支配收入43834元，比上年增加3148元，增长7.7%。其中工资性收入28049元，比上年增长8.7%，占人均可支配收入64.0%；经营净收入3802元，比上年增长7.8%；财产净收入5006元，比上年增长4.9%；转移净收入6978元，比上年增长6.1%。</w:t>
      </w:r>
    </w:p>
    <w:p>
      <w:pPr>
        <w:keepNext w:val="0"/>
        <w:keepLines w:val="0"/>
        <w:pageBreakBefore w:val="0"/>
        <w:kinsoku/>
        <w:wordWrap/>
        <w:overflowPunct/>
        <w:topLinePunct w:val="0"/>
        <w:bidi w:val="0"/>
        <w:snapToGrid/>
        <w:spacing w:line="560" w:lineRule="exact"/>
        <w:jc w:val="center"/>
        <w:rPr>
          <w:rFonts w:hint="default" w:eastAsia="仿宋_GB2312" w:cs="Times New Roman"/>
          <w:color w:val="auto"/>
          <w:sz w:val="28"/>
          <w:szCs w:val="28"/>
          <w:highlight w:val="none"/>
          <w:lang w:val="en-US" w:eastAsia="zh-CN"/>
        </w:rPr>
      </w:pPr>
      <w:r>
        <w:rPr>
          <w:sz w:val="20"/>
          <w:szCs w:val="22"/>
        </w:rPr>
        <w:drawing>
          <wp:anchor distT="0" distB="0" distL="114300" distR="114300" simplePos="0" relativeHeight="251663360" behindDoc="0" locked="0" layoutInCell="1" allowOverlap="1">
            <wp:simplePos x="0" y="0"/>
            <wp:positionH relativeFrom="column">
              <wp:posOffset>541655</wp:posOffset>
            </wp:positionH>
            <wp:positionV relativeFrom="paragraph">
              <wp:posOffset>105410</wp:posOffset>
            </wp:positionV>
            <wp:extent cx="4622165" cy="2839085"/>
            <wp:effectExtent l="5080" t="4445" r="20955" b="139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eastAsia="仿宋_GB2312" w:cs="Times New Roman"/>
          <w:color w:val="auto"/>
          <w:sz w:val="28"/>
          <w:szCs w:val="28"/>
          <w:highlight w:val="none"/>
          <w:lang w:eastAsia="zh-CN"/>
        </w:rPr>
        <w:t>图</w:t>
      </w:r>
      <w:r>
        <w:rPr>
          <w:rFonts w:hint="eastAsia" w:eastAsia="仿宋_GB2312" w:cs="Times New Roman"/>
          <w:color w:val="auto"/>
          <w:sz w:val="28"/>
          <w:szCs w:val="28"/>
          <w:highlight w:val="none"/>
          <w:lang w:val="en-US" w:eastAsia="zh-CN"/>
        </w:rPr>
        <w:t>3  2017-2021年津南区居民人均可支配收入及增速</w:t>
      </w:r>
    </w:p>
    <w:p>
      <w:pPr>
        <w:keepNext w:val="0"/>
        <w:keepLines w:val="0"/>
        <w:pageBreakBefore w:val="0"/>
        <w:kinsoku/>
        <w:wordWrap/>
        <w:overflowPunct/>
        <w:topLinePunct w:val="0"/>
        <w:bidi w:val="0"/>
        <w:snapToGrid/>
        <w:spacing w:line="560" w:lineRule="exact"/>
        <w:jc w:val="both"/>
        <w:rPr>
          <w:rFonts w:hint="eastAsia" w:eastAsia="仿宋_GB2312" w:cs="Times New Roman"/>
          <w:color w:val="auto"/>
          <w:sz w:val="32"/>
          <w:szCs w:val="32"/>
          <w:highlight w:val="none"/>
          <w:lang w:eastAsia="zh-CN"/>
        </w:rPr>
      </w:pPr>
    </w:p>
    <w:p>
      <w:pPr>
        <w:keepNext w:val="0"/>
        <w:keepLines w:val="0"/>
        <w:pageBreakBefore w:val="0"/>
        <w:kinsoku/>
        <w:wordWrap/>
        <w:overflowPunct/>
        <w:topLinePunct w:val="0"/>
        <w:bidi w:val="0"/>
        <w:snapToGrid/>
        <w:spacing w:line="560" w:lineRule="exact"/>
        <w:ind w:firstLine="642" w:firstLineChars="200"/>
        <w:jc w:val="both"/>
        <w:rPr>
          <w:rFonts w:hint="default" w:ascii="Times New Roman" w:hAnsi="Times New Roman" w:eastAsia="仿宋_GB2312" w:cs="Times New Roman"/>
          <w:color w:val="FF0000"/>
          <w:kern w:val="2"/>
          <w:sz w:val="32"/>
          <w:szCs w:val="32"/>
          <w:highlight w:val="none"/>
          <w:lang w:eastAsia="zh-CN"/>
        </w:rPr>
      </w:pPr>
      <w:r>
        <w:rPr>
          <w:rFonts w:hint="default" w:ascii="Times New Roman" w:hAnsi="Times New Roman" w:eastAsia="仿宋_GB2312" w:cs="Times New Roman"/>
          <w:b/>
          <w:kern w:val="2"/>
          <w:sz w:val="32"/>
          <w:szCs w:val="32"/>
          <w:highlight w:val="none"/>
        </w:rPr>
        <w:t>居民</w:t>
      </w:r>
      <w:r>
        <w:rPr>
          <w:rFonts w:hint="eastAsia" w:ascii="Times New Roman" w:hAnsi="Times New Roman" w:eastAsia="仿宋_GB2312" w:cs="Times New Roman"/>
          <w:b/>
          <w:kern w:val="2"/>
          <w:sz w:val="32"/>
          <w:szCs w:val="32"/>
          <w:highlight w:val="none"/>
          <w:lang w:eastAsia="zh-CN"/>
        </w:rPr>
        <w:t>生活水平</w:t>
      </w:r>
      <w:r>
        <w:rPr>
          <w:rFonts w:hint="eastAsia" w:eastAsia="仿宋_GB2312" w:cs="Times New Roman"/>
          <w:b/>
          <w:kern w:val="2"/>
          <w:sz w:val="32"/>
          <w:szCs w:val="32"/>
          <w:highlight w:val="none"/>
          <w:lang w:eastAsia="zh-CN"/>
        </w:rPr>
        <w:t>持续提升</w:t>
      </w:r>
      <w:r>
        <w:rPr>
          <w:rFonts w:hint="eastAsia" w:ascii="Times New Roman" w:hAnsi="Times New Roman" w:eastAsia="仿宋_GB2312" w:cs="Times New Roman"/>
          <w:b/>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2021年，居民人均生活消费支出30578元，比上年增长14.4%。其中教育文化娱乐支出比上年增长37.2%，医疗保健支出比上年增长60.1%，交通通信支出比上年增长28.2%。</w:t>
      </w:r>
    </w:p>
    <w:p>
      <w:pPr>
        <w:keepNext w:val="0"/>
        <w:keepLines w:val="0"/>
        <w:pageBreakBefore w:val="0"/>
        <w:kinsoku/>
        <w:wordWrap/>
        <w:overflowPunct/>
        <w:topLinePunct w:val="0"/>
        <w:bidi w:val="0"/>
        <w:snapToGrid/>
        <w:spacing w:line="560" w:lineRule="exact"/>
        <w:ind w:firstLine="642" w:firstLineChars="200"/>
        <w:jc w:val="both"/>
        <w:rPr>
          <w:rFonts w:hint="default" w:ascii="Times New Roman" w:hAnsi="Times New Roman" w:eastAsia="黑体" w:cs="Times New Roman"/>
          <w:sz w:val="32"/>
          <w:szCs w:val="32"/>
          <w:highlight w:val="none"/>
        </w:rPr>
      </w:pPr>
      <w:r>
        <w:rPr>
          <w:rFonts w:hint="eastAsia" w:ascii="仿宋_GB2312" w:hAnsi="仿宋" w:eastAsia="仿宋_GB2312" w:cstheme="minorBidi"/>
          <w:b/>
          <w:color w:val="000000" w:themeColor="text1"/>
          <w:sz w:val="32"/>
          <w:szCs w:val="32"/>
          <w:highlight w:val="none"/>
          <w14:textFill>
            <w14:solidFill>
              <w14:schemeClr w14:val="tx1"/>
            </w14:solidFill>
          </w14:textFill>
        </w:rPr>
        <w:t>就业</w:t>
      </w:r>
      <w:r>
        <w:rPr>
          <w:rFonts w:hint="eastAsia" w:ascii="仿宋_GB2312" w:hAnsi="仿宋" w:eastAsia="仿宋_GB2312" w:cstheme="minorBidi"/>
          <w:b/>
          <w:color w:val="000000" w:themeColor="text1"/>
          <w:sz w:val="32"/>
          <w:szCs w:val="32"/>
          <w:highlight w:val="none"/>
          <w:lang w:eastAsia="zh-CN"/>
          <w14:textFill>
            <w14:solidFill>
              <w14:schemeClr w14:val="tx1"/>
            </w14:solidFill>
          </w14:textFill>
        </w:rPr>
        <w:t>和社会保障稳步推进</w:t>
      </w:r>
      <w:r>
        <w:rPr>
          <w:rFonts w:hint="eastAsia" w:ascii="仿宋_GB2312" w:hAnsi="仿宋" w:eastAsia="仿宋_GB2312" w:cstheme="minorBidi"/>
          <w:b/>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auto"/>
          <w:sz w:val="32"/>
          <w:szCs w:val="32"/>
          <w:highlight w:val="none"/>
        </w:rPr>
        <w:t>2021年，全区新增就业21285人，帮扶创业2815人，安置就业困难人员1543人</w:t>
      </w:r>
      <w:r>
        <w:rPr>
          <w:rFonts w:hint="eastAsia" w:eastAsia="仿宋_GB2312" w:cs="Times New Roman"/>
          <w:color w:val="auto"/>
          <w:sz w:val="32"/>
          <w:szCs w:val="32"/>
          <w:highlight w:val="none"/>
          <w:lang w:eastAsia="zh-CN"/>
        </w:rPr>
        <w:t>，帮助</w:t>
      </w:r>
      <w:r>
        <w:rPr>
          <w:rFonts w:hint="eastAsia" w:eastAsia="仿宋_GB2312" w:cs="Times New Roman"/>
          <w:color w:val="auto"/>
          <w:sz w:val="32"/>
          <w:szCs w:val="32"/>
          <w:highlight w:val="none"/>
          <w:lang w:val="en-US" w:eastAsia="zh-CN"/>
        </w:rPr>
        <w:t>9</w:t>
      </w:r>
      <w:r>
        <w:rPr>
          <w:rFonts w:hint="eastAsia" w:eastAsia="仿宋_GB2312" w:cs="Times New Roman"/>
          <w:color w:val="auto"/>
          <w:sz w:val="32"/>
          <w:szCs w:val="32"/>
          <w:highlight w:val="none"/>
          <w:lang w:eastAsia="zh-CN"/>
        </w:rPr>
        <w:t>2名退役军人实现就业。</w:t>
      </w:r>
      <w:r>
        <w:rPr>
          <w:rFonts w:hint="default" w:ascii="Times New Roman" w:hAnsi="Times New Roman" w:eastAsia="仿宋_GB2312" w:cs="Times New Roman"/>
          <w:color w:val="auto"/>
          <w:sz w:val="32"/>
          <w:szCs w:val="32"/>
          <w:highlight w:val="none"/>
        </w:rPr>
        <w:t>全区共举办110场招聘活动，参会企业5029家，提供就业岗位63736个。</w:t>
      </w:r>
      <w:r>
        <w:rPr>
          <w:rFonts w:hint="eastAsia" w:eastAsia="仿宋_GB2312" w:cs="Times New Roman"/>
          <w:color w:val="auto"/>
          <w:sz w:val="32"/>
          <w:szCs w:val="32"/>
          <w:highlight w:val="none"/>
          <w:lang w:eastAsia="zh-CN"/>
        </w:rPr>
        <w:t>做好社会救助工作，</w:t>
      </w:r>
      <w:r>
        <w:rPr>
          <w:rFonts w:hint="eastAsia" w:eastAsia="仿宋_GB2312" w:cs="Times New Roman"/>
          <w:color w:val="auto"/>
          <w:sz w:val="32"/>
          <w:szCs w:val="32"/>
          <w:highlight w:val="none"/>
          <w:lang w:val="en-US" w:eastAsia="zh-CN"/>
        </w:rPr>
        <w:t>2021年</w:t>
      </w:r>
      <w:r>
        <w:rPr>
          <w:rFonts w:hint="eastAsia" w:eastAsia="仿宋_GB2312" w:cs="Times New Roman"/>
          <w:color w:val="auto"/>
          <w:sz w:val="32"/>
          <w:szCs w:val="32"/>
          <w:highlight w:val="none"/>
          <w:lang w:eastAsia="zh-CN"/>
        </w:rPr>
        <w:t>发放低保、特困、残疾人等专项救助资金</w:t>
      </w:r>
      <w:r>
        <w:rPr>
          <w:rFonts w:hint="eastAsia" w:eastAsia="仿宋_GB2312" w:cs="Times New Roman"/>
          <w:color w:val="auto"/>
          <w:sz w:val="32"/>
          <w:szCs w:val="32"/>
          <w:highlight w:val="none"/>
          <w:lang w:val="en-US" w:eastAsia="zh-CN"/>
        </w:rPr>
        <w:t>1.13</w:t>
      </w:r>
      <w:r>
        <w:rPr>
          <w:rFonts w:hint="eastAsia" w:eastAsia="仿宋_GB2312" w:cs="Times New Roman"/>
          <w:color w:val="auto"/>
          <w:sz w:val="32"/>
          <w:szCs w:val="32"/>
          <w:highlight w:val="none"/>
          <w:lang w:eastAsia="zh-CN"/>
        </w:rPr>
        <w:t>亿元，</w:t>
      </w:r>
      <w:r>
        <w:rPr>
          <w:rFonts w:ascii="Times New Roman" w:hAnsi="Times New Roman" w:eastAsia="仿宋_GB2312" w:cs="Times New Roman"/>
          <w:color w:val="auto"/>
          <w:sz w:val="32"/>
          <w:szCs w:val="32"/>
        </w:rPr>
        <w:t>成功创建全国无障碍环境示范区。</w:t>
      </w:r>
    </w:p>
    <w:p>
      <w:pPr>
        <w:pStyle w:val="9"/>
        <w:keepNext w:val="0"/>
        <w:keepLines w:val="0"/>
        <w:pageBreakBefore w:val="0"/>
        <w:kinsoku/>
        <w:wordWrap/>
        <w:overflowPunct/>
        <w:topLinePunct w:val="0"/>
        <w:bidi w:val="0"/>
        <w:snapToGrid/>
        <w:spacing w:before="0" w:beforeAutospacing="0" w:after="0" w:afterAutospacing="0"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、城</w:t>
      </w:r>
      <w:r>
        <w:rPr>
          <w:rFonts w:hint="default" w:ascii="Times New Roman" w:hAnsi="Times New Roman" w:eastAsia="黑体" w:cs="Times New Roman"/>
          <w:sz w:val="32"/>
          <w:szCs w:val="32"/>
          <w:highlight w:val="none"/>
          <w:lang w:eastAsia="zh-CN"/>
        </w:rPr>
        <w:t>乡</w:t>
      </w:r>
      <w:r>
        <w:rPr>
          <w:rFonts w:hint="default" w:ascii="Times New Roman" w:hAnsi="Times New Roman" w:eastAsia="黑体" w:cs="Times New Roman"/>
          <w:sz w:val="32"/>
          <w:szCs w:val="32"/>
          <w:highlight w:val="none"/>
        </w:rPr>
        <w:t>建设和管理</w:t>
      </w:r>
      <w:r>
        <w:rPr>
          <w:rFonts w:hint="default" w:ascii="Times New Roman" w:hAnsi="Times New Roman" w:eastAsia="黑体" w:cs="Times New Roman"/>
          <w:sz w:val="32"/>
          <w:szCs w:val="32"/>
          <w:highlight w:val="none"/>
        </w:rPr>
        <w:tab/>
      </w:r>
    </w:p>
    <w:p>
      <w:pPr>
        <w:keepNext w:val="0"/>
        <w:keepLines w:val="0"/>
        <w:pageBreakBefore w:val="0"/>
        <w:kinsoku/>
        <w:wordWrap/>
        <w:overflowPunct/>
        <w:topLinePunct w:val="0"/>
        <w:bidi w:val="0"/>
        <w:snapToGrid/>
        <w:spacing w:line="560" w:lineRule="exact"/>
        <w:ind w:firstLine="629" w:firstLineChars="196"/>
        <w:jc w:val="both"/>
        <w:textAlignment w:val="baseline"/>
        <w:rPr>
          <w:rFonts w:hint="eastAsia" w:eastAsia="仿宋_GB2312" w:cs="Times New Roman"/>
          <w:b w:val="0"/>
          <w:bCs/>
          <w:sz w:val="32"/>
          <w:szCs w:val="32"/>
          <w:highlight w:val="none"/>
          <w:lang w:eastAsia="zh-CN"/>
        </w:rPr>
      </w:pPr>
      <w:r>
        <w:rPr>
          <w:rFonts w:hint="default" w:ascii="Times New Roman" w:hAnsi="Times New Roman" w:eastAsia="仿宋_GB2312" w:cs="Times New Roman"/>
          <w:b/>
          <w:sz w:val="32"/>
          <w:szCs w:val="32"/>
          <w:highlight w:val="none"/>
        </w:rPr>
        <w:t>乡村振兴战略</w:t>
      </w:r>
      <w:r>
        <w:rPr>
          <w:rFonts w:hint="eastAsia" w:eastAsia="仿宋_GB2312" w:cs="Times New Roman"/>
          <w:b/>
          <w:sz w:val="32"/>
          <w:szCs w:val="32"/>
          <w:highlight w:val="none"/>
          <w:lang w:eastAsia="zh-CN"/>
        </w:rPr>
        <w:t>深入</w:t>
      </w:r>
      <w:r>
        <w:rPr>
          <w:rFonts w:hint="default" w:ascii="Times New Roman" w:hAnsi="Times New Roman" w:eastAsia="仿宋_GB2312" w:cs="Times New Roman"/>
          <w:b/>
          <w:sz w:val="32"/>
          <w:szCs w:val="32"/>
          <w:highlight w:val="none"/>
        </w:rPr>
        <w:t>实施。</w:t>
      </w:r>
      <w:r>
        <w:rPr>
          <w:rFonts w:hint="default" w:ascii="Times New Roman" w:hAnsi="Times New Roman" w:eastAsia="仿宋_GB2312" w:cs="Times New Roman"/>
          <w:b w:val="0"/>
          <w:bCs/>
          <w:color w:val="auto"/>
          <w:sz w:val="32"/>
          <w:szCs w:val="32"/>
          <w:highlight w:val="none"/>
        </w:rPr>
        <w:t>农村人居环境持续改善，农村“厕所革命”扩面提质增效，整治提升户厕1.1万余座、公厕220余座，</w:t>
      </w:r>
      <w:r>
        <w:rPr>
          <w:rFonts w:hint="eastAsia" w:eastAsia="仿宋_GB2312" w:cs="Times New Roman"/>
          <w:b w:val="0"/>
          <w:bCs/>
          <w:color w:val="auto"/>
          <w:sz w:val="32"/>
          <w:szCs w:val="32"/>
          <w:highlight w:val="none"/>
          <w:lang w:eastAsia="zh-CN"/>
        </w:rPr>
        <w:t>打造</w:t>
      </w:r>
      <w:r>
        <w:rPr>
          <w:rFonts w:ascii="Times New Roman" w:hAnsi="Times New Roman" w:eastAsia="仿宋_GB2312" w:cs="Times New Roman"/>
          <w:color w:val="auto"/>
          <w:sz w:val="32"/>
          <w:szCs w:val="32"/>
          <w:highlight w:val="none"/>
        </w:rPr>
        <w:t>农村人居环境示范村4个</w:t>
      </w:r>
      <w:r>
        <w:rPr>
          <w:rFonts w:hint="default" w:ascii="Times New Roman" w:hAnsi="Times New Roman" w:eastAsia="仿宋_GB2312" w:cs="Times New Roman"/>
          <w:b w:val="0"/>
          <w:bCs/>
          <w:color w:val="auto"/>
          <w:sz w:val="32"/>
          <w:szCs w:val="32"/>
          <w:highlight w:val="none"/>
        </w:rPr>
        <w:t>。建成绿屏·咸水沽湾千亩稻田等多个示范区，小站稻种植面积达到5万亩</w:t>
      </w:r>
      <w:r>
        <w:rPr>
          <w:rFonts w:hint="eastAsia" w:eastAsia="仿宋_GB2312" w:cs="Times New Roman"/>
          <w:b w:val="0"/>
          <w:bCs/>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29" w:firstLineChars="196"/>
        <w:jc w:val="both"/>
        <w:textAlignment w:val="baseline"/>
        <w:rPr>
          <w:rFonts w:hint="eastAsia" w:ascii="Times New Roman" w:hAnsi="Times New Roman" w:eastAsia="仿宋_GB2312" w:cs="Times New Roman"/>
          <w:b w:val="0"/>
          <w:bCs/>
          <w:color w:val="FF0000"/>
          <w:sz w:val="32"/>
          <w:szCs w:val="32"/>
          <w:highlight w:val="none"/>
          <w:lang w:val="en-US" w:eastAsia="zh-CN"/>
        </w:rPr>
      </w:pPr>
      <w:r>
        <w:rPr>
          <w:rFonts w:hint="default" w:ascii="Times New Roman" w:hAnsi="Times New Roman" w:eastAsia="仿宋_GB2312" w:cs="Times New Roman"/>
          <w:b/>
          <w:sz w:val="32"/>
          <w:szCs w:val="32"/>
          <w:highlight w:val="none"/>
        </w:rPr>
        <w:t>民生项目</w:t>
      </w:r>
      <w:r>
        <w:rPr>
          <w:rFonts w:hint="eastAsia" w:eastAsia="仿宋_GB2312" w:cs="Times New Roman"/>
          <w:b/>
          <w:sz w:val="32"/>
          <w:szCs w:val="32"/>
          <w:highlight w:val="none"/>
          <w:lang w:eastAsia="zh-CN"/>
        </w:rPr>
        <w:t>高质量</w:t>
      </w:r>
      <w:r>
        <w:rPr>
          <w:rFonts w:hint="default" w:ascii="Times New Roman" w:hAnsi="Times New Roman" w:eastAsia="仿宋_GB2312" w:cs="Times New Roman"/>
          <w:b/>
          <w:sz w:val="32"/>
          <w:szCs w:val="32"/>
          <w:highlight w:val="none"/>
        </w:rPr>
        <w:t>推进</w:t>
      </w:r>
      <w:r>
        <w:rPr>
          <w:rFonts w:hint="eastAsia" w:ascii="Times New Roman" w:hAnsi="Times New Roman" w:eastAsia="仿宋_GB2312" w:cs="Times New Roman"/>
          <w:b/>
          <w:sz w:val="32"/>
          <w:szCs w:val="32"/>
          <w:highlight w:val="none"/>
          <w:lang w:eastAsia="zh-CN"/>
        </w:rPr>
        <w:t>。</w:t>
      </w:r>
      <w:r>
        <w:rPr>
          <w:rFonts w:hint="eastAsia" w:ascii="Times New Roman" w:hAnsi="Times New Roman" w:eastAsia="仿宋_GB2312" w:cs="Times New Roman"/>
          <w:b w:val="0"/>
          <w:bCs/>
          <w:color w:val="auto"/>
          <w:sz w:val="32"/>
          <w:szCs w:val="32"/>
          <w:highlight w:val="none"/>
          <w:lang w:val="en-US" w:eastAsia="zh-CN"/>
        </w:rPr>
        <w:t>2021年</w:t>
      </w:r>
      <w:r>
        <w:rPr>
          <w:rFonts w:hint="eastAsia" w:eastAsia="仿宋_GB2312" w:cs="Times New Roman"/>
          <w:b w:val="0"/>
          <w:bCs/>
          <w:color w:val="auto"/>
          <w:sz w:val="32"/>
          <w:szCs w:val="32"/>
          <w:highlight w:val="none"/>
          <w:lang w:val="en-US" w:eastAsia="zh-CN"/>
        </w:rPr>
        <w:t>持续推动十项民心工程，</w:t>
      </w:r>
      <w:r>
        <w:rPr>
          <w:rFonts w:ascii="Times New Roman" w:hAnsi="Times New Roman" w:eastAsia="仿宋_GB2312" w:cs="Times New Roman"/>
          <w:color w:val="auto"/>
          <w:sz w:val="32"/>
          <w:szCs w:val="32"/>
          <w:highlight w:val="none"/>
        </w:rPr>
        <w:t>改造农村困难群众危房</w:t>
      </w:r>
      <w:r>
        <w:rPr>
          <w:rFonts w:hint="eastAsia" w:eastAsia="仿宋_GB2312" w:cs="Times New Roman"/>
          <w:color w:val="auto"/>
          <w:sz w:val="32"/>
          <w:szCs w:val="32"/>
          <w:highlight w:val="none"/>
          <w:lang w:val="en-US" w:eastAsia="zh-CN"/>
        </w:rPr>
        <w:t>54</w:t>
      </w:r>
      <w:r>
        <w:rPr>
          <w:rFonts w:ascii="Times New Roman" w:hAnsi="Times New Roman" w:eastAsia="仿宋_GB2312" w:cs="Times New Roman"/>
          <w:color w:val="auto"/>
          <w:sz w:val="32"/>
          <w:szCs w:val="32"/>
          <w:highlight w:val="none"/>
        </w:rPr>
        <w:t>户</w:t>
      </w:r>
      <w:r>
        <w:rPr>
          <w:rFonts w:hint="eastAsia" w:eastAsia="仿宋_GB2312" w:cs="Times New Roman"/>
          <w:color w:val="auto"/>
          <w:sz w:val="32"/>
          <w:szCs w:val="32"/>
          <w:highlight w:val="none"/>
          <w:lang w:eastAsia="zh-CN"/>
        </w:rPr>
        <w:t>，</w:t>
      </w:r>
      <w:r>
        <w:rPr>
          <w:rFonts w:ascii="Times New Roman" w:hAnsi="Times New Roman" w:eastAsia="仿宋_GB2312" w:cs="Times New Roman"/>
          <w:color w:val="auto"/>
          <w:sz w:val="32"/>
          <w:szCs w:val="32"/>
        </w:rPr>
        <w:t>提升改造旧楼区</w:t>
      </w:r>
      <w:r>
        <w:rPr>
          <w:rFonts w:hint="eastAsia" w:eastAsia="仿宋_GB2312" w:cs="Times New Roman"/>
          <w:color w:val="auto"/>
          <w:sz w:val="32"/>
          <w:szCs w:val="32"/>
          <w:lang w:val="en-US" w:eastAsia="zh-CN"/>
        </w:rPr>
        <w:t>60.6万平方米</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市级旧楼区</w:t>
      </w:r>
      <w:r>
        <w:rPr>
          <w:rFonts w:hint="eastAsia" w:eastAsia="仿宋_GB2312" w:cs="Times New Roman"/>
          <w:color w:val="auto"/>
          <w:sz w:val="32"/>
          <w:szCs w:val="32"/>
          <w:highlight w:val="none"/>
          <w:lang w:eastAsia="zh-CN"/>
        </w:rPr>
        <w:t>考核优良率达到</w:t>
      </w:r>
      <w:r>
        <w:rPr>
          <w:rFonts w:hint="eastAsia" w:eastAsia="仿宋_GB2312" w:cs="Times New Roman"/>
          <w:color w:val="auto"/>
          <w:sz w:val="32"/>
          <w:szCs w:val="32"/>
          <w:highlight w:val="none"/>
          <w:u w:val="none"/>
          <w:lang w:eastAsia="zh-CN"/>
        </w:rPr>
        <w:t>100%</w:t>
      </w:r>
      <w:r>
        <w:rPr>
          <w:rFonts w:hint="eastAsia" w:eastAsia="仿宋_GB2312" w:cs="Times New Roman"/>
          <w:color w:val="auto"/>
          <w:sz w:val="32"/>
          <w:szCs w:val="32"/>
          <w:highlight w:val="none"/>
          <w:lang w:eastAsia="zh-CN"/>
        </w:rPr>
        <w:t>，</w:t>
      </w:r>
      <w:r>
        <w:rPr>
          <w:rFonts w:ascii="Times New Roman" w:hAnsi="Times New Roman" w:eastAsia="仿宋_GB2312" w:cs="Times New Roman"/>
          <w:color w:val="auto"/>
          <w:sz w:val="32"/>
          <w:szCs w:val="32"/>
        </w:rPr>
        <w:t>安装居民小区公共充电桩</w:t>
      </w:r>
      <w:r>
        <w:rPr>
          <w:rFonts w:hint="eastAsia" w:eastAsia="仿宋_GB2312" w:cs="Times New Roman"/>
          <w:color w:val="auto"/>
          <w:sz w:val="32"/>
          <w:szCs w:val="32"/>
          <w:lang w:val="en-US" w:eastAsia="zh-CN"/>
        </w:rPr>
        <w:t>656</w:t>
      </w:r>
      <w:r>
        <w:rPr>
          <w:rFonts w:ascii="Times New Roman" w:hAnsi="Times New Roman" w:eastAsia="仿宋_GB2312" w:cs="Times New Roman"/>
          <w:color w:val="auto"/>
          <w:sz w:val="32"/>
          <w:szCs w:val="32"/>
        </w:rPr>
        <w:t>台。</w:t>
      </w:r>
    </w:p>
    <w:p>
      <w:pPr>
        <w:keepNext w:val="0"/>
        <w:keepLines w:val="0"/>
        <w:pageBreakBefore w:val="0"/>
        <w:kinsoku/>
        <w:wordWrap/>
        <w:overflowPunct/>
        <w:topLinePunct w:val="0"/>
        <w:bidi w:val="0"/>
        <w:snapToGrid/>
        <w:spacing w:line="560" w:lineRule="exact"/>
        <w:ind w:firstLine="629" w:firstLineChars="196"/>
        <w:jc w:val="both"/>
        <w:textAlignment w:val="baseline"/>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城市管理水平持续提高。</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新建城市公厕</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座</w:t>
      </w:r>
      <w:r>
        <w:rPr>
          <w:rFonts w:hint="default" w:ascii="Times New Roman" w:hAnsi="Times New Roman" w:eastAsia="仿宋_GB2312" w:cs="Times New Roman"/>
          <w:color w:val="auto"/>
          <w:sz w:val="32"/>
          <w:szCs w:val="32"/>
          <w:highlight w:val="none"/>
          <w:lang w:eastAsia="zh-CN"/>
        </w:rPr>
        <w:t>，拆除</w:t>
      </w:r>
      <w:r>
        <w:rPr>
          <w:rFonts w:hint="eastAsia" w:ascii="Times New Roman" w:hAnsi="Times New Roman" w:eastAsia="仿宋_GB2312" w:cs="Times New Roman"/>
          <w:color w:val="auto"/>
          <w:sz w:val="32"/>
          <w:szCs w:val="32"/>
          <w:highlight w:val="none"/>
          <w:lang w:val="en-US" w:eastAsia="zh-CN"/>
        </w:rPr>
        <w:t>违建219</w:t>
      </w:r>
      <w:r>
        <w:rPr>
          <w:rFonts w:hint="default" w:ascii="Times New Roman" w:hAnsi="Times New Roman" w:eastAsia="仿宋_GB2312" w:cs="Times New Roman"/>
          <w:color w:val="auto"/>
          <w:sz w:val="32"/>
          <w:szCs w:val="32"/>
          <w:highlight w:val="none"/>
          <w:lang w:eastAsia="zh-CN"/>
        </w:rPr>
        <w:t>处。</w:t>
      </w:r>
      <w:r>
        <w:rPr>
          <w:rFonts w:hint="eastAsia" w:eastAsia="仿宋_GB2312" w:cs="Times New Roman"/>
          <w:color w:val="auto"/>
          <w:sz w:val="32"/>
          <w:szCs w:val="32"/>
          <w:highlight w:val="none"/>
          <w:lang w:eastAsia="zh-CN"/>
        </w:rPr>
        <w:t>网格化管理持续深化，全区</w:t>
      </w:r>
      <w:r>
        <w:rPr>
          <w:rFonts w:ascii="Times New Roman" w:hAnsi="Times New Roman" w:eastAsia="仿宋_GB2312" w:cs="Times New Roman"/>
          <w:color w:val="auto"/>
          <w:sz w:val="32"/>
          <w:szCs w:val="32"/>
          <w:highlight w:val="none"/>
        </w:rPr>
        <w:t>网格</w:t>
      </w:r>
      <w:r>
        <w:rPr>
          <w:rFonts w:hint="eastAsia" w:eastAsia="仿宋_GB2312" w:cs="Times New Roman"/>
          <w:color w:val="auto"/>
          <w:sz w:val="32"/>
          <w:szCs w:val="32"/>
          <w:highlight w:val="none"/>
          <w:lang w:eastAsia="zh-CN"/>
        </w:rPr>
        <w:t>达</w:t>
      </w:r>
      <w:r>
        <w:rPr>
          <w:rFonts w:ascii="Times New Roman" w:hAnsi="Times New Roman" w:eastAsia="仿宋_GB2312" w:cs="Times New Roman"/>
          <w:color w:val="auto"/>
          <w:sz w:val="32"/>
          <w:szCs w:val="32"/>
          <w:highlight w:val="none"/>
        </w:rPr>
        <w:t>1561个。</w:t>
      </w:r>
      <w:r>
        <w:rPr>
          <w:rFonts w:hint="eastAsia" w:ascii="Times New Roman" w:hAnsi="Times New Roman" w:eastAsia="仿宋_GB2312" w:cs="Times New Roman"/>
          <w:color w:val="auto"/>
          <w:sz w:val="32"/>
          <w:szCs w:val="32"/>
          <w:highlight w:val="none"/>
        </w:rPr>
        <w:t>咸水沽生活垃圾转运站投入使用，</w:t>
      </w:r>
      <w:r>
        <w:rPr>
          <w:rFonts w:ascii="Times New Roman" w:hAnsi="Times New Roman" w:eastAsia="仿宋_GB2312" w:cs="Times New Roman"/>
          <w:color w:val="auto"/>
          <w:sz w:val="32"/>
          <w:szCs w:val="32"/>
          <w:highlight w:val="none"/>
        </w:rPr>
        <w:t>居民社区垃圾分类设施覆盖率达到100%</w:t>
      </w:r>
      <w:r>
        <w:rPr>
          <w:rFonts w:hint="eastAsia" w:eastAsia="仿宋_GB2312" w:cs="Times New Roman"/>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29" w:firstLineChars="196"/>
        <w:jc w:val="both"/>
        <w:textAlignment w:val="baseline"/>
        <w:rPr>
          <w:rFonts w:hint="eastAsia"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b/>
          <w:sz w:val="32"/>
          <w:szCs w:val="32"/>
          <w:highlight w:val="none"/>
        </w:rPr>
        <w:t>城</w:t>
      </w:r>
      <w:r>
        <w:rPr>
          <w:rFonts w:hint="eastAsia" w:eastAsia="仿宋_GB2312" w:cs="Times New Roman"/>
          <w:b/>
          <w:sz w:val="32"/>
          <w:szCs w:val="32"/>
          <w:highlight w:val="none"/>
          <w:lang w:eastAsia="zh-CN"/>
        </w:rPr>
        <w:t>镇</w:t>
      </w:r>
      <w:r>
        <w:rPr>
          <w:rFonts w:hint="default" w:ascii="Times New Roman" w:hAnsi="Times New Roman" w:eastAsia="仿宋_GB2312" w:cs="Times New Roman"/>
          <w:b/>
          <w:sz w:val="32"/>
          <w:szCs w:val="32"/>
          <w:highlight w:val="none"/>
        </w:rPr>
        <w:t>载体功能</w:t>
      </w:r>
      <w:r>
        <w:rPr>
          <w:rFonts w:hint="default" w:ascii="Times New Roman" w:hAnsi="Times New Roman" w:eastAsia="仿宋_GB2312" w:cs="Times New Roman"/>
          <w:b/>
          <w:sz w:val="32"/>
          <w:szCs w:val="32"/>
          <w:highlight w:val="none"/>
          <w:lang w:eastAsia="zh-CN"/>
        </w:rPr>
        <w:t>持续</w:t>
      </w:r>
      <w:r>
        <w:rPr>
          <w:rFonts w:hint="eastAsia" w:eastAsia="仿宋_GB2312" w:cs="Times New Roman"/>
          <w:b/>
          <w:sz w:val="32"/>
          <w:szCs w:val="32"/>
          <w:highlight w:val="none"/>
          <w:lang w:eastAsia="zh-CN"/>
        </w:rPr>
        <w:t>优化</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color w:val="auto"/>
          <w:sz w:val="32"/>
          <w:szCs w:val="32"/>
          <w:highlight w:val="none"/>
          <w:lang w:eastAsia="zh-CN"/>
        </w:rPr>
        <w:t>公共交通</w:t>
      </w:r>
      <w:r>
        <w:rPr>
          <w:rFonts w:hint="eastAsia" w:eastAsia="仿宋_GB2312" w:cs="Times New Roman"/>
          <w:color w:val="auto"/>
          <w:sz w:val="32"/>
          <w:szCs w:val="32"/>
          <w:highlight w:val="none"/>
          <w:lang w:eastAsia="zh-CN"/>
        </w:rPr>
        <w:t>进一步完善</w:t>
      </w:r>
      <w:r>
        <w:rPr>
          <w:rFonts w:hint="default" w:ascii="Times New Roman" w:hAnsi="Times New Roman" w:eastAsia="仿宋_GB2312" w:cs="Times New Roman"/>
          <w:color w:val="auto"/>
          <w:sz w:val="32"/>
          <w:szCs w:val="32"/>
          <w:highlight w:val="none"/>
          <w:lang w:eastAsia="zh-CN"/>
        </w:rPr>
        <w:t>优化，地铁6号线二期试运行，</w:t>
      </w:r>
      <w:r>
        <w:rPr>
          <w:rFonts w:hint="default" w:ascii="Times New Roman" w:hAnsi="Times New Roman" w:eastAsia="仿宋_GB2312" w:cs="Times New Roman"/>
          <w:color w:val="auto"/>
          <w:sz w:val="32"/>
          <w:szCs w:val="32"/>
          <w:highlight w:val="none"/>
        </w:rPr>
        <w:t>开通调整公交线路</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1条，新建改造丰泽道、幸福路、坤元路桥等道路桥梁，建成智能行人过街信号灯</w:t>
      </w:r>
      <w:r>
        <w:rPr>
          <w:rFonts w:hint="eastAsia" w:eastAsia="仿宋_GB2312" w:cs="Times New Roman"/>
          <w:color w:val="auto"/>
          <w:sz w:val="32"/>
          <w:szCs w:val="32"/>
          <w:highlight w:val="none"/>
          <w:lang w:val="en-US" w:eastAsia="zh-CN"/>
        </w:rPr>
        <w:t>169处</w:t>
      </w:r>
      <w:r>
        <w:rPr>
          <w:rFonts w:hint="default" w:ascii="Times New Roman" w:hAnsi="Times New Roman" w:eastAsia="仿宋_GB2312" w:cs="Times New Roman"/>
          <w:color w:val="auto"/>
          <w:sz w:val="32"/>
          <w:szCs w:val="32"/>
          <w:highlight w:val="none"/>
        </w:rPr>
        <w:t>，完善关键路段交通标志标牌</w:t>
      </w:r>
      <w:r>
        <w:rPr>
          <w:rFonts w:hint="eastAsia" w:eastAsia="仿宋_GB2312" w:cs="Times New Roman"/>
          <w:color w:val="auto"/>
          <w:sz w:val="32"/>
          <w:szCs w:val="32"/>
          <w:highlight w:val="none"/>
          <w:lang w:val="en-US" w:eastAsia="zh-CN"/>
        </w:rPr>
        <w:t>47个</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停车泊位达到3万余个。</w:t>
      </w:r>
    </w:p>
    <w:p>
      <w:pPr>
        <w:keepNext w:val="0"/>
        <w:keepLines w:val="0"/>
        <w:pageBreakBefore w:val="0"/>
        <w:kinsoku/>
        <w:wordWrap/>
        <w:overflowPunct/>
        <w:topLinePunct w:val="0"/>
        <w:bidi w:val="0"/>
        <w:snapToGrid/>
        <w:spacing w:line="56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overflowPunct/>
        <w:topLinePunct w:val="0"/>
        <w:bidi w:val="0"/>
        <w:snapToGrid/>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年各项统计数据为快报数。</w:t>
      </w:r>
    </w:p>
    <w:p>
      <w:pPr>
        <w:keepNext w:val="0"/>
        <w:keepLines w:val="0"/>
        <w:pageBreakBefore w:val="0"/>
        <w:widowControl/>
        <w:numPr>
          <w:ilvl w:val="0"/>
          <w:numId w:val="0"/>
        </w:numPr>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全区生产总值、各产业增加值增长速度按可比价格计算。</w:t>
      </w:r>
    </w:p>
    <w:p>
      <w:pPr>
        <w:keepNext w:val="0"/>
        <w:keepLines w:val="0"/>
        <w:pageBreakBefore w:val="0"/>
        <w:widowControl/>
        <w:numPr>
          <w:ilvl w:val="0"/>
          <w:numId w:val="0"/>
        </w:numPr>
        <w:shd w:val="clear" w:color="auto" w:fill="FFFFFF"/>
        <w:kinsoku/>
        <w:wordWrap/>
        <w:overflowPunct/>
        <w:topLinePunct w:val="0"/>
        <w:bidi w:val="0"/>
        <w:snapToGrid/>
        <w:spacing w:line="560" w:lineRule="exact"/>
        <w:jc w:val="both"/>
        <w:rPr>
          <w:rFonts w:hint="default" w:ascii="Times New Roman" w:hAnsi="Times New Roman" w:eastAsia="仿宋_GB2312" w:cs="Times New Roman"/>
          <w:sz w:val="32"/>
          <w:szCs w:val="32"/>
        </w:rPr>
      </w:pPr>
    </w:p>
    <w:p>
      <w:pPr>
        <w:keepNext w:val="0"/>
        <w:keepLines w:val="0"/>
        <w:pageBreakBefore w:val="0"/>
        <w:widowControl/>
        <w:numPr>
          <w:ilvl w:val="0"/>
          <w:numId w:val="0"/>
        </w:numPr>
        <w:shd w:val="clear" w:color="auto" w:fill="FFFFFF"/>
        <w:kinsoku/>
        <w:wordWrap/>
        <w:overflowPunct/>
        <w:topLinePunct w:val="0"/>
        <w:bidi w:val="0"/>
        <w:snapToGrid/>
        <w:spacing w:line="560" w:lineRule="exact"/>
        <w:jc w:val="both"/>
        <w:rPr>
          <w:rFonts w:hint="default" w:ascii="Times New Roman" w:hAnsi="Times New Roman" w:eastAsia="仿宋_GB2312" w:cs="Times New Roman"/>
          <w:sz w:val="32"/>
          <w:szCs w:val="32"/>
        </w:rPr>
      </w:pPr>
    </w:p>
    <w:p>
      <w:pPr>
        <w:keepNext w:val="0"/>
        <w:keepLines w:val="0"/>
        <w:pageBreakBefore w:val="0"/>
        <w:widowControl/>
        <w:numPr>
          <w:ilvl w:val="0"/>
          <w:numId w:val="0"/>
        </w:numPr>
        <w:shd w:val="clear" w:color="auto" w:fill="FFFFFF"/>
        <w:kinsoku/>
        <w:wordWrap/>
        <w:overflowPunct/>
        <w:topLinePunct w:val="0"/>
        <w:bidi w:val="0"/>
        <w:snapToGrid/>
        <w:spacing w:line="560" w:lineRule="exact"/>
        <w:jc w:val="both"/>
        <w:rPr>
          <w:rFonts w:hint="default" w:ascii="Times New Roman" w:hAnsi="Times New Roman" w:eastAsia="仿宋_GB2312" w:cs="Times New Roman"/>
          <w:sz w:val="32"/>
          <w:szCs w:val="32"/>
        </w:rPr>
      </w:pPr>
    </w:p>
    <w:p>
      <w:pPr>
        <w:keepNext w:val="0"/>
        <w:keepLines w:val="0"/>
        <w:pageBreakBefore w:val="0"/>
        <w:widowControl/>
        <w:numPr>
          <w:ilvl w:val="0"/>
          <w:numId w:val="0"/>
        </w:numPr>
        <w:shd w:val="clear" w:color="auto" w:fill="FFFFFF"/>
        <w:kinsoku/>
        <w:wordWrap/>
        <w:overflowPunct/>
        <w:topLinePunct w:val="0"/>
        <w:bidi w:val="0"/>
        <w:snapToGrid/>
        <w:spacing w:line="560" w:lineRule="exact"/>
        <w:jc w:val="both"/>
        <w:rPr>
          <w:rFonts w:hint="default" w:ascii="Times New Roman" w:hAnsi="Times New Roman" w:eastAsia="仿宋_GB2312" w:cs="Times New Roman"/>
          <w:sz w:val="32"/>
          <w:szCs w:val="32"/>
        </w:rPr>
      </w:pPr>
    </w:p>
    <w:p>
      <w:pPr>
        <w:keepNext w:val="0"/>
        <w:keepLines w:val="0"/>
        <w:pageBreakBefore w:val="0"/>
        <w:widowControl/>
        <w:numPr>
          <w:ilvl w:val="0"/>
          <w:numId w:val="0"/>
        </w:numPr>
        <w:shd w:val="clear" w:color="auto" w:fill="FFFFFF"/>
        <w:kinsoku/>
        <w:wordWrap/>
        <w:overflowPunct/>
        <w:topLinePunct w:val="0"/>
        <w:bidi w:val="0"/>
        <w:snapToGrid/>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资料来源：</w:t>
      </w:r>
    </w:p>
    <w:p>
      <w:pPr>
        <w:keepNext w:val="0"/>
        <w:keepLines w:val="0"/>
        <w:pageBreakBefore w:val="0"/>
        <w:widowControl/>
        <w:numPr>
          <w:ilvl w:val="0"/>
          <w:numId w:val="0"/>
        </w:numPr>
        <w:shd w:val="clear" w:color="auto" w:fill="FFFFFF"/>
        <w:kinsoku/>
        <w:wordWrap/>
        <w:overflowPunct/>
        <w:topLinePunct w:val="0"/>
        <w:bidi w:val="0"/>
        <w:snapToGrid/>
        <w:spacing w:line="560" w:lineRule="exact"/>
        <w:ind w:firstLine="640" w:firstLineChars="200"/>
        <w:jc w:val="both"/>
        <w:rPr>
          <w:rFonts w:hint="default" w:ascii="Times New Roman" w:hAnsi="Times New Roman" w:eastAsia="仿宋_GB2312" w:cs="Times New Roman"/>
          <w:color w:val="FF0000"/>
          <w:sz w:val="32"/>
          <w:szCs w:val="32"/>
          <w:highlight w:val="yellow"/>
          <w:lang w:eastAsia="zh-CN"/>
        </w:rPr>
      </w:pPr>
      <w:r>
        <w:rPr>
          <w:rFonts w:hint="default" w:ascii="Times New Roman" w:hAnsi="Times New Roman" w:eastAsia="仿宋_GB2312" w:cs="Times New Roman"/>
          <w:color w:val="auto"/>
          <w:sz w:val="32"/>
          <w:szCs w:val="32"/>
        </w:rPr>
        <w:t>本公报中财政数据来自</w:t>
      </w:r>
      <w:r>
        <w:rPr>
          <w:rFonts w:hint="default" w:ascii="Times New Roman" w:hAnsi="Times New Roman" w:eastAsia="仿宋_GB2312" w:cs="Times New Roman"/>
          <w:color w:val="auto"/>
          <w:sz w:val="32"/>
          <w:szCs w:val="32"/>
          <w:lang w:eastAsia="zh-CN"/>
        </w:rPr>
        <w:t>津南区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民营经济</w:t>
      </w:r>
      <w:r>
        <w:rPr>
          <w:rFonts w:hint="eastAsia" w:eastAsia="仿宋_GB2312" w:cs="Times New Roman"/>
          <w:color w:val="auto"/>
          <w:sz w:val="32"/>
          <w:szCs w:val="32"/>
          <w:lang w:eastAsia="zh-CN"/>
        </w:rPr>
        <w:t>数据、专利数据来自津南区市场监督管理局；</w:t>
      </w:r>
      <w:r>
        <w:rPr>
          <w:rFonts w:hint="default" w:ascii="Times New Roman" w:hAnsi="Times New Roman" w:eastAsia="仿宋_GB2312" w:cs="Times New Roman"/>
          <w:color w:val="auto"/>
          <w:sz w:val="32"/>
          <w:szCs w:val="32"/>
          <w:lang w:eastAsia="zh-CN"/>
        </w:rPr>
        <w:t>绿色生态屏障数据、</w:t>
      </w:r>
      <w:r>
        <w:rPr>
          <w:rFonts w:hint="eastAsia" w:eastAsia="仿宋_GB2312" w:cs="Times New Roman"/>
          <w:color w:val="auto"/>
          <w:sz w:val="32"/>
          <w:szCs w:val="32"/>
          <w:lang w:eastAsia="zh-CN"/>
        </w:rPr>
        <w:t>乡村振兴</w:t>
      </w:r>
      <w:r>
        <w:rPr>
          <w:rFonts w:hint="default" w:ascii="Times New Roman" w:hAnsi="Times New Roman" w:eastAsia="仿宋_GB2312" w:cs="Times New Roman"/>
          <w:color w:val="auto"/>
          <w:sz w:val="32"/>
          <w:szCs w:val="32"/>
          <w:lang w:eastAsia="zh-CN"/>
        </w:rPr>
        <w:t>数据、</w:t>
      </w:r>
      <w:r>
        <w:rPr>
          <w:rFonts w:hint="eastAsia" w:eastAsia="仿宋_GB2312" w:cs="Times New Roman"/>
          <w:color w:val="auto"/>
          <w:sz w:val="32"/>
          <w:szCs w:val="32"/>
          <w:lang w:eastAsia="zh-CN"/>
        </w:rPr>
        <w:t>现代</w:t>
      </w:r>
      <w:r>
        <w:rPr>
          <w:rFonts w:hint="default" w:ascii="Times New Roman" w:hAnsi="Times New Roman" w:eastAsia="仿宋_GB2312" w:cs="Times New Roman"/>
          <w:color w:val="auto"/>
          <w:sz w:val="32"/>
          <w:szCs w:val="32"/>
          <w:lang w:eastAsia="zh-CN"/>
        </w:rPr>
        <w:t>农业数据来自津南区农业农村委；</w:t>
      </w:r>
      <w:r>
        <w:rPr>
          <w:rFonts w:hint="eastAsia" w:eastAsia="仿宋_GB2312" w:cs="Times New Roman"/>
          <w:color w:val="auto"/>
          <w:sz w:val="32"/>
          <w:szCs w:val="32"/>
          <w:highlight w:val="none"/>
          <w:lang w:eastAsia="zh-CN"/>
        </w:rPr>
        <w:t>海棠众创大街数据来自天津津城海棠创业服务有限公司；</w:t>
      </w:r>
      <w:r>
        <w:rPr>
          <w:rFonts w:hint="eastAsia" w:eastAsia="仿宋_GB2312" w:cs="Times New Roman"/>
          <w:color w:val="auto"/>
          <w:sz w:val="32"/>
          <w:szCs w:val="32"/>
          <w:highlight w:val="none"/>
          <w:lang w:val="en-US" w:eastAsia="zh-CN"/>
        </w:rPr>
        <w:t>5G基站数据</w:t>
      </w:r>
      <w:r>
        <w:rPr>
          <w:rFonts w:hint="default" w:ascii="Times New Roman" w:hAnsi="Times New Roman" w:eastAsia="仿宋_GB2312" w:cs="Times New Roman"/>
          <w:color w:val="auto"/>
          <w:sz w:val="32"/>
          <w:szCs w:val="32"/>
          <w:highlight w:val="none"/>
          <w:lang w:eastAsia="zh-CN"/>
        </w:rPr>
        <w:t>来自津南区</w:t>
      </w:r>
      <w:r>
        <w:rPr>
          <w:rFonts w:hint="default" w:ascii="Times New Roman" w:hAnsi="Times New Roman" w:eastAsia="仿宋_GB2312" w:cs="Times New Roman"/>
          <w:color w:val="auto"/>
          <w:sz w:val="32"/>
          <w:szCs w:val="32"/>
          <w:highlight w:val="none"/>
        </w:rPr>
        <w:t>工业和信息化局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国家会展中心数据来自会展经济区</w:t>
      </w:r>
      <w:r>
        <w:rPr>
          <w:rFonts w:hint="eastAsia" w:eastAsia="仿宋_GB2312" w:cs="Times New Roman"/>
          <w:color w:val="auto"/>
          <w:sz w:val="32"/>
          <w:szCs w:val="32"/>
          <w:lang w:eastAsia="zh-CN"/>
        </w:rPr>
        <w:t>管理</w:t>
      </w:r>
      <w:r>
        <w:rPr>
          <w:rFonts w:hint="default" w:ascii="Times New Roman" w:hAnsi="Times New Roman" w:eastAsia="仿宋_GB2312" w:cs="Times New Roman"/>
          <w:color w:val="auto"/>
          <w:sz w:val="32"/>
          <w:szCs w:val="32"/>
          <w:lang w:eastAsia="zh-CN"/>
        </w:rPr>
        <w:t>委</w:t>
      </w:r>
      <w:r>
        <w:rPr>
          <w:rFonts w:hint="eastAsia" w:eastAsia="仿宋_GB2312" w:cs="Times New Roman"/>
          <w:color w:val="auto"/>
          <w:sz w:val="32"/>
          <w:szCs w:val="32"/>
          <w:lang w:eastAsia="zh-CN"/>
        </w:rPr>
        <w:t>员</w:t>
      </w:r>
      <w:r>
        <w:rPr>
          <w:rFonts w:hint="default" w:ascii="Times New Roman" w:hAnsi="Times New Roman" w:eastAsia="仿宋_GB2312" w:cs="Times New Roman"/>
          <w:color w:val="auto"/>
          <w:sz w:val="32"/>
          <w:szCs w:val="32"/>
          <w:lang w:eastAsia="zh-CN"/>
        </w:rPr>
        <w:t>会；</w:t>
      </w:r>
      <w:r>
        <w:rPr>
          <w:rFonts w:hint="eastAsia" w:eastAsia="仿宋_GB2312" w:cs="Times New Roman"/>
          <w:color w:val="auto"/>
          <w:sz w:val="32"/>
          <w:szCs w:val="32"/>
          <w:lang w:eastAsia="zh-CN"/>
        </w:rPr>
        <w:t>新冠疫苗接种数据、医疗卫生数据、</w:t>
      </w:r>
      <w:r>
        <w:rPr>
          <w:rFonts w:hint="eastAsia" w:eastAsia="仿宋_GB2312" w:cs="Times New Roman"/>
          <w:color w:val="auto"/>
          <w:sz w:val="32"/>
          <w:szCs w:val="32"/>
          <w:highlight w:val="none"/>
          <w:lang w:eastAsia="zh-CN"/>
        </w:rPr>
        <w:t>出生人口数据</w:t>
      </w:r>
      <w:r>
        <w:rPr>
          <w:rFonts w:hint="eastAsia" w:eastAsia="仿宋_GB2312" w:cs="Times New Roman"/>
          <w:color w:val="auto"/>
          <w:sz w:val="32"/>
          <w:szCs w:val="32"/>
          <w:lang w:eastAsia="zh-CN"/>
        </w:rPr>
        <w:t>来自津南区卫生健康委；交通运输数据、城市载体数据来自津南区交通运输管理局；邮政数据来自中国邮政集团公司天津市津南分公司；旅游产业、文化惠民、体育事业数据来自津南区文化和旅游局；金融数据来自津南区金融工作局；</w:t>
      </w:r>
      <w:r>
        <w:rPr>
          <w:rFonts w:hint="default" w:ascii="Times New Roman" w:hAnsi="Times New Roman" w:eastAsia="仿宋_GB2312" w:cs="Times New Roman"/>
          <w:color w:val="auto"/>
          <w:sz w:val="32"/>
          <w:szCs w:val="32"/>
        </w:rPr>
        <w:t>利用内资数据来自</w:t>
      </w:r>
      <w:r>
        <w:rPr>
          <w:rFonts w:hint="default" w:ascii="Times New Roman" w:hAnsi="Times New Roman" w:eastAsia="仿宋_GB2312" w:cs="Times New Roman"/>
          <w:color w:val="auto"/>
          <w:sz w:val="32"/>
          <w:szCs w:val="32"/>
          <w:lang w:eastAsia="zh-CN"/>
        </w:rPr>
        <w:t>津南区</w:t>
      </w:r>
      <w:r>
        <w:rPr>
          <w:rFonts w:hint="default" w:ascii="Times New Roman" w:hAnsi="Times New Roman" w:eastAsia="仿宋_GB2312" w:cs="Times New Roman"/>
          <w:color w:val="auto"/>
          <w:sz w:val="32"/>
          <w:szCs w:val="32"/>
        </w:rPr>
        <w:t>人民政府合作交流办公室；外经贸来自津南区商务局；</w:t>
      </w:r>
      <w:r>
        <w:rPr>
          <w:rFonts w:hint="eastAsia" w:eastAsia="仿宋_GB2312" w:cs="Times New Roman"/>
          <w:color w:val="auto"/>
          <w:sz w:val="32"/>
          <w:szCs w:val="32"/>
          <w:lang w:eastAsia="zh-CN"/>
        </w:rPr>
        <w:t>营商环境数据来自津南区政务服务办公室；“双万双服”数据、公共充电桩数据来自津南区发展和改革委员会；</w:t>
      </w:r>
      <w:r>
        <w:rPr>
          <w:rFonts w:hint="default" w:ascii="Times New Roman" w:hAnsi="Times New Roman" w:eastAsia="仿宋_GB2312" w:cs="Times New Roman"/>
          <w:color w:val="auto"/>
          <w:sz w:val="32"/>
          <w:szCs w:val="32"/>
          <w:highlight w:val="none"/>
        </w:rPr>
        <w:t>科技</w:t>
      </w:r>
      <w:r>
        <w:rPr>
          <w:rFonts w:hint="default" w:ascii="Times New Roman" w:hAnsi="Times New Roman" w:eastAsia="仿宋_GB2312" w:cs="Times New Roman"/>
          <w:color w:val="auto"/>
          <w:sz w:val="32"/>
          <w:szCs w:val="32"/>
          <w:lang w:eastAsia="zh-CN"/>
        </w:rPr>
        <w:t>数据来自津南区科学技术局</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教育数据来自津南区教育局；居民收入、消费支出数据来自国家统计局津南调查队；就业数据来自津南区人力资源和社会保障局；</w:t>
      </w:r>
      <w:r>
        <w:rPr>
          <w:rFonts w:hint="eastAsia" w:eastAsia="仿宋_GB2312" w:cs="Times New Roman"/>
          <w:color w:val="auto"/>
          <w:sz w:val="32"/>
          <w:szCs w:val="32"/>
          <w:lang w:eastAsia="zh-CN"/>
        </w:rPr>
        <w:t>社会保障数据、市级旧楼区考核数据来自津南区民政局；危房改造数据来自津南区住房和建设委员会；</w:t>
      </w:r>
      <w:r>
        <w:rPr>
          <w:rFonts w:hint="default" w:ascii="Times New Roman" w:hAnsi="Times New Roman" w:eastAsia="仿宋_GB2312" w:cs="Times New Roman"/>
          <w:color w:val="auto"/>
          <w:sz w:val="32"/>
          <w:szCs w:val="32"/>
          <w:highlight w:val="none"/>
          <w:lang w:eastAsia="zh-CN"/>
        </w:rPr>
        <w:t>城市管理数据来自津南区城市管理委；</w:t>
      </w:r>
      <w:r>
        <w:rPr>
          <w:rFonts w:hint="eastAsia" w:eastAsia="仿宋_GB2312" w:cs="Times New Roman"/>
          <w:color w:val="auto"/>
          <w:sz w:val="32"/>
          <w:szCs w:val="32"/>
          <w:highlight w:val="none"/>
          <w:lang w:eastAsia="zh-CN"/>
        </w:rPr>
        <w:t>网格数据来自津南区网格化管理中心；户籍人口、信号灯、交通标志数据来自天津市公安局津南分局；</w:t>
      </w:r>
      <w:r>
        <w:rPr>
          <w:rFonts w:hint="default" w:ascii="Times New Roman" w:hAnsi="Times New Roman" w:eastAsia="仿宋_GB2312" w:cs="Times New Roman"/>
          <w:color w:val="auto"/>
          <w:sz w:val="32"/>
          <w:szCs w:val="32"/>
          <w:lang w:eastAsia="zh-CN"/>
        </w:rPr>
        <w:t>其他数据来自津南区统计局。</w:t>
      </w:r>
    </w:p>
    <w:sectPr>
      <w:footerReference r:id="rId3" w:type="default"/>
      <w:footerReference r:id="rId4" w:type="even"/>
      <w:pgSz w:w="11907" w:h="16839"/>
      <w:pgMar w:top="2041" w:right="1531" w:bottom="2041" w:left="1531" w:header="68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93"/>
    <w:rsid w:val="00003995"/>
    <w:rsid w:val="0001066C"/>
    <w:rsid w:val="00021C98"/>
    <w:rsid w:val="00025D78"/>
    <w:rsid w:val="00026859"/>
    <w:rsid w:val="0002776B"/>
    <w:rsid w:val="000313FB"/>
    <w:rsid w:val="00036774"/>
    <w:rsid w:val="00037D5A"/>
    <w:rsid w:val="00041373"/>
    <w:rsid w:val="00047110"/>
    <w:rsid w:val="000519A5"/>
    <w:rsid w:val="0006393F"/>
    <w:rsid w:val="000724EA"/>
    <w:rsid w:val="00076C1D"/>
    <w:rsid w:val="00081CB2"/>
    <w:rsid w:val="0008423F"/>
    <w:rsid w:val="00085E71"/>
    <w:rsid w:val="00094331"/>
    <w:rsid w:val="000A124A"/>
    <w:rsid w:val="000A18E7"/>
    <w:rsid w:val="000A5844"/>
    <w:rsid w:val="000B1C24"/>
    <w:rsid w:val="000C790F"/>
    <w:rsid w:val="000D15D3"/>
    <w:rsid w:val="000D1ED4"/>
    <w:rsid w:val="000D1F46"/>
    <w:rsid w:val="000D249E"/>
    <w:rsid w:val="000E1A5A"/>
    <w:rsid w:val="000F077E"/>
    <w:rsid w:val="00103000"/>
    <w:rsid w:val="001104CB"/>
    <w:rsid w:val="001168FE"/>
    <w:rsid w:val="001212CD"/>
    <w:rsid w:val="001275C4"/>
    <w:rsid w:val="001364E8"/>
    <w:rsid w:val="00161B1A"/>
    <w:rsid w:val="0016550B"/>
    <w:rsid w:val="0016571C"/>
    <w:rsid w:val="00175FE8"/>
    <w:rsid w:val="00194E6D"/>
    <w:rsid w:val="001A30F6"/>
    <w:rsid w:val="001B48C4"/>
    <w:rsid w:val="001B4C15"/>
    <w:rsid w:val="001B6211"/>
    <w:rsid w:val="001D325B"/>
    <w:rsid w:val="001D3FD1"/>
    <w:rsid w:val="001D6B71"/>
    <w:rsid w:val="001E1E03"/>
    <w:rsid w:val="001E2F4F"/>
    <w:rsid w:val="001E77B6"/>
    <w:rsid w:val="001F753E"/>
    <w:rsid w:val="00200FA6"/>
    <w:rsid w:val="002010E7"/>
    <w:rsid w:val="002012AB"/>
    <w:rsid w:val="00215A6C"/>
    <w:rsid w:val="002176A4"/>
    <w:rsid w:val="00223FE4"/>
    <w:rsid w:val="00224108"/>
    <w:rsid w:val="00226395"/>
    <w:rsid w:val="0023500D"/>
    <w:rsid w:val="0024123F"/>
    <w:rsid w:val="0024630D"/>
    <w:rsid w:val="0025255D"/>
    <w:rsid w:val="00252948"/>
    <w:rsid w:val="00255899"/>
    <w:rsid w:val="0026199C"/>
    <w:rsid w:val="00262314"/>
    <w:rsid w:val="00264818"/>
    <w:rsid w:val="00290C07"/>
    <w:rsid w:val="002A0DDE"/>
    <w:rsid w:val="002A20A7"/>
    <w:rsid w:val="002A2DA9"/>
    <w:rsid w:val="002D31AB"/>
    <w:rsid w:val="002E2AEA"/>
    <w:rsid w:val="002E6D90"/>
    <w:rsid w:val="002F3B93"/>
    <w:rsid w:val="002F7A3C"/>
    <w:rsid w:val="0030257A"/>
    <w:rsid w:val="00311339"/>
    <w:rsid w:val="00316F10"/>
    <w:rsid w:val="00322588"/>
    <w:rsid w:val="00331B9E"/>
    <w:rsid w:val="0033432B"/>
    <w:rsid w:val="0033593F"/>
    <w:rsid w:val="00341A58"/>
    <w:rsid w:val="00346337"/>
    <w:rsid w:val="00347ED3"/>
    <w:rsid w:val="00357352"/>
    <w:rsid w:val="00360D0E"/>
    <w:rsid w:val="00363B40"/>
    <w:rsid w:val="003676F8"/>
    <w:rsid w:val="00372D69"/>
    <w:rsid w:val="00376609"/>
    <w:rsid w:val="00383B6F"/>
    <w:rsid w:val="003A08D1"/>
    <w:rsid w:val="003B3C05"/>
    <w:rsid w:val="003B3D2A"/>
    <w:rsid w:val="003B56C1"/>
    <w:rsid w:val="003B604F"/>
    <w:rsid w:val="003B68A2"/>
    <w:rsid w:val="003C1E26"/>
    <w:rsid w:val="003C7937"/>
    <w:rsid w:val="003E101F"/>
    <w:rsid w:val="003E1FE6"/>
    <w:rsid w:val="004001F0"/>
    <w:rsid w:val="004009A1"/>
    <w:rsid w:val="0040757F"/>
    <w:rsid w:val="004104A9"/>
    <w:rsid w:val="00410A24"/>
    <w:rsid w:val="00423547"/>
    <w:rsid w:val="00434360"/>
    <w:rsid w:val="00440035"/>
    <w:rsid w:val="00442D6C"/>
    <w:rsid w:val="00444F62"/>
    <w:rsid w:val="00445BE3"/>
    <w:rsid w:val="0045119D"/>
    <w:rsid w:val="004667E1"/>
    <w:rsid w:val="0047204C"/>
    <w:rsid w:val="00474025"/>
    <w:rsid w:val="00477924"/>
    <w:rsid w:val="00477FDB"/>
    <w:rsid w:val="00480EB1"/>
    <w:rsid w:val="004935FA"/>
    <w:rsid w:val="004A4D93"/>
    <w:rsid w:val="004B3C22"/>
    <w:rsid w:val="004B4ACE"/>
    <w:rsid w:val="004B4FA8"/>
    <w:rsid w:val="004B6286"/>
    <w:rsid w:val="004C1613"/>
    <w:rsid w:val="004D13E9"/>
    <w:rsid w:val="004E0FBA"/>
    <w:rsid w:val="004E2B01"/>
    <w:rsid w:val="005016AA"/>
    <w:rsid w:val="005064C0"/>
    <w:rsid w:val="00510F01"/>
    <w:rsid w:val="00511A53"/>
    <w:rsid w:val="00512412"/>
    <w:rsid w:val="00522063"/>
    <w:rsid w:val="00523D99"/>
    <w:rsid w:val="00530482"/>
    <w:rsid w:val="00532F3A"/>
    <w:rsid w:val="00534B94"/>
    <w:rsid w:val="00534C57"/>
    <w:rsid w:val="005571AC"/>
    <w:rsid w:val="00561A90"/>
    <w:rsid w:val="00561B12"/>
    <w:rsid w:val="00562FAE"/>
    <w:rsid w:val="00571A91"/>
    <w:rsid w:val="0058055E"/>
    <w:rsid w:val="00584381"/>
    <w:rsid w:val="00593EC4"/>
    <w:rsid w:val="00595336"/>
    <w:rsid w:val="005A128B"/>
    <w:rsid w:val="005A1D93"/>
    <w:rsid w:val="005A55DF"/>
    <w:rsid w:val="005A6B75"/>
    <w:rsid w:val="005B20A9"/>
    <w:rsid w:val="005C0721"/>
    <w:rsid w:val="005C164B"/>
    <w:rsid w:val="005C23CE"/>
    <w:rsid w:val="005D6280"/>
    <w:rsid w:val="005D7E4B"/>
    <w:rsid w:val="005E2095"/>
    <w:rsid w:val="005E5C65"/>
    <w:rsid w:val="005F0B7C"/>
    <w:rsid w:val="005F507F"/>
    <w:rsid w:val="005F58AC"/>
    <w:rsid w:val="00616A22"/>
    <w:rsid w:val="00620361"/>
    <w:rsid w:val="00626725"/>
    <w:rsid w:val="00631B65"/>
    <w:rsid w:val="00633C41"/>
    <w:rsid w:val="0064079E"/>
    <w:rsid w:val="006441DF"/>
    <w:rsid w:val="00652BA1"/>
    <w:rsid w:val="0065330E"/>
    <w:rsid w:val="00657D77"/>
    <w:rsid w:val="0066424E"/>
    <w:rsid w:val="00666704"/>
    <w:rsid w:val="00675AD1"/>
    <w:rsid w:val="006948BC"/>
    <w:rsid w:val="00696E51"/>
    <w:rsid w:val="006C1550"/>
    <w:rsid w:val="006C739E"/>
    <w:rsid w:val="006C78B7"/>
    <w:rsid w:val="006D06BA"/>
    <w:rsid w:val="006D17B1"/>
    <w:rsid w:val="006D66EA"/>
    <w:rsid w:val="006E45FD"/>
    <w:rsid w:val="006E5310"/>
    <w:rsid w:val="006E58BD"/>
    <w:rsid w:val="006E5FF9"/>
    <w:rsid w:val="006E6AF7"/>
    <w:rsid w:val="006F7940"/>
    <w:rsid w:val="00707C8D"/>
    <w:rsid w:val="00710BEE"/>
    <w:rsid w:val="00711E31"/>
    <w:rsid w:val="00715883"/>
    <w:rsid w:val="007411A8"/>
    <w:rsid w:val="00753F94"/>
    <w:rsid w:val="00760E41"/>
    <w:rsid w:val="007624DB"/>
    <w:rsid w:val="00765A5E"/>
    <w:rsid w:val="00767BF2"/>
    <w:rsid w:val="0077216C"/>
    <w:rsid w:val="007733A4"/>
    <w:rsid w:val="0077454D"/>
    <w:rsid w:val="007800E5"/>
    <w:rsid w:val="00784E21"/>
    <w:rsid w:val="00786E56"/>
    <w:rsid w:val="007919E9"/>
    <w:rsid w:val="00791E63"/>
    <w:rsid w:val="007A57A6"/>
    <w:rsid w:val="007A638F"/>
    <w:rsid w:val="007A7315"/>
    <w:rsid w:val="007B1E82"/>
    <w:rsid w:val="007B2ADB"/>
    <w:rsid w:val="007B61BF"/>
    <w:rsid w:val="007C304B"/>
    <w:rsid w:val="007C7AF5"/>
    <w:rsid w:val="007D7CB5"/>
    <w:rsid w:val="007E3EA3"/>
    <w:rsid w:val="007E4946"/>
    <w:rsid w:val="007E777C"/>
    <w:rsid w:val="007F5256"/>
    <w:rsid w:val="007F5948"/>
    <w:rsid w:val="00801466"/>
    <w:rsid w:val="00803A14"/>
    <w:rsid w:val="00805756"/>
    <w:rsid w:val="00806579"/>
    <w:rsid w:val="0081092B"/>
    <w:rsid w:val="00814D97"/>
    <w:rsid w:val="00815F9E"/>
    <w:rsid w:val="00833366"/>
    <w:rsid w:val="00836474"/>
    <w:rsid w:val="00853C1A"/>
    <w:rsid w:val="00854EAD"/>
    <w:rsid w:val="008656F4"/>
    <w:rsid w:val="008704D1"/>
    <w:rsid w:val="00877D22"/>
    <w:rsid w:val="00893F25"/>
    <w:rsid w:val="0089519B"/>
    <w:rsid w:val="00895771"/>
    <w:rsid w:val="008A373C"/>
    <w:rsid w:val="008B2BE4"/>
    <w:rsid w:val="008B4FD4"/>
    <w:rsid w:val="008C1801"/>
    <w:rsid w:val="008C294E"/>
    <w:rsid w:val="008C2CE8"/>
    <w:rsid w:val="008C796F"/>
    <w:rsid w:val="008D5BB1"/>
    <w:rsid w:val="008E10AC"/>
    <w:rsid w:val="008E6CE7"/>
    <w:rsid w:val="008E7D35"/>
    <w:rsid w:val="008F1CCC"/>
    <w:rsid w:val="008F4CBD"/>
    <w:rsid w:val="009055DB"/>
    <w:rsid w:val="00910535"/>
    <w:rsid w:val="00915128"/>
    <w:rsid w:val="00920823"/>
    <w:rsid w:val="00923080"/>
    <w:rsid w:val="009273FE"/>
    <w:rsid w:val="00934592"/>
    <w:rsid w:val="009351A1"/>
    <w:rsid w:val="00936018"/>
    <w:rsid w:val="009403F8"/>
    <w:rsid w:val="00954A80"/>
    <w:rsid w:val="00957E31"/>
    <w:rsid w:val="00963928"/>
    <w:rsid w:val="00975012"/>
    <w:rsid w:val="009916F9"/>
    <w:rsid w:val="009918FC"/>
    <w:rsid w:val="0099772D"/>
    <w:rsid w:val="00997AB1"/>
    <w:rsid w:val="009A0A4F"/>
    <w:rsid w:val="009A1F2D"/>
    <w:rsid w:val="009A568C"/>
    <w:rsid w:val="009A6FD6"/>
    <w:rsid w:val="009B2E98"/>
    <w:rsid w:val="009D131C"/>
    <w:rsid w:val="009D3EB9"/>
    <w:rsid w:val="009E5772"/>
    <w:rsid w:val="009F4ED6"/>
    <w:rsid w:val="00A0287D"/>
    <w:rsid w:val="00A26962"/>
    <w:rsid w:val="00A27B08"/>
    <w:rsid w:val="00A32F58"/>
    <w:rsid w:val="00A33A36"/>
    <w:rsid w:val="00A343C3"/>
    <w:rsid w:val="00A3459A"/>
    <w:rsid w:val="00A364BF"/>
    <w:rsid w:val="00A412E1"/>
    <w:rsid w:val="00A4231F"/>
    <w:rsid w:val="00A42F25"/>
    <w:rsid w:val="00A438DF"/>
    <w:rsid w:val="00A46BEB"/>
    <w:rsid w:val="00A512E2"/>
    <w:rsid w:val="00A558DC"/>
    <w:rsid w:val="00A77363"/>
    <w:rsid w:val="00A7787F"/>
    <w:rsid w:val="00A77DE9"/>
    <w:rsid w:val="00A805AF"/>
    <w:rsid w:val="00A83DE0"/>
    <w:rsid w:val="00A86C17"/>
    <w:rsid w:val="00A9654F"/>
    <w:rsid w:val="00AA78DE"/>
    <w:rsid w:val="00AA7E4E"/>
    <w:rsid w:val="00AB2388"/>
    <w:rsid w:val="00AB6FE3"/>
    <w:rsid w:val="00AB6FF2"/>
    <w:rsid w:val="00AB71DC"/>
    <w:rsid w:val="00AB74E9"/>
    <w:rsid w:val="00AC5606"/>
    <w:rsid w:val="00AC6EA0"/>
    <w:rsid w:val="00AD475A"/>
    <w:rsid w:val="00AD528B"/>
    <w:rsid w:val="00AD6D26"/>
    <w:rsid w:val="00AD7ACA"/>
    <w:rsid w:val="00AE3EA8"/>
    <w:rsid w:val="00AE3F25"/>
    <w:rsid w:val="00AE6D4C"/>
    <w:rsid w:val="00AF1A44"/>
    <w:rsid w:val="00AF1F03"/>
    <w:rsid w:val="00B06E30"/>
    <w:rsid w:val="00B124A6"/>
    <w:rsid w:val="00B16FFE"/>
    <w:rsid w:val="00B203A1"/>
    <w:rsid w:val="00B20C25"/>
    <w:rsid w:val="00B356F6"/>
    <w:rsid w:val="00B409C2"/>
    <w:rsid w:val="00B41D3B"/>
    <w:rsid w:val="00B54B7F"/>
    <w:rsid w:val="00B6536E"/>
    <w:rsid w:val="00B7402E"/>
    <w:rsid w:val="00B77892"/>
    <w:rsid w:val="00B80D63"/>
    <w:rsid w:val="00B84AE2"/>
    <w:rsid w:val="00B85506"/>
    <w:rsid w:val="00B85E16"/>
    <w:rsid w:val="00B96878"/>
    <w:rsid w:val="00BA4C13"/>
    <w:rsid w:val="00BB106A"/>
    <w:rsid w:val="00BD17DC"/>
    <w:rsid w:val="00BD2E1C"/>
    <w:rsid w:val="00BE7814"/>
    <w:rsid w:val="00BF3435"/>
    <w:rsid w:val="00BF7E63"/>
    <w:rsid w:val="00C163D0"/>
    <w:rsid w:val="00C2050C"/>
    <w:rsid w:val="00C253CD"/>
    <w:rsid w:val="00C34486"/>
    <w:rsid w:val="00C41F5D"/>
    <w:rsid w:val="00C57F95"/>
    <w:rsid w:val="00C61735"/>
    <w:rsid w:val="00C66891"/>
    <w:rsid w:val="00C7021C"/>
    <w:rsid w:val="00C83088"/>
    <w:rsid w:val="00C83854"/>
    <w:rsid w:val="00C86260"/>
    <w:rsid w:val="00C93480"/>
    <w:rsid w:val="00CA1D81"/>
    <w:rsid w:val="00CA7958"/>
    <w:rsid w:val="00CA7C8D"/>
    <w:rsid w:val="00CB4AB7"/>
    <w:rsid w:val="00CC68A5"/>
    <w:rsid w:val="00CD13B6"/>
    <w:rsid w:val="00CD1E10"/>
    <w:rsid w:val="00CD57E6"/>
    <w:rsid w:val="00CD7245"/>
    <w:rsid w:val="00CE3842"/>
    <w:rsid w:val="00CF54AE"/>
    <w:rsid w:val="00CF5DB2"/>
    <w:rsid w:val="00D025B0"/>
    <w:rsid w:val="00D02F57"/>
    <w:rsid w:val="00D06F1E"/>
    <w:rsid w:val="00D102B0"/>
    <w:rsid w:val="00D11BC9"/>
    <w:rsid w:val="00D12527"/>
    <w:rsid w:val="00D16453"/>
    <w:rsid w:val="00D16DB6"/>
    <w:rsid w:val="00D22DB4"/>
    <w:rsid w:val="00D25645"/>
    <w:rsid w:val="00D426DD"/>
    <w:rsid w:val="00D43968"/>
    <w:rsid w:val="00D5550F"/>
    <w:rsid w:val="00D57A7B"/>
    <w:rsid w:val="00D60166"/>
    <w:rsid w:val="00D60DF9"/>
    <w:rsid w:val="00D75A57"/>
    <w:rsid w:val="00D763C2"/>
    <w:rsid w:val="00D77D29"/>
    <w:rsid w:val="00D813FD"/>
    <w:rsid w:val="00D909E2"/>
    <w:rsid w:val="00D978E4"/>
    <w:rsid w:val="00DA10D9"/>
    <w:rsid w:val="00DA43E5"/>
    <w:rsid w:val="00DB1E27"/>
    <w:rsid w:val="00DB592E"/>
    <w:rsid w:val="00DB692A"/>
    <w:rsid w:val="00DD0A17"/>
    <w:rsid w:val="00DD2650"/>
    <w:rsid w:val="00DD2D0C"/>
    <w:rsid w:val="00DD35D9"/>
    <w:rsid w:val="00DD77B1"/>
    <w:rsid w:val="00DE2383"/>
    <w:rsid w:val="00DE732E"/>
    <w:rsid w:val="00DF047E"/>
    <w:rsid w:val="00DF3FAA"/>
    <w:rsid w:val="00E276FE"/>
    <w:rsid w:val="00E307F3"/>
    <w:rsid w:val="00E31365"/>
    <w:rsid w:val="00E37592"/>
    <w:rsid w:val="00E37D2E"/>
    <w:rsid w:val="00E4091C"/>
    <w:rsid w:val="00E411DF"/>
    <w:rsid w:val="00E52757"/>
    <w:rsid w:val="00E53C5C"/>
    <w:rsid w:val="00E54775"/>
    <w:rsid w:val="00E55AAB"/>
    <w:rsid w:val="00E72BB9"/>
    <w:rsid w:val="00E72C7C"/>
    <w:rsid w:val="00E731DB"/>
    <w:rsid w:val="00E821A1"/>
    <w:rsid w:val="00E84696"/>
    <w:rsid w:val="00E85602"/>
    <w:rsid w:val="00E9421D"/>
    <w:rsid w:val="00E942EA"/>
    <w:rsid w:val="00E9505F"/>
    <w:rsid w:val="00E978D1"/>
    <w:rsid w:val="00EA0742"/>
    <w:rsid w:val="00EA776D"/>
    <w:rsid w:val="00EB08C6"/>
    <w:rsid w:val="00EB1EEA"/>
    <w:rsid w:val="00EB3DFE"/>
    <w:rsid w:val="00EB5A5D"/>
    <w:rsid w:val="00EC11B3"/>
    <w:rsid w:val="00ED6942"/>
    <w:rsid w:val="00EF0AF5"/>
    <w:rsid w:val="00F02B5B"/>
    <w:rsid w:val="00F10DE4"/>
    <w:rsid w:val="00F1295B"/>
    <w:rsid w:val="00F1539C"/>
    <w:rsid w:val="00F22FB7"/>
    <w:rsid w:val="00F26B7F"/>
    <w:rsid w:val="00F27FCA"/>
    <w:rsid w:val="00F30565"/>
    <w:rsid w:val="00F37B09"/>
    <w:rsid w:val="00F46E7E"/>
    <w:rsid w:val="00F503F5"/>
    <w:rsid w:val="00F509DB"/>
    <w:rsid w:val="00F523DC"/>
    <w:rsid w:val="00F62D2E"/>
    <w:rsid w:val="00F86F28"/>
    <w:rsid w:val="00F94C90"/>
    <w:rsid w:val="00FA45C8"/>
    <w:rsid w:val="00FA4663"/>
    <w:rsid w:val="00FB6868"/>
    <w:rsid w:val="00FC3CE7"/>
    <w:rsid w:val="00FD20EF"/>
    <w:rsid w:val="00FD7199"/>
    <w:rsid w:val="00FE72BB"/>
    <w:rsid w:val="00FF2D4E"/>
    <w:rsid w:val="00FF3CE6"/>
    <w:rsid w:val="013E5F13"/>
    <w:rsid w:val="01604B49"/>
    <w:rsid w:val="01E65E04"/>
    <w:rsid w:val="023040FD"/>
    <w:rsid w:val="02A15250"/>
    <w:rsid w:val="02AD1C38"/>
    <w:rsid w:val="03047BCB"/>
    <w:rsid w:val="030F67BD"/>
    <w:rsid w:val="032C5E02"/>
    <w:rsid w:val="03A14C24"/>
    <w:rsid w:val="047E0BF2"/>
    <w:rsid w:val="048A526F"/>
    <w:rsid w:val="04A42C2E"/>
    <w:rsid w:val="05125907"/>
    <w:rsid w:val="058256C0"/>
    <w:rsid w:val="058A0FC8"/>
    <w:rsid w:val="058F596D"/>
    <w:rsid w:val="05940D95"/>
    <w:rsid w:val="059F370F"/>
    <w:rsid w:val="05B61200"/>
    <w:rsid w:val="062A5385"/>
    <w:rsid w:val="06D15AAC"/>
    <w:rsid w:val="07444F2A"/>
    <w:rsid w:val="075320AC"/>
    <w:rsid w:val="07DE1974"/>
    <w:rsid w:val="08965546"/>
    <w:rsid w:val="08A26CDF"/>
    <w:rsid w:val="08E82CB5"/>
    <w:rsid w:val="08FD412E"/>
    <w:rsid w:val="08FD43D4"/>
    <w:rsid w:val="092D3850"/>
    <w:rsid w:val="0A26194F"/>
    <w:rsid w:val="0A497409"/>
    <w:rsid w:val="0AA84E09"/>
    <w:rsid w:val="0AAF5F0D"/>
    <w:rsid w:val="0AD45234"/>
    <w:rsid w:val="0AEB0278"/>
    <w:rsid w:val="0B66170E"/>
    <w:rsid w:val="0C18417D"/>
    <w:rsid w:val="0C704631"/>
    <w:rsid w:val="0CE009C0"/>
    <w:rsid w:val="0D112521"/>
    <w:rsid w:val="0D3E38E0"/>
    <w:rsid w:val="0D442F46"/>
    <w:rsid w:val="0DDC5A6A"/>
    <w:rsid w:val="0DFFB676"/>
    <w:rsid w:val="0E756D4E"/>
    <w:rsid w:val="0E7F427B"/>
    <w:rsid w:val="0EB76AD4"/>
    <w:rsid w:val="0EBF30FC"/>
    <w:rsid w:val="0F126D0B"/>
    <w:rsid w:val="0F3E4E72"/>
    <w:rsid w:val="0FFF93DA"/>
    <w:rsid w:val="1012265B"/>
    <w:rsid w:val="102A3886"/>
    <w:rsid w:val="10A23E78"/>
    <w:rsid w:val="10B63A55"/>
    <w:rsid w:val="10BB4D49"/>
    <w:rsid w:val="114555E4"/>
    <w:rsid w:val="115A590B"/>
    <w:rsid w:val="11895997"/>
    <w:rsid w:val="118D68D8"/>
    <w:rsid w:val="11A501D6"/>
    <w:rsid w:val="128054F2"/>
    <w:rsid w:val="128970B5"/>
    <w:rsid w:val="13040F0B"/>
    <w:rsid w:val="133025FB"/>
    <w:rsid w:val="134F62A3"/>
    <w:rsid w:val="138445DF"/>
    <w:rsid w:val="142B14DB"/>
    <w:rsid w:val="14FF38F4"/>
    <w:rsid w:val="151308B5"/>
    <w:rsid w:val="155453C8"/>
    <w:rsid w:val="1565FD47"/>
    <w:rsid w:val="159EE747"/>
    <w:rsid w:val="16AAE4F6"/>
    <w:rsid w:val="16BB567E"/>
    <w:rsid w:val="16F0623F"/>
    <w:rsid w:val="179D49BA"/>
    <w:rsid w:val="17A527F7"/>
    <w:rsid w:val="17FF81A9"/>
    <w:rsid w:val="181A22A2"/>
    <w:rsid w:val="184A2970"/>
    <w:rsid w:val="18733177"/>
    <w:rsid w:val="19194B42"/>
    <w:rsid w:val="19AE42F1"/>
    <w:rsid w:val="19E94015"/>
    <w:rsid w:val="1A923188"/>
    <w:rsid w:val="1AB8133F"/>
    <w:rsid w:val="1AC6243A"/>
    <w:rsid w:val="1AFD9C23"/>
    <w:rsid w:val="1B1B18A2"/>
    <w:rsid w:val="1B3F96EC"/>
    <w:rsid w:val="1B5A265A"/>
    <w:rsid w:val="1B5B09D5"/>
    <w:rsid w:val="1B7F94D5"/>
    <w:rsid w:val="1BC85971"/>
    <w:rsid w:val="1BF7B142"/>
    <w:rsid w:val="1C156687"/>
    <w:rsid w:val="1C9C4327"/>
    <w:rsid w:val="1CAD4949"/>
    <w:rsid w:val="1CF914F3"/>
    <w:rsid w:val="1D3C3BFA"/>
    <w:rsid w:val="1DA2391F"/>
    <w:rsid w:val="1DDDFBBB"/>
    <w:rsid w:val="1DFF2924"/>
    <w:rsid w:val="1E7F4022"/>
    <w:rsid w:val="1EF2EA4E"/>
    <w:rsid w:val="1EF77B33"/>
    <w:rsid w:val="1EFE722B"/>
    <w:rsid w:val="1F16456E"/>
    <w:rsid w:val="1FAB009D"/>
    <w:rsid w:val="1FAB121A"/>
    <w:rsid w:val="1FBDB860"/>
    <w:rsid w:val="1FF6B500"/>
    <w:rsid w:val="1FFBB191"/>
    <w:rsid w:val="1FFEF67F"/>
    <w:rsid w:val="1FFF30BB"/>
    <w:rsid w:val="1FFFFAE1"/>
    <w:rsid w:val="2087130B"/>
    <w:rsid w:val="20C33E73"/>
    <w:rsid w:val="21257021"/>
    <w:rsid w:val="21483EEE"/>
    <w:rsid w:val="2157350F"/>
    <w:rsid w:val="221867E6"/>
    <w:rsid w:val="22252966"/>
    <w:rsid w:val="224F0E41"/>
    <w:rsid w:val="22AB5544"/>
    <w:rsid w:val="23870D70"/>
    <w:rsid w:val="23A00B5F"/>
    <w:rsid w:val="242717A0"/>
    <w:rsid w:val="251A481B"/>
    <w:rsid w:val="253466CC"/>
    <w:rsid w:val="25BD382A"/>
    <w:rsid w:val="25EBDC1E"/>
    <w:rsid w:val="26BFE414"/>
    <w:rsid w:val="26EE7210"/>
    <w:rsid w:val="275F34A2"/>
    <w:rsid w:val="27885122"/>
    <w:rsid w:val="278C794A"/>
    <w:rsid w:val="27BA39E8"/>
    <w:rsid w:val="27C0196C"/>
    <w:rsid w:val="27D727B4"/>
    <w:rsid w:val="27EF7B15"/>
    <w:rsid w:val="27F6FE8C"/>
    <w:rsid w:val="27FB82D9"/>
    <w:rsid w:val="28137B73"/>
    <w:rsid w:val="28D51760"/>
    <w:rsid w:val="28D66EA3"/>
    <w:rsid w:val="28DD5FEC"/>
    <w:rsid w:val="28F32E61"/>
    <w:rsid w:val="29831D9E"/>
    <w:rsid w:val="299B501A"/>
    <w:rsid w:val="299F79C5"/>
    <w:rsid w:val="29FC710C"/>
    <w:rsid w:val="2A1A0325"/>
    <w:rsid w:val="2A8358EA"/>
    <w:rsid w:val="2B740CD3"/>
    <w:rsid w:val="2BB60A3E"/>
    <w:rsid w:val="2BDA4C79"/>
    <w:rsid w:val="2C223C25"/>
    <w:rsid w:val="2C75033C"/>
    <w:rsid w:val="2C7C6956"/>
    <w:rsid w:val="2CE61C2A"/>
    <w:rsid w:val="2CFF5E17"/>
    <w:rsid w:val="2CFF738A"/>
    <w:rsid w:val="2D2B751A"/>
    <w:rsid w:val="2D67E809"/>
    <w:rsid w:val="2D7F921D"/>
    <w:rsid w:val="2D803B0A"/>
    <w:rsid w:val="2DFF850E"/>
    <w:rsid w:val="2E9928FD"/>
    <w:rsid w:val="2ECB1027"/>
    <w:rsid w:val="2EDB88B0"/>
    <w:rsid w:val="2EE50778"/>
    <w:rsid w:val="2EFFD8CF"/>
    <w:rsid w:val="2F0F8BB2"/>
    <w:rsid w:val="2F2F0DEA"/>
    <w:rsid w:val="2F7F3843"/>
    <w:rsid w:val="2FBC1657"/>
    <w:rsid w:val="2FBFF64A"/>
    <w:rsid w:val="2FDDD895"/>
    <w:rsid w:val="2FE77C4A"/>
    <w:rsid w:val="2FE7BA0F"/>
    <w:rsid w:val="2FFB63BB"/>
    <w:rsid w:val="2FFBC787"/>
    <w:rsid w:val="2FFD2314"/>
    <w:rsid w:val="30C13BD2"/>
    <w:rsid w:val="317FDEB9"/>
    <w:rsid w:val="324015C4"/>
    <w:rsid w:val="329D7373"/>
    <w:rsid w:val="32AB7DED"/>
    <w:rsid w:val="32EF32B7"/>
    <w:rsid w:val="33933BE0"/>
    <w:rsid w:val="33EDD642"/>
    <w:rsid w:val="34015CF2"/>
    <w:rsid w:val="34043DDF"/>
    <w:rsid w:val="34666B0E"/>
    <w:rsid w:val="34BB4FDE"/>
    <w:rsid w:val="34BE760A"/>
    <w:rsid w:val="34D945D0"/>
    <w:rsid w:val="34E72FC0"/>
    <w:rsid w:val="355B6075"/>
    <w:rsid w:val="358C55E7"/>
    <w:rsid w:val="358D4BA5"/>
    <w:rsid w:val="35980021"/>
    <w:rsid w:val="35FD664B"/>
    <w:rsid w:val="35FFF2D2"/>
    <w:rsid w:val="367D9839"/>
    <w:rsid w:val="367FD652"/>
    <w:rsid w:val="36B0137C"/>
    <w:rsid w:val="36FE21C8"/>
    <w:rsid w:val="3713056A"/>
    <w:rsid w:val="37531854"/>
    <w:rsid w:val="376C3F4E"/>
    <w:rsid w:val="376E028F"/>
    <w:rsid w:val="37793C6F"/>
    <w:rsid w:val="377FE2D6"/>
    <w:rsid w:val="37AA3945"/>
    <w:rsid w:val="37B7E275"/>
    <w:rsid w:val="37DFE744"/>
    <w:rsid w:val="37FA96B5"/>
    <w:rsid w:val="37FCEE8E"/>
    <w:rsid w:val="37FF1261"/>
    <w:rsid w:val="38730A85"/>
    <w:rsid w:val="38E7464C"/>
    <w:rsid w:val="38FF038B"/>
    <w:rsid w:val="394331A8"/>
    <w:rsid w:val="395370F9"/>
    <w:rsid w:val="39F7E3F6"/>
    <w:rsid w:val="39FFA803"/>
    <w:rsid w:val="3A7D02B8"/>
    <w:rsid w:val="3A951BA3"/>
    <w:rsid w:val="3AF79A95"/>
    <w:rsid w:val="3B3F0BC3"/>
    <w:rsid w:val="3B62588A"/>
    <w:rsid w:val="3B643468"/>
    <w:rsid w:val="3BBB31E2"/>
    <w:rsid w:val="3BBF8909"/>
    <w:rsid w:val="3BD54F19"/>
    <w:rsid w:val="3BDB3DD5"/>
    <w:rsid w:val="3BDFF745"/>
    <w:rsid w:val="3BFEECB0"/>
    <w:rsid w:val="3BFF2ECE"/>
    <w:rsid w:val="3C5D060E"/>
    <w:rsid w:val="3CB744B5"/>
    <w:rsid w:val="3CBB6E55"/>
    <w:rsid w:val="3CC75834"/>
    <w:rsid w:val="3CE52FD8"/>
    <w:rsid w:val="3CEFF524"/>
    <w:rsid w:val="3CFCF0BB"/>
    <w:rsid w:val="3D746516"/>
    <w:rsid w:val="3D7F317D"/>
    <w:rsid w:val="3D7F6B64"/>
    <w:rsid w:val="3D945CA7"/>
    <w:rsid w:val="3DB210E4"/>
    <w:rsid w:val="3DBE68E8"/>
    <w:rsid w:val="3DEAB342"/>
    <w:rsid w:val="3DEFA418"/>
    <w:rsid w:val="3DFC5F80"/>
    <w:rsid w:val="3E181679"/>
    <w:rsid w:val="3E5F4033"/>
    <w:rsid w:val="3EBBC7C2"/>
    <w:rsid w:val="3ECF23AE"/>
    <w:rsid w:val="3EEC303B"/>
    <w:rsid w:val="3EF26F8C"/>
    <w:rsid w:val="3EFBE153"/>
    <w:rsid w:val="3EFC482D"/>
    <w:rsid w:val="3EFF9601"/>
    <w:rsid w:val="3EFFD4E7"/>
    <w:rsid w:val="3F5D37B3"/>
    <w:rsid w:val="3F5E4A2E"/>
    <w:rsid w:val="3F78D365"/>
    <w:rsid w:val="3F7FD871"/>
    <w:rsid w:val="3F9D03E6"/>
    <w:rsid w:val="3F9E1E1F"/>
    <w:rsid w:val="3FAA18E1"/>
    <w:rsid w:val="3FB7F7FB"/>
    <w:rsid w:val="3FDC3852"/>
    <w:rsid w:val="3FE991C8"/>
    <w:rsid w:val="3FEBAA90"/>
    <w:rsid w:val="3FEBF8E1"/>
    <w:rsid w:val="3FEF68DE"/>
    <w:rsid w:val="3FF9E5BA"/>
    <w:rsid w:val="3FFC4FEC"/>
    <w:rsid w:val="3FFF566C"/>
    <w:rsid w:val="3FFF932D"/>
    <w:rsid w:val="402A7FE5"/>
    <w:rsid w:val="415E13D5"/>
    <w:rsid w:val="41781CF1"/>
    <w:rsid w:val="432C204E"/>
    <w:rsid w:val="434C5B42"/>
    <w:rsid w:val="435F092C"/>
    <w:rsid w:val="43E52662"/>
    <w:rsid w:val="44E3674B"/>
    <w:rsid w:val="44FB4620"/>
    <w:rsid w:val="453A344A"/>
    <w:rsid w:val="45585008"/>
    <w:rsid w:val="4562425A"/>
    <w:rsid w:val="45925F9C"/>
    <w:rsid w:val="45BA7C70"/>
    <w:rsid w:val="45E650E8"/>
    <w:rsid w:val="461F274C"/>
    <w:rsid w:val="4648521F"/>
    <w:rsid w:val="46BF031C"/>
    <w:rsid w:val="473F83A0"/>
    <w:rsid w:val="478918EF"/>
    <w:rsid w:val="47F737C8"/>
    <w:rsid w:val="48554B76"/>
    <w:rsid w:val="485E340C"/>
    <w:rsid w:val="486C57E5"/>
    <w:rsid w:val="48ED102F"/>
    <w:rsid w:val="48FB0D92"/>
    <w:rsid w:val="49427703"/>
    <w:rsid w:val="4A486012"/>
    <w:rsid w:val="4A8657BB"/>
    <w:rsid w:val="4A914965"/>
    <w:rsid w:val="4A9C1679"/>
    <w:rsid w:val="4ABF2A85"/>
    <w:rsid w:val="4B6A517A"/>
    <w:rsid w:val="4BCFF62A"/>
    <w:rsid w:val="4BFD0246"/>
    <w:rsid w:val="4C5C34A5"/>
    <w:rsid w:val="4C7E5BCA"/>
    <w:rsid w:val="4CA470F3"/>
    <w:rsid w:val="4CE174E4"/>
    <w:rsid w:val="4CE96697"/>
    <w:rsid w:val="4CF7858B"/>
    <w:rsid w:val="4D704871"/>
    <w:rsid w:val="4D8B2814"/>
    <w:rsid w:val="4DAA0E74"/>
    <w:rsid w:val="4DDD7984"/>
    <w:rsid w:val="4DEC4AD1"/>
    <w:rsid w:val="4DED0B1E"/>
    <w:rsid w:val="4DFB6FA3"/>
    <w:rsid w:val="4DFF8BDA"/>
    <w:rsid w:val="4E2A018B"/>
    <w:rsid w:val="4E331D86"/>
    <w:rsid w:val="4E94764D"/>
    <w:rsid w:val="4EC83AD2"/>
    <w:rsid w:val="4EE15946"/>
    <w:rsid w:val="4EE92490"/>
    <w:rsid w:val="4EF40336"/>
    <w:rsid w:val="4EF5A1C1"/>
    <w:rsid w:val="4EF70691"/>
    <w:rsid w:val="4F3EA5CF"/>
    <w:rsid w:val="4F5F882E"/>
    <w:rsid w:val="4F7E7F98"/>
    <w:rsid w:val="4F9AB7F5"/>
    <w:rsid w:val="4FBF2174"/>
    <w:rsid w:val="4FDDA7FB"/>
    <w:rsid w:val="4FDE0D3E"/>
    <w:rsid w:val="4FEB7509"/>
    <w:rsid w:val="4FEFEE47"/>
    <w:rsid w:val="4FFB75A0"/>
    <w:rsid w:val="4FFEB65A"/>
    <w:rsid w:val="4FFF3C82"/>
    <w:rsid w:val="50727C46"/>
    <w:rsid w:val="50BD2C19"/>
    <w:rsid w:val="50D6330E"/>
    <w:rsid w:val="511A2BDA"/>
    <w:rsid w:val="513FF5F3"/>
    <w:rsid w:val="514C67C3"/>
    <w:rsid w:val="51701B21"/>
    <w:rsid w:val="51C52CBD"/>
    <w:rsid w:val="52206C3F"/>
    <w:rsid w:val="527B7F75"/>
    <w:rsid w:val="52CA7CBD"/>
    <w:rsid w:val="53484F8F"/>
    <w:rsid w:val="53960E9E"/>
    <w:rsid w:val="53BE1945"/>
    <w:rsid w:val="53BFE7EA"/>
    <w:rsid w:val="53D754C6"/>
    <w:rsid w:val="53D77C4A"/>
    <w:rsid w:val="53ED1B8E"/>
    <w:rsid w:val="546641D5"/>
    <w:rsid w:val="54A3190F"/>
    <w:rsid w:val="54D7FBD9"/>
    <w:rsid w:val="557613E4"/>
    <w:rsid w:val="55BB3B26"/>
    <w:rsid w:val="55D00359"/>
    <w:rsid w:val="55DD3B6B"/>
    <w:rsid w:val="55E7E2CF"/>
    <w:rsid w:val="55E8480B"/>
    <w:rsid w:val="55FEA78F"/>
    <w:rsid w:val="565F7103"/>
    <w:rsid w:val="566E3660"/>
    <w:rsid w:val="567768EA"/>
    <w:rsid w:val="567FBF39"/>
    <w:rsid w:val="56FFEC2A"/>
    <w:rsid w:val="57471A52"/>
    <w:rsid w:val="57684794"/>
    <w:rsid w:val="579A9A07"/>
    <w:rsid w:val="57AB45CA"/>
    <w:rsid w:val="57BAFC58"/>
    <w:rsid w:val="57BB6537"/>
    <w:rsid w:val="57BF7CCD"/>
    <w:rsid w:val="57C46B20"/>
    <w:rsid w:val="57FDA92C"/>
    <w:rsid w:val="580D30D8"/>
    <w:rsid w:val="581E7CCA"/>
    <w:rsid w:val="58892736"/>
    <w:rsid w:val="58A577A8"/>
    <w:rsid w:val="58AB00EE"/>
    <w:rsid w:val="58BB08FF"/>
    <w:rsid w:val="58BB406B"/>
    <w:rsid w:val="58BE5D1A"/>
    <w:rsid w:val="58FA4A6B"/>
    <w:rsid w:val="59047789"/>
    <w:rsid w:val="592450BD"/>
    <w:rsid w:val="594A3E74"/>
    <w:rsid w:val="59A0336C"/>
    <w:rsid w:val="59E1458D"/>
    <w:rsid w:val="59EB984F"/>
    <w:rsid w:val="59F9FBE8"/>
    <w:rsid w:val="5A12623F"/>
    <w:rsid w:val="5A40650D"/>
    <w:rsid w:val="5A576AB9"/>
    <w:rsid w:val="5A6D2EAB"/>
    <w:rsid w:val="5AA1625B"/>
    <w:rsid w:val="5ACA6DD1"/>
    <w:rsid w:val="5ACF6E61"/>
    <w:rsid w:val="5AF34858"/>
    <w:rsid w:val="5AFF8D38"/>
    <w:rsid w:val="5B7B05C2"/>
    <w:rsid w:val="5BA142D1"/>
    <w:rsid w:val="5BAA47FF"/>
    <w:rsid w:val="5BABB68A"/>
    <w:rsid w:val="5BD7041E"/>
    <w:rsid w:val="5BE51B18"/>
    <w:rsid w:val="5BFED1DF"/>
    <w:rsid w:val="5BFF0AF0"/>
    <w:rsid w:val="5BFF5CA7"/>
    <w:rsid w:val="5C606FC4"/>
    <w:rsid w:val="5C795E8D"/>
    <w:rsid w:val="5C7B9779"/>
    <w:rsid w:val="5C9524E1"/>
    <w:rsid w:val="5CAE34B3"/>
    <w:rsid w:val="5CCB0700"/>
    <w:rsid w:val="5CE051C4"/>
    <w:rsid w:val="5CFD54BD"/>
    <w:rsid w:val="5D233511"/>
    <w:rsid w:val="5D376352"/>
    <w:rsid w:val="5D7D9C16"/>
    <w:rsid w:val="5DC435AB"/>
    <w:rsid w:val="5DDECC47"/>
    <w:rsid w:val="5DECA456"/>
    <w:rsid w:val="5DF57342"/>
    <w:rsid w:val="5DFF1722"/>
    <w:rsid w:val="5DFFF728"/>
    <w:rsid w:val="5E2B36A2"/>
    <w:rsid w:val="5E6C2C2F"/>
    <w:rsid w:val="5E742A8C"/>
    <w:rsid w:val="5E77BA8B"/>
    <w:rsid w:val="5E8137F4"/>
    <w:rsid w:val="5EA41689"/>
    <w:rsid w:val="5EC92DAA"/>
    <w:rsid w:val="5ED7E7EA"/>
    <w:rsid w:val="5EF51118"/>
    <w:rsid w:val="5EF7902B"/>
    <w:rsid w:val="5F3E5B94"/>
    <w:rsid w:val="5F7203FB"/>
    <w:rsid w:val="5FA796B1"/>
    <w:rsid w:val="5FB6E872"/>
    <w:rsid w:val="5FBFD2D5"/>
    <w:rsid w:val="5FC429DE"/>
    <w:rsid w:val="5FDB932E"/>
    <w:rsid w:val="5FDD2D0D"/>
    <w:rsid w:val="5FE76315"/>
    <w:rsid w:val="5FED9498"/>
    <w:rsid w:val="5FF3F4C6"/>
    <w:rsid w:val="5FF55345"/>
    <w:rsid w:val="5FF5B519"/>
    <w:rsid w:val="5FF729BB"/>
    <w:rsid w:val="5FFEB09E"/>
    <w:rsid w:val="5FFF42F3"/>
    <w:rsid w:val="5FFFBB48"/>
    <w:rsid w:val="60377429"/>
    <w:rsid w:val="60633FAA"/>
    <w:rsid w:val="60E67F57"/>
    <w:rsid w:val="60FE9880"/>
    <w:rsid w:val="61264170"/>
    <w:rsid w:val="61A92379"/>
    <w:rsid w:val="61AFE8EE"/>
    <w:rsid w:val="621D5E6E"/>
    <w:rsid w:val="62C30074"/>
    <w:rsid w:val="62D21E7B"/>
    <w:rsid w:val="62DD87F7"/>
    <w:rsid w:val="62E07B48"/>
    <w:rsid w:val="62F6EF98"/>
    <w:rsid w:val="62FFD262"/>
    <w:rsid w:val="63182781"/>
    <w:rsid w:val="63356BE4"/>
    <w:rsid w:val="638521AC"/>
    <w:rsid w:val="638B4B74"/>
    <w:rsid w:val="638D7235"/>
    <w:rsid w:val="63B217B3"/>
    <w:rsid w:val="63B52506"/>
    <w:rsid w:val="63BFBC05"/>
    <w:rsid w:val="653759B3"/>
    <w:rsid w:val="655845FE"/>
    <w:rsid w:val="655F0ABB"/>
    <w:rsid w:val="65A20D48"/>
    <w:rsid w:val="65D20417"/>
    <w:rsid w:val="66181248"/>
    <w:rsid w:val="66BBF86F"/>
    <w:rsid w:val="66CF1E96"/>
    <w:rsid w:val="670F06D4"/>
    <w:rsid w:val="67233632"/>
    <w:rsid w:val="673566EC"/>
    <w:rsid w:val="675F4703"/>
    <w:rsid w:val="677FB200"/>
    <w:rsid w:val="6798569E"/>
    <w:rsid w:val="67DEF163"/>
    <w:rsid w:val="67EAA9F8"/>
    <w:rsid w:val="67F395C5"/>
    <w:rsid w:val="67F742E9"/>
    <w:rsid w:val="68484FAA"/>
    <w:rsid w:val="68571229"/>
    <w:rsid w:val="68602928"/>
    <w:rsid w:val="68A44709"/>
    <w:rsid w:val="68E94DA9"/>
    <w:rsid w:val="69100F2F"/>
    <w:rsid w:val="69D5880C"/>
    <w:rsid w:val="69EB6E05"/>
    <w:rsid w:val="69FB888D"/>
    <w:rsid w:val="69FC354F"/>
    <w:rsid w:val="69FC7380"/>
    <w:rsid w:val="69FE523E"/>
    <w:rsid w:val="6A0663A2"/>
    <w:rsid w:val="6A541247"/>
    <w:rsid w:val="6A5BB0CE"/>
    <w:rsid w:val="6A7F75AA"/>
    <w:rsid w:val="6AAF6C54"/>
    <w:rsid w:val="6ADA7EE9"/>
    <w:rsid w:val="6B415CC9"/>
    <w:rsid w:val="6B4C12CC"/>
    <w:rsid w:val="6B7E6770"/>
    <w:rsid w:val="6BAF60C2"/>
    <w:rsid w:val="6BB5A31F"/>
    <w:rsid w:val="6BB76E8A"/>
    <w:rsid w:val="6BDBF515"/>
    <w:rsid w:val="6BEC55AB"/>
    <w:rsid w:val="6C4449BF"/>
    <w:rsid w:val="6C8F7620"/>
    <w:rsid w:val="6CAF5435"/>
    <w:rsid w:val="6CD21917"/>
    <w:rsid w:val="6CDF6EF0"/>
    <w:rsid w:val="6CED2A25"/>
    <w:rsid w:val="6CF47198"/>
    <w:rsid w:val="6CF780DD"/>
    <w:rsid w:val="6CF7D779"/>
    <w:rsid w:val="6D2FF0FA"/>
    <w:rsid w:val="6D595615"/>
    <w:rsid w:val="6D5F2A34"/>
    <w:rsid w:val="6D795963"/>
    <w:rsid w:val="6D9A707C"/>
    <w:rsid w:val="6D9D631B"/>
    <w:rsid w:val="6D9E6BA5"/>
    <w:rsid w:val="6DA86422"/>
    <w:rsid w:val="6DB7EC61"/>
    <w:rsid w:val="6DBD9850"/>
    <w:rsid w:val="6DDB34ED"/>
    <w:rsid w:val="6DFDC538"/>
    <w:rsid w:val="6DFEB2B5"/>
    <w:rsid w:val="6E781A51"/>
    <w:rsid w:val="6E7D3A2D"/>
    <w:rsid w:val="6E824A57"/>
    <w:rsid w:val="6EBC7BCA"/>
    <w:rsid w:val="6EDCD05E"/>
    <w:rsid w:val="6EDF039D"/>
    <w:rsid w:val="6EDF3B04"/>
    <w:rsid w:val="6EFC017C"/>
    <w:rsid w:val="6EFC2926"/>
    <w:rsid w:val="6EFF7E05"/>
    <w:rsid w:val="6F3F12CE"/>
    <w:rsid w:val="6F731BB9"/>
    <w:rsid w:val="6F7BC074"/>
    <w:rsid w:val="6F925AFD"/>
    <w:rsid w:val="6F975372"/>
    <w:rsid w:val="6FA7F841"/>
    <w:rsid w:val="6FAECEF0"/>
    <w:rsid w:val="6FB1AD79"/>
    <w:rsid w:val="6FB7D1AE"/>
    <w:rsid w:val="6FBA1E51"/>
    <w:rsid w:val="6FCB44A6"/>
    <w:rsid w:val="6FD3FBBB"/>
    <w:rsid w:val="6FEC4473"/>
    <w:rsid w:val="6FEF5D9C"/>
    <w:rsid w:val="6FF20039"/>
    <w:rsid w:val="6FF72A86"/>
    <w:rsid w:val="6FF97BEC"/>
    <w:rsid w:val="6FFD4634"/>
    <w:rsid w:val="6FFF8453"/>
    <w:rsid w:val="70210C71"/>
    <w:rsid w:val="70FB0326"/>
    <w:rsid w:val="70FB9157"/>
    <w:rsid w:val="70FFC23F"/>
    <w:rsid w:val="71392CD3"/>
    <w:rsid w:val="71436AF0"/>
    <w:rsid w:val="716F96B1"/>
    <w:rsid w:val="719A5764"/>
    <w:rsid w:val="71A59A4C"/>
    <w:rsid w:val="71B70588"/>
    <w:rsid w:val="71BC6BD4"/>
    <w:rsid w:val="71D7E01A"/>
    <w:rsid w:val="71EE3237"/>
    <w:rsid w:val="71F696AB"/>
    <w:rsid w:val="72471D9D"/>
    <w:rsid w:val="72FF051C"/>
    <w:rsid w:val="731F43A4"/>
    <w:rsid w:val="737D9DD0"/>
    <w:rsid w:val="737FECB7"/>
    <w:rsid w:val="738FCEF2"/>
    <w:rsid w:val="7397C759"/>
    <w:rsid w:val="73B1D768"/>
    <w:rsid w:val="73B82458"/>
    <w:rsid w:val="73DFC99D"/>
    <w:rsid w:val="73E121D7"/>
    <w:rsid w:val="73E9EF2B"/>
    <w:rsid w:val="73FC3DD0"/>
    <w:rsid w:val="73FDDAD1"/>
    <w:rsid w:val="747035DD"/>
    <w:rsid w:val="74A929C2"/>
    <w:rsid w:val="74BB4237"/>
    <w:rsid w:val="74FF0B20"/>
    <w:rsid w:val="753DE3A9"/>
    <w:rsid w:val="7567D8B1"/>
    <w:rsid w:val="756BDEDA"/>
    <w:rsid w:val="7576D303"/>
    <w:rsid w:val="75A754D6"/>
    <w:rsid w:val="75A96F67"/>
    <w:rsid w:val="75B438A9"/>
    <w:rsid w:val="75D04CA6"/>
    <w:rsid w:val="75FA008C"/>
    <w:rsid w:val="75FD4D5B"/>
    <w:rsid w:val="75FDA75C"/>
    <w:rsid w:val="75FF0740"/>
    <w:rsid w:val="75FF6BC8"/>
    <w:rsid w:val="76021DA8"/>
    <w:rsid w:val="763D7E14"/>
    <w:rsid w:val="766CBD9E"/>
    <w:rsid w:val="7679CF75"/>
    <w:rsid w:val="76C34630"/>
    <w:rsid w:val="76CB6BC8"/>
    <w:rsid w:val="76CF0306"/>
    <w:rsid w:val="76F74019"/>
    <w:rsid w:val="76F7DD2F"/>
    <w:rsid w:val="76FB9A9F"/>
    <w:rsid w:val="76FBA025"/>
    <w:rsid w:val="76FF194F"/>
    <w:rsid w:val="772FF84E"/>
    <w:rsid w:val="7737B289"/>
    <w:rsid w:val="773EA2F3"/>
    <w:rsid w:val="774D2262"/>
    <w:rsid w:val="7757CFB3"/>
    <w:rsid w:val="775E052D"/>
    <w:rsid w:val="775EE9BD"/>
    <w:rsid w:val="77639392"/>
    <w:rsid w:val="7776DE09"/>
    <w:rsid w:val="777745E6"/>
    <w:rsid w:val="777DFFF5"/>
    <w:rsid w:val="77967DFC"/>
    <w:rsid w:val="77B303BF"/>
    <w:rsid w:val="77B91687"/>
    <w:rsid w:val="77CD3F1D"/>
    <w:rsid w:val="77CF43A8"/>
    <w:rsid w:val="77D77C9C"/>
    <w:rsid w:val="77D7DE77"/>
    <w:rsid w:val="77D992C3"/>
    <w:rsid w:val="77E7327A"/>
    <w:rsid w:val="77E7FE57"/>
    <w:rsid w:val="77EDBA4E"/>
    <w:rsid w:val="77F14896"/>
    <w:rsid w:val="77FA124D"/>
    <w:rsid w:val="77FE0D03"/>
    <w:rsid w:val="77FFB98E"/>
    <w:rsid w:val="77FFF8FD"/>
    <w:rsid w:val="784C33D0"/>
    <w:rsid w:val="788A76D7"/>
    <w:rsid w:val="78E44D3D"/>
    <w:rsid w:val="79005621"/>
    <w:rsid w:val="790242EC"/>
    <w:rsid w:val="792F826E"/>
    <w:rsid w:val="79D5F096"/>
    <w:rsid w:val="79DCAD5D"/>
    <w:rsid w:val="79E763F4"/>
    <w:rsid w:val="79EF7DB2"/>
    <w:rsid w:val="79F23467"/>
    <w:rsid w:val="79F6D2D5"/>
    <w:rsid w:val="79FF254D"/>
    <w:rsid w:val="79FF948D"/>
    <w:rsid w:val="7A5F279A"/>
    <w:rsid w:val="7A662B1C"/>
    <w:rsid w:val="7A7FC26B"/>
    <w:rsid w:val="7AB7EAE7"/>
    <w:rsid w:val="7ABFCABB"/>
    <w:rsid w:val="7AE5E73B"/>
    <w:rsid w:val="7AF6A8DE"/>
    <w:rsid w:val="7AFD917C"/>
    <w:rsid w:val="7AFF9C9B"/>
    <w:rsid w:val="7B3FA18B"/>
    <w:rsid w:val="7B461397"/>
    <w:rsid w:val="7B6025EA"/>
    <w:rsid w:val="7B626BD3"/>
    <w:rsid w:val="7B72BAAD"/>
    <w:rsid w:val="7B76D6B0"/>
    <w:rsid w:val="7B7BBBBB"/>
    <w:rsid w:val="7B7BF211"/>
    <w:rsid w:val="7B7E82F5"/>
    <w:rsid w:val="7B820374"/>
    <w:rsid w:val="7B8F3551"/>
    <w:rsid w:val="7B974949"/>
    <w:rsid w:val="7B97FE33"/>
    <w:rsid w:val="7BB5F986"/>
    <w:rsid w:val="7BB74804"/>
    <w:rsid w:val="7BB9E8D6"/>
    <w:rsid w:val="7BBF9C93"/>
    <w:rsid w:val="7BBFD809"/>
    <w:rsid w:val="7BCB5FAD"/>
    <w:rsid w:val="7BCF2D04"/>
    <w:rsid w:val="7BDCAD7A"/>
    <w:rsid w:val="7BDEADB5"/>
    <w:rsid w:val="7BDF8CF1"/>
    <w:rsid w:val="7BF00A02"/>
    <w:rsid w:val="7BF76211"/>
    <w:rsid w:val="7BFC7F86"/>
    <w:rsid w:val="7BFDED0C"/>
    <w:rsid w:val="7CEF0643"/>
    <w:rsid w:val="7CF5D555"/>
    <w:rsid w:val="7CF7B975"/>
    <w:rsid w:val="7CFD34C5"/>
    <w:rsid w:val="7CFF08DA"/>
    <w:rsid w:val="7CFFA71B"/>
    <w:rsid w:val="7D5FD0D3"/>
    <w:rsid w:val="7D7FE93C"/>
    <w:rsid w:val="7D994D71"/>
    <w:rsid w:val="7DD551CE"/>
    <w:rsid w:val="7DD754ED"/>
    <w:rsid w:val="7DE54BC1"/>
    <w:rsid w:val="7DE6BD29"/>
    <w:rsid w:val="7DEF18AF"/>
    <w:rsid w:val="7DEF1B86"/>
    <w:rsid w:val="7DF99347"/>
    <w:rsid w:val="7DFB4D01"/>
    <w:rsid w:val="7DFDCB08"/>
    <w:rsid w:val="7DFE2EB9"/>
    <w:rsid w:val="7DFE6474"/>
    <w:rsid w:val="7DFF4C86"/>
    <w:rsid w:val="7DFF5310"/>
    <w:rsid w:val="7E0799D8"/>
    <w:rsid w:val="7E36E692"/>
    <w:rsid w:val="7E4230BE"/>
    <w:rsid w:val="7E64E977"/>
    <w:rsid w:val="7E77735B"/>
    <w:rsid w:val="7E7F4F4C"/>
    <w:rsid w:val="7EB740A5"/>
    <w:rsid w:val="7EC141A6"/>
    <w:rsid w:val="7EDC2893"/>
    <w:rsid w:val="7EDF2226"/>
    <w:rsid w:val="7EDF9BAD"/>
    <w:rsid w:val="7EE60EEC"/>
    <w:rsid w:val="7EEBED81"/>
    <w:rsid w:val="7EFA7C25"/>
    <w:rsid w:val="7EFB50F9"/>
    <w:rsid w:val="7EFF6CA6"/>
    <w:rsid w:val="7EFF9F8C"/>
    <w:rsid w:val="7F2662EA"/>
    <w:rsid w:val="7F295986"/>
    <w:rsid w:val="7F3F47EB"/>
    <w:rsid w:val="7F3F88E4"/>
    <w:rsid w:val="7F3FF269"/>
    <w:rsid w:val="7F57C4CA"/>
    <w:rsid w:val="7F5D8808"/>
    <w:rsid w:val="7F6D93EF"/>
    <w:rsid w:val="7F6F7963"/>
    <w:rsid w:val="7F7760CA"/>
    <w:rsid w:val="7F7F4300"/>
    <w:rsid w:val="7F7F4542"/>
    <w:rsid w:val="7F97C40B"/>
    <w:rsid w:val="7FAE214D"/>
    <w:rsid w:val="7FB68C86"/>
    <w:rsid w:val="7FBB1F8F"/>
    <w:rsid w:val="7FBF3F6B"/>
    <w:rsid w:val="7FBF4EBF"/>
    <w:rsid w:val="7FBF8B7B"/>
    <w:rsid w:val="7FBFB37B"/>
    <w:rsid w:val="7FBFB39E"/>
    <w:rsid w:val="7FC7149B"/>
    <w:rsid w:val="7FCB141E"/>
    <w:rsid w:val="7FD7A54F"/>
    <w:rsid w:val="7FDC2852"/>
    <w:rsid w:val="7FE74B39"/>
    <w:rsid w:val="7FEA93B0"/>
    <w:rsid w:val="7FEE464A"/>
    <w:rsid w:val="7FEF66C6"/>
    <w:rsid w:val="7FF2688E"/>
    <w:rsid w:val="7FF3E62B"/>
    <w:rsid w:val="7FF951D3"/>
    <w:rsid w:val="7FFB5E9B"/>
    <w:rsid w:val="7FFBC459"/>
    <w:rsid w:val="7FFBD864"/>
    <w:rsid w:val="7FFCF37B"/>
    <w:rsid w:val="7FFE63F4"/>
    <w:rsid w:val="7FFE6DE9"/>
    <w:rsid w:val="7FFE8661"/>
    <w:rsid w:val="7FFF3DB9"/>
    <w:rsid w:val="7FFF8B06"/>
    <w:rsid w:val="7FFFA442"/>
    <w:rsid w:val="7FFFCE9D"/>
    <w:rsid w:val="7FFFD401"/>
    <w:rsid w:val="7FFFDEFA"/>
    <w:rsid w:val="85BB2A9C"/>
    <w:rsid w:val="87BADF07"/>
    <w:rsid w:val="8A5F347E"/>
    <w:rsid w:val="8FFBBE14"/>
    <w:rsid w:val="93EB23B5"/>
    <w:rsid w:val="95FFEE21"/>
    <w:rsid w:val="99EDE3D6"/>
    <w:rsid w:val="9B77D21A"/>
    <w:rsid w:val="9DED9476"/>
    <w:rsid w:val="9DFEBB34"/>
    <w:rsid w:val="9EFFACC2"/>
    <w:rsid w:val="9F773FB7"/>
    <w:rsid w:val="9FBD6647"/>
    <w:rsid w:val="9FEDC86F"/>
    <w:rsid w:val="A5BE22A1"/>
    <w:rsid w:val="A7BDDE57"/>
    <w:rsid w:val="AB2F6B98"/>
    <w:rsid w:val="ABADB00A"/>
    <w:rsid w:val="ABBFC758"/>
    <w:rsid w:val="AC3F3A4F"/>
    <w:rsid w:val="ADFF1CD8"/>
    <w:rsid w:val="AEEDB9EA"/>
    <w:rsid w:val="AF157CB3"/>
    <w:rsid w:val="AF7C6060"/>
    <w:rsid w:val="AF7C7F51"/>
    <w:rsid w:val="AFDE06D1"/>
    <w:rsid w:val="AFF6EEFB"/>
    <w:rsid w:val="AFFF8C61"/>
    <w:rsid w:val="AFFFE59C"/>
    <w:rsid w:val="B0773405"/>
    <w:rsid w:val="B0DB7A2B"/>
    <w:rsid w:val="B0F385C5"/>
    <w:rsid w:val="B0FBF26F"/>
    <w:rsid w:val="B2E7639A"/>
    <w:rsid w:val="B2FC1423"/>
    <w:rsid w:val="B3775D2F"/>
    <w:rsid w:val="B57DD5EE"/>
    <w:rsid w:val="B5BB4B25"/>
    <w:rsid w:val="B5F71F4B"/>
    <w:rsid w:val="B6FDC24D"/>
    <w:rsid w:val="B77DB283"/>
    <w:rsid w:val="B7B34106"/>
    <w:rsid w:val="B7DE049B"/>
    <w:rsid w:val="B7EF5435"/>
    <w:rsid w:val="B7FA50EC"/>
    <w:rsid w:val="B7FB02E8"/>
    <w:rsid w:val="B7FBB8B9"/>
    <w:rsid w:val="B7FCDA0C"/>
    <w:rsid w:val="B9FE982F"/>
    <w:rsid w:val="B9FFA166"/>
    <w:rsid w:val="BAC61DF9"/>
    <w:rsid w:val="BB6BD67E"/>
    <w:rsid w:val="BB778E7F"/>
    <w:rsid w:val="BB7DFED6"/>
    <w:rsid w:val="BBD786A6"/>
    <w:rsid w:val="BBFDE468"/>
    <w:rsid w:val="BBFE971F"/>
    <w:rsid w:val="BCFB11B0"/>
    <w:rsid w:val="BD1D5B07"/>
    <w:rsid w:val="BD9F4045"/>
    <w:rsid w:val="BDD7B075"/>
    <w:rsid w:val="BDF74485"/>
    <w:rsid w:val="BDFF3196"/>
    <w:rsid w:val="BE3A834E"/>
    <w:rsid w:val="BE3D3067"/>
    <w:rsid w:val="BE67082F"/>
    <w:rsid w:val="BE6762CB"/>
    <w:rsid w:val="BE77BE0A"/>
    <w:rsid w:val="BEF988FA"/>
    <w:rsid w:val="BF2BC177"/>
    <w:rsid w:val="BF2FB561"/>
    <w:rsid w:val="BF500A6C"/>
    <w:rsid w:val="BF9D9527"/>
    <w:rsid w:val="BFADCA50"/>
    <w:rsid w:val="BFBE6E64"/>
    <w:rsid w:val="BFBFFADE"/>
    <w:rsid w:val="BFC5F256"/>
    <w:rsid w:val="BFC9E85E"/>
    <w:rsid w:val="BFD58370"/>
    <w:rsid w:val="BFEBD88C"/>
    <w:rsid w:val="BFFB485C"/>
    <w:rsid w:val="BFFBFAFE"/>
    <w:rsid w:val="BFFD1DCB"/>
    <w:rsid w:val="BFFDF72E"/>
    <w:rsid w:val="BFFEDA61"/>
    <w:rsid w:val="BFFEF40C"/>
    <w:rsid w:val="C5E8A305"/>
    <w:rsid w:val="C77D5AB9"/>
    <w:rsid w:val="C77F641E"/>
    <w:rsid w:val="C7DEE9D9"/>
    <w:rsid w:val="C9FF4D9F"/>
    <w:rsid w:val="CBEFB45A"/>
    <w:rsid w:val="CBFF5753"/>
    <w:rsid w:val="CBFFBDED"/>
    <w:rsid w:val="CCF5EB8E"/>
    <w:rsid w:val="CCFB4F7C"/>
    <w:rsid w:val="CDDE1A82"/>
    <w:rsid w:val="CDF50F7C"/>
    <w:rsid w:val="CEEB723D"/>
    <w:rsid w:val="CF6707CB"/>
    <w:rsid w:val="CFA3301B"/>
    <w:rsid w:val="CFAED7DF"/>
    <w:rsid w:val="CFDDF90E"/>
    <w:rsid w:val="D2FFF90B"/>
    <w:rsid w:val="D4FB79DA"/>
    <w:rsid w:val="D6ED5488"/>
    <w:rsid w:val="D7572D9C"/>
    <w:rsid w:val="D7771A83"/>
    <w:rsid w:val="D77B0155"/>
    <w:rsid w:val="D7B71B29"/>
    <w:rsid w:val="D7BF2F33"/>
    <w:rsid w:val="D7D30587"/>
    <w:rsid w:val="D7F9D3BF"/>
    <w:rsid w:val="D8AF4B09"/>
    <w:rsid w:val="D9F6D933"/>
    <w:rsid w:val="DAD5F2EF"/>
    <w:rsid w:val="DAE59FAC"/>
    <w:rsid w:val="DB6BCA2D"/>
    <w:rsid w:val="DBA78EBC"/>
    <w:rsid w:val="DBBF2480"/>
    <w:rsid w:val="DBDF74E7"/>
    <w:rsid w:val="DBEF8DD7"/>
    <w:rsid w:val="DBFFB146"/>
    <w:rsid w:val="DBFFB405"/>
    <w:rsid w:val="DCBF561E"/>
    <w:rsid w:val="DD835898"/>
    <w:rsid w:val="DDBFEC6F"/>
    <w:rsid w:val="DDCDD213"/>
    <w:rsid w:val="DDFD3080"/>
    <w:rsid w:val="DE3E8300"/>
    <w:rsid w:val="DE9F9A2F"/>
    <w:rsid w:val="DEB9DB1B"/>
    <w:rsid w:val="DEDF9D07"/>
    <w:rsid w:val="DEF19D1D"/>
    <w:rsid w:val="DEFBA4C2"/>
    <w:rsid w:val="DEFE3DEE"/>
    <w:rsid w:val="DEFFDBAF"/>
    <w:rsid w:val="DEFFE131"/>
    <w:rsid w:val="DEFFFE96"/>
    <w:rsid w:val="DF66838E"/>
    <w:rsid w:val="DF6B3AF4"/>
    <w:rsid w:val="DF776846"/>
    <w:rsid w:val="DF77C4DC"/>
    <w:rsid w:val="DF96F002"/>
    <w:rsid w:val="DFAD3CC5"/>
    <w:rsid w:val="DFB6290F"/>
    <w:rsid w:val="DFB7FC2B"/>
    <w:rsid w:val="DFBFFF4D"/>
    <w:rsid w:val="DFCB9B98"/>
    <w:rsid w:val="DFDA4FB3"/>
    <w:rsid w:val="DFDF52BF"/>
    <w:rsid w:val="DFF75792"/>
    <w:rsid w:val="DFFBEDC1"/>
    <w:rsid w:val="DFFC43C4"/>
    <w:rsid w:val="DFFC4726"/>
    <w:rsid w:val="DFFD6123"/>
    <w:rsid w:val="DFFF7246"/>
    <w:rsid w:val="DFFFABC2"/>
    <w:rsid w:val="E1B51507"/>
    <w:rsid w:val="E23A35DE"/>
    <w:rsid w:val="E4F3D942"/>
    <w:rsid w:val="E5DE77F5"/>
    <w:rsid w:val="E5EDA120"/>
    <w:rsid w:val="E6D9A58B"/>
    <w:rsid w:val="E6FD2C2B"/>
    <w:rsid w:val="E7BFDC9D"/>
    <w:rsid w:val="E7FF1621"/>
    <w:rsid w:val="E97D964A"/>
    <w:rsid w:val="E9FD524B"/>
    <w:rsid w:val="EA0B6C57"/>
    <w:rsid w:val="EADB57E9"/>
    <w:rsid w:val="EAFF172A"/>
    <w:rsid w:val="EB4AF291"/>
    <w:rsid w:val="EB5B2BE8"/>
    <w:rsid w:val="EB5E8E8F"/>
    <w:rsid w:val="EBA9CE50"/>
    <w:rsid w:val="EBE33A2C"/>
    <w:rsid w:val="EBE5B4EE"/>
    <w:rsid w:val="EBEBDA2D"/>
    <w:rsid w:val="EBFBCF1A"/>
    <w:rsid w:val="EBFDC509"/>
    <w:rsid w:val="EBFF4214"/>
    <w:rsid w:val="EBFFAA4D"/>
    <w:rsid w:val="EBFFB49A"/>
    <w:rsid w:val="EC856301"/>
    <w:rsid w:val="ECE7604B"/>
    <w:rsid w:val="ECFAB42F"/>
    <w:rsid w:val="ED5B44B8"/>
    <w:rsid w:val="ED7F51E6"/>
    <w:rsid w:val="EDA23838"/>
    <w:rsid w:val="EDEFC887"/>
    <w:rsid w:val="EDFD2777"/>
    <w:rsid w:val="EDFF93E4"/>
    <w:rsid w:val="EE2D6EB5"/>
    <w:rsid w:val="EE7FA025"/>
    <w:rsid w:val="EEBF733F"/>
    <w:rsid w:val="EEEB23E2"/>
    <w:rsid w:val="EEFAB519"/>
    <w:rsid w:val="EEFB9B29"/>
    <w:rsid w:val="EF3F5E7A"/>
    <w:rsid w:val="EF6FA4ED"/>
    <w:rsid w:val="EF7EFC33"/>
    <w:rsid w:val="EFAB0131"/>
    <w:rsid w:val="EFB793FD"/>
    <w:rsid w:val="EFB92010"/>
    <w:rsid w:val="EFBE62D8"/>
    <w:rsid w:val="EFBFCF10"/>
    <w:rsid w:val="EFDFEB7C"/>
    <w:rsid w:val="EFEFFD1A"/>
    <w:rsid w:val="EFFA9DB0"/>
    <w:rsid w:val="EFFF610D"/>
    <w:rsid w:val="F06C4645"/>
    <w:rsid w:val="F17BA54D"/>
    <w:rsid w:val="F1E2F38B"/>
    <w:rsid w:val="F1EE6C35"/>
    <w:rsid w:val="F215C17A"/>
    <w:rsid w:val="F2731ADE"/>
    <w:rsid w:val="F2BF8E40"/>
    <w:rsid w:val="F2BFCAF6"/>
    <w:rsid w:val="F3ABE8B3"/>
    <w:rsid w:val="F3B53B45"/>
    <w:rsid w:val="F3B5E436"/>
    <w:rsid w:val="F3D55969"/>
    <w:rsid w:val="F3FA7C57"/>
    <w:rsid w:val="F3FDA97D"/>
    <w:rsid w:val="F3FF8045"/>
    <w:rsid w:val="F4FF69B4"/>
    <w:rsid w:val="F557EF06"/>
    <w:rsid w:val="F565E311"/>
    <w:rsid w:val="F597329E"/>
    <w:rsid w:val="F5BF728B"/>
    <w:rsid w:val="F5CBBB6D"/>
    <w:rsid w:val="F5CE26ED"/>
    <w:rsid w:val="F62BEB38"/>
    <w:rsid w:val="F66FDA25"/>
    <w:rsid w:val="F6714042"/>
    <w:rsid w:val="F67DCC0E"/>
    <w:rsid w:val="F67FEEFE"/>
    <w:rsid w:val="F6DCFDEA"/>
    <w:rsid w:val="F6DD9E70"/>
    <w:rsid w:val="F6FFD7D2"/>
    <w:rsid w:val="F72FD7F1"/>
    <w:rsid w:val="F73F43FC"/>
    <w:rsid w:val="F77B4B5C"/>
    <w:rsid w:val="F77F6D93"/>
    <w:rsid w:val="F7BB70DE"/>
    <w:rsid w:val="F7BBED5D"/>
    <w:rsid w:val="F7CC67AC"/>
    <w:rsid w:val="F7D3F476"/>
    <w:rsid w:val="F7E5AD42"/>
    <w:rsid w:val="F7ED8D6A"/>
    <w:rsid w:val="F7EE4957"/>
    <w:rsid w:val="F7EF6EDD"/>
    <w:rsid w:val="F7F31C19"/>
    <w:rsid w:val="F7FB8E1D"/>
    <w:rsid w:val="F7FD8EB0"/>
    <w:rsid w:val="F7FEAE49"/>
    <w:rsid w:val="F7FF6EC9"/>
    <w:rsid w:val="F8B79D00"/>
    <w:rsid w:val="F91B437E"/>
    <w:rsid w:val="F95ED9FF"/>
    <w:rsid w:val="F9FEB395"/>
    <w:rsid w:val="FA4B2177"/>
    <w:rsid w:val="FA9F7956"/>
    <w:rsid w:val="FABEC087"/>
    <w:rsid w:val="FAD6C643"/>
    <w:rsid w:val="FADB83BE"/>
    <w:rsid w:val="FAEE3809"/>
    <w:rsid w:val="FAF967F1"/>
    <w:rsid w:val="FAFB0087"/>
    <w:rsid w:val="FAFF9665"/>
    <w:rsid w:val="FB17A925"/>
    <w:rsid w:val="FB5B65E4"/>
    <w:rsid w:val="FB7B8F77"/>
    <w:rsid w:val="FB7C20FB"/>
    <w:rsid w:val="FB8A133E"/>
    <w:rsid w:val="FB9ECED4"/>
    <w:rsid w:val="FBDD7B5F"/>
    <w:rsid w:val="FBEB79B5"/>
    <w:rsid w:val="FBEF6D34"/>
    <w:rsid w:val="FBEF7BA5"/>
    <w:rsid w:val="FBF7765D"/>
    <w:rsid w:val="FBFA8CF6"/>
    <w:rsid w:val="FBFE9D49"/>
    <w:rsid w:val="FBFEDC68"/>
    <w:rsid w:val="FBFF1EF8"/>
    <w:rsid w:val="FBFFB0E0"/>
    <w:rsid w:val="FC6B1644"/>
    <w:rsid w:val="FCBA280E"/>
    <w:rsid w:val="FCCA1827"/>
    <w:rsid w:val="FCCBDD08"/>
    <w:rsid w:val="FCDF0DE9"/>
    <w:rsid w:val="FCEF4264"/>
    <w:rsid w:val="FCFE4866"/>
    <w:rsid w:val="FD3B4E74"/>
    <w:rsid w:val="FD3F8404"/>
    <w:rsid w:val="FD574C8B"/>
    <w:rsid w:val="FD5F4E7B"/>
    <w:rsid w:val="FD7B2C7B"/>
    <w:rsid w:val="FDAFC534"/>
    <w:rsid w:val="FDB95A78"/>
    <w:rsid w:val="FDBFAD6E"/>
    <w:rsid w:val="FDEF78CF"/>
    <w:rsid w:val="FDEF795C"/>
    <w:rsid w:val="FDF148B3"/>
    <w:rsid w:val="FDF5557D"/>
    <w:rsid w:val="FDF5C5CE"/>
    <w:rsid w:val="FDF7070C"/>
    <w:rsid w:val="FDFBC049"/>
    <w:rsid w:val="FDFC6EC5"/>
    <w:rsid w:val="FDFDCC5F"/>
    <w:rsid w:val="FDFECDEC"/>
    <w:rsid w:val="FDFFC0C1"/>
    <w:rsid w:val="FE5EF1B6"/>
    <w:rsid w:val="FE779128"/>
    <w:rsid w:val="FE7FBE39"/>
    <w:rsid w:val="FEAF2FA4"/>
    <w:rsid w:val="FEBF3C52"/>
    <w:rsid w:val="FEDB2417"/>
    <w:rsid w:val="FEDBBFF5"/>
    <w:rsid w:val="FEEB96A0"/>
    <w:rsid w:val="FEF73FEA"/>
    <w:rsid w:val="FEF903B9"/>
    <w:rsid w:val="FEFDCF3F"/>
    <w:rsid w:val="FEFE4970"/>
    <w:rsid w:val="FEFE6AD8"/>
    <w:rsid w:val="FEFF2285"/>
    <w:rsid w:val="FEFF856B"/>
    <w:rsid w:val="FEFFA4F7"/>
    <w:rsid w:val="FF0D836E"/>
    <w:rsid w:val="FF1FB555"/>
    <w:rsid w:val="FF33478D"/>
    <w:rsid w:val="FF3D50EE"/>
    <w:rsid w:val="FF5F2C24"/>
    <w:rsid w:val="FF5F3135"/>
    <w:rsid w:val="FF5FB863"/>
    <w:rsid w:val="FF63B275"/>
    <w:rsid w:val="FF673A62"/>
    <w:rsid w:val="FF6BA776"/>
    <w:rsid w:val="FF6D211C"/>
    <w:rsid w:val="FF6EE64D"/>
    <w:rsid w:val="FF6F8070"/>
    <w:rsid w:val="FF7B2964"/>
    <w:rsid w:val="FF7CE5AD"/>
    <w:rsid w:val="FF7D6CCC"/>
    <w:rsid w:val="FF7FEFE7"/>
    <w:rsid w:val="FF83C57D"/>
    <w:rsid w:val="FFAB4D67"/>
    <w:rsid w:val="FFAEB30E"/>
    <w:rsid w:val="FFAEC74A"/>
    <w:rsid w:val="FFB5FD1B"/>
    <w:rsid w:val="FFB75606"/>
    <w:rsid w:val="FFBDA7B4"/>
    <w:rsid w:val="FFBE84DB"/>
    <w:rsid w:val="FFBF245F"/>
    <w:rsid w:val="FFBF2F32"/>
    <w:rsid w:val="FFBFB555"/>
    <w:rsid w:val="FFCD9307"/>
    <w:rsid w:val="FFD5F85A"/>
    <w:rsid w:val="FFDB9E6E"/>
    <w:rsid w:val="FFDF16E1"/>
    <w:rsid w:val="FFDFBED6"/>
    <w:rsid w:val="FFDFD597"/>
    <w:rsid w:val="FFE7BB70"/>
    <w:rsid w:val="FFE9D6A8"/>
    <w:rsid w:val="FFEBEC7B"/>
    <w:rsid w:val="FFEF9DE1"/>
    <w:rsid w:val="FFEFD69E"/>
    <w:rsid w:val="FFF065AB"/>
    <w:rsid w:val="FFF13109"/>
    <w:rsid w:val="FFF167B4"/>
    <w:rsid w:val="FFF3290E"/>
    <w:rsid w:val="FFF3B699"/>
    <w:rsid w:val="FFF7DD9A"/>
    <w:rsid w:val="FFFDFFF4"/>
    <w:rsid w:val="FFFE4E3B"/>
    <w:rsid w:val="FFFEC59D"/>
    <w:rsid w:val="FFFF00E8"/>
    <w:rsid w:val="FFFF02AB"/>
    <w:rsid w:val="FFFF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paragraph" w:customStyle="1" w:styleId="9">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text1"/>
    <w:qFormat/>
    <w:uiPriority w:val="0"/>
  </w:style>
  <w:style w:type="character" w:customStyle="1" w:styleId="12">
    <w:name w:val="页眉 Char"/>
    <w:basedOn w:val="6"/>
    <w:link w:val="4"/>
    <w:qFormat/>
    <w:uiPriority w:val="99"/>
    <w:rPr>
      <w:rFonts w:ascii="Times New Roman" w:hAnsi="Times New Roman" w:eastAsia="宋体" w:cs="Times New Roman"/>
      <w:sz w:val="18"/>
      <w:szCs w:val="18"/>
    </w:rPr>
  </w:style>
  <w:style w:type="paragraph" w:customStyle="1" w:styleId="13">
    <w:name w:val="Char"/>
    <w:basedOn w:val="1"/>
    <w:qFormat/>
    <w:uiPriority w:val="0"/>
    <w:pPr>
      <w:spacing w:line="360" w:lineRule="auto"/>
      <w:ind w:firstLine="200" w:firstLineChars="200"/>
    </w:pPr>
  </w:style>
  <w:style w:type="character" w:customStyle="1" w:styleId="14">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greatwall/&#26700;&#38754;/&#32508;&#21512;&#31185;&#25991;&#20214;%20/&#32479;&#35745;&#20844;&#25253;/2021&#24180;&#20844;&#25253;/&#32508;&#21512;&#31185;/&#25968;&#25454;&#22270;.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greatwall/&#26700;&#38754;/&#32508;&#21512;&#31185;&#25991;&#20214;%20/&#32479;&#35745;&#20844;&#25253;/2021&#24180;&#20844;&#25253;/&#32508;&#21512;&#31185;/&#25968;&#25454;&#22270;.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greatwall/&#26700;&#38754;/&#32508;&#21512;&#31185;&#25991;&#20214;%20/&#32479;&#35745;&#20844;&#25253;/2021&#24180;&#20844;&#25253;/&#32508;&#21512;&#31185;/&#25968;&#25454;&#2227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0"/>
          <c:order val="0"/>
          <c:tx>
            <c:strRef>
              <c:f>[数据图.et]Sheet1!$A$4</c:f>
              <c:strCache>
                <c:ptCount val="1"/>
                <c:pt idx="0">
                  <c:v>增速（%）</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[数据图.et]Sheet1!$B$2:$F$2</c:f>
              <c:numCache>
                <c:formatCode>General</c:formatCode>
                <c:ptCount val="5"/>
                <c:pt idx="0">
                  <c:v>2017</c:v>
                </c:pt>
                <c:pt idx="1">
                  <c:v>2018</c:v>
                </c:pt>
                <c:pt idx="2">
                  <c:v>2019</c:v>
                </c:pt>
                <c:pt idx="3">
                  <c:v>2020</c:v>
                </c:pt>
                <c:pt idx="4">
                  <c:v>2021</c:v>
                </c:pt>
              </c:numCache>
            </c:numRef>
          </c:cat>
          <c:val>
            <c:numRef>
              <c:f>[数据图.et]Sheet1!$B$4:$F$4</c:f>
              <c:numCache>
                <c:formatCode>General</c:formatCode>
                <c:ptCount val="5"/>
                <c:pt idx="0">
                  <c:v>-3</c:v>
                </c:pt>
                <c:pt idx="1">
                  <c:v>-3.3</c:v>
                </c:pt>
                <c:pt idx="2" c:formatCode="0.0_ ">
                  <c:v>7.05361527717669</c:v>
                </c:pt>
                <c:pt idx="3" c:formatCode="0.0_ ">
                  <c:v>1.70455270403647</c:v>
                </c:pt>
                <c:pt idx="4" c:formatCode="0.0_ ">
                  <c:v>6.25206944247097</c:v>
                </c:pt>
              </c:numCache>
            </c:numRef>
          </c:val>
          <c:smooth val="false"/>
        </c:ser>
        <c:dLbls>
          <c:showLegendKey val="false"/>
          <c:showVal val="true"/>
          <c:showCatName val="false"/>
          <c:showSerName val="false"/>
          <c:showPercent val="false"/>
          <c:showBubbleSize val="false"/>
        </c:dLbls>
        <c:marker val="true"/>
        <c:smooth val="false"/>
        <c:axId val="441526259"/>
        <c:axId val="98960649"/>
      </c:lineChart>
      <c:dateAx>
        <c:axId val="441526259"/>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forceAA="false"/>
          <a:lstStyle/>
          <a:p>
            <a:pPr>
              <a:defRPr lang="zh-CN" sz="900" b="0" i="0" u="none" strike="noStrike" kern="1200" baseline="0">
                <a:solidFill>
                  <a:sysClr val="windowText" lastClr="000000"/>
                </a:solidFill>
                <a:latin typeface="+mn-lt"/>
                <a:ea typeface="+mn-ea"/>
                <a:cs typeface="+mn-cs"/>
              </a:defRPr>
            </a:pPr>
          </a:p>
        </c:txPr>
        <c:crossAx val="98960649"/>
        <c:crossesAt val="-4"/>
        <c:auto val="true"/>
        <c:lblAlgn val="ctr"/>
        <c:lblOffset val="100"/>
        <c:baseTimeUnit val="days"/>
      </c:dateAx>
      <c:valAx>
        <c:axId val="98960649"/>
        <c:scaling>
          <c:orientation val="minMax"/>
          <c:max val="10"/>
        </c:scaling>
        <c:delete val="false"/>
        <c:axPos val="l"/>
        <c:majorGridlines>
          <c:spPr>
            <a:ln w="9525" cap="flat" cmpd="sng" algn="ctr">
              <a:solidFill>
                <a:schemeClr val="tx1">
                  <a:lumMod val="15000"/>
                  <a:lumOff val="85000"/>
                </a:schemeClr>
              </a:solidFill>
              <a:round/>
            </a:ln>
            <a:effectLst/>
          </c:spPr>
        </c:majorGridlines>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441526259"/>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percentStacked"/>
        <c:varyColors val="false"/>
        <c:ser>
          <c:idx val="0"/>
          <c:order val="0"/>
          <c:tx>
            <c:strRef>
              <c:f>[数据图.et]Sheet1!$A$8</c:f>
              <c:strCache>
                <c:ptCount val="1"/>
                <c:pt idx="0">
                  <c:v>第一产业</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[数据图.et]Sheet1!$B$2:$F$2</c:f>
              <c:numCache>
                <c:formatCode>General</c:formatCode>
                <c:ptCount val="5"/>
                <c:pt idx="0">
                  <c:v>2017</c:v>
                </c:pt>
                <c:pt idx="1">
                  <c:v>2018</c:v>
                </c:pt>
                <c:pt idx="2">
                  <c:v>2019</c:v>
                </c:pt>
                <c:pt idx="3">
                  <c:v>2020</c:v>
                </c:pt>
                <c:pt idx="4">
                  <c:v>2021</c:v>
                </c:pt>
              </c:numCache>
            </c:numRef>
          </c:cat>
          <c:val>
            <c:numRef>
              <c:f>[数据图.et]Sheet1!$B$8:$F$8</c:f>
              <c:numCache>
                <c:formatCode>0.0_ </c:formatCode>
                <c:ptCount val="5"/>
                <c:pt idx="0">
                  <c:v>0.968920106520938</c:v>
                </c:pt>
                <c:pt idx="1">
                  <c:v>1.0566893841397</c:v>
                </c:pt>
                <c:pt idx="2">
                  <c:v>1.00011859983709</c:v>
                </c:pt>
                <c:pt idx="3">
                  <c:v>1.2419909077824</c:v>
                </c:pt>
                <c:pt idx="4">
                  <c:v>0.836276004140444</c:v>
                </c:pt>
              </c:numCache>
            </c:numRef>
          </c:val>
        </c:ser>
        <c:ser>
          <c:idx val="1"/>
          <c:order val="1"/>
          <c:tx>
            <c:strRef>
              <c:f>[数据图.et]Sheet1!$A$9</c:f>
              <c:strCache>
                <c:ptCount val="1"/>
                <c:pt idx="0">
                  <c:v>第二产业</c:v>
                </c:pt>
              </c:strCache>
            </c:strRef>
          </c:tx>
          <c:spPr>
            <a:pattFill prst="dkDnDiag">
              <a:fgClr>
                <a:schemeClr val="accent2"/>
              </a:fgClr>
              <a:bgClr>
                <a:schemeClr val="bg1"/>
              </a:bgClr>
            </a:patt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[数据图.et]Sheet1!$B$2:$F$2</c:f>
              <c:numCache>
                <c:formatCode>General</c:formatCode>
                <c:ptCount val="5"/>
                <c:pt idx="0">
                  <c:v>2017</c:v>
                </c:pt>
                <c:pt idx="1">
                  <c:v>2018</c:v>
                </c:pt>
                <c:pt idx="2">
                  <c:v>2019</c:v>
                </c:pt>
                <c:pt idx="3">
                  <c:v>2020</c:v>
                </c:pt>
                <c:pt idx="4">
                  <c:v>2021</c:v>
                </c:pt>
              </c:numCache>
            </c:numRef>
          </c:cat>
          <c:val>
            <c:numRef>
              <c:f>[数据图.et]Sheet1!$B$9:$F$9</c:f>
              <c:numCache>
                <c:formatCode>0.0_ </c:formatCode>
                <c:ptCount val="5"/>
                <c:pt idx="0">
                  <c:v>42.0878740020267</c:v>
                </c:pt>
                <c:pt idx="1">
                  <c:v>40.9519003368846</c:v>
                </c:pt>
                <c:pt idx="2">
                  <c:v>37.3475434754407</c:v>
                </c:pt>
                <c:pt idx="3">
                  <c:v>33.4189003599021</c:v>
                </c:pt>
                <c:pt idx="4">
                  <c:v>42.7707430224784</c:v>
                </c:pt>
              </c:numCache>
            </c:numRef>
          </c:val>
        </c:ser>
        <c:ser>
          <c:idx val="2"/>
          <c:order val="2"/>
          <c:tx>
            <c:strRef>
              <c:f>[数据图.et]Sheet1!$A$10</c:f>
              <c:strCache>
                <c:ptCount val="1"/>
                <c:pt idx="0">
                  <c:v>第三产业</c:v>
                </c:pt>
              </c:strCache>
            </c:strRef>
          </c:tx>
          <c:spPr>
            <a:pattFill prst="ltVert">
              <a:fgClr>
                <a:schemeClr val="accent6"/>
              </a:fgClr>
              <a:bgClr>
                <a:schemeClr val="bg1"/>
              </a:bgClr>
            </a:pattFill>
            <a:ln>
              <a:noFill/>
            </a:ln>
            <a:effectLst/>
          </c:spPr>
          <c:invertIfNegative val="false"/>
          <c:dPt>
            <c:idx val="0"/>
            <c:invertIfNegative val="false"/>
            <c:bubble3D val="false"/>
            <c:spPr>
              <a:pattFill prst="ltVert">
                <a:fgClr>
                  <a:schemeClr val="accent6"/>
                </a:fgClr>
                <a:bgClr>
                  <a:schemeClr val="bg1"/>
                </a:bgClr>
              </a:pattFill>
              <a:ln w="12700" cmpd="sng">
                <a:solidFill>
                  <a:schemeClr val="accent1"/>
                </a:solidFill>
                <a:prstDash val="sysDot"/>
              </a:ln>
              <a:effectLst/>
            </c:spPr>
          </c:dPt>
          <c:dPt>
            <c:idx val="1"/>
            <c:invertIfNegative val="false"/>
            <c:bubble3D val="false"/>
          </c:dPt>
          <c:dPt>
            <c:idx val="2"/>
            <c:invertIfNegative val="false"/>
            <c:bubble3D val="false"/>
          </c:dPt>
          <c:dPt>
            <c:idx val="3"/>
            <c:invertIfNegative val="false"/>
            <c:bubble3D val="false"/>
          </c:dPt>
          <c:dPt>
            <c:idx val="4"/>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[数据图.et]Sheet1!$B$2:$F$2</c:f>
              <c:numCache>
                <c:formatCode>General</c:formatCode>
                <c:ptCount val="5"/>
                <c:pt idx="0">
                  <c:v>2017</c:v>
                </c:pt>
                <c:pt idx="1">
                  <c:v>2018</c:v>
                </c:pt>
                <c:pt idx="2">
                  <c:v>2019</c:v>
                </c:pt>
                <c:pt idx="3">
                  <c:v>2020</c:v>
                </c:pt>
                <c:pt idx="4">
                  <c:v>2021</c:v>
                </c:pt>
              </c:numCache>
            </c:numRef>
          </c:cat>
          <c:val>
            <c:numRef>
              <c:f>[数据图.et]Sheet1!$B$10:$F$10</c:f>
              <c:numCache>
                <c:formatCode>0.0_ </c:formatCode>
                <c:ptCount val="5"/>
                <c:pt idx="0">
                  <c:v>56.9428322383986</c:v>
                </c:pt>
                <c:pt idx="1">
                  <c:v>57.9914102789757</c:v>
                </c:pt>
                <c:pt idx="2">
                  <c:v>61.6523379247221</c:v>
                </c:pt>
                <c:pt idx="3">
                  <c:v>65.3391087323154</c:v>
                </c:pt>
                <c:pt idx="4">
                  <c:v>56.3929809733812</c:v>
                </c:pt>
              </c:numCache>
            </c:numRef>
          </c:val>
        </c:ser>
        <c:dLbls>
          <c:showLegendKey val="false"/>
          <c:showVal val="true"/>
          <c:showCatName val="false"/>
          <c:showSerName val="false"/>
          <c:showPercent val="false"/>
          <c:showBubbleSize val="false"/>
        </c:dLbls>
        <c:gapWidth val="150"/>
        <c:overlap val="100"/>
        <c:axId val="208758978"/>
        <c:axId val="328512206"/>
      </c:barChart>
      <c:catAx>
        <c:axId val="20875897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328512206"/>
        <c:crosses val="autoZero"/>
        <c:auto val="true"/>
        <c:lblAlgn val="ctr"/>
        <c:lblOffset val="100"/>
        <c:noMultiLvlLbl val="false"/>
      </c:catAx>
      <c:valAx>
        <c:axId val="328512206"/>
        <c:scaling>
          <c:orientation val="minMax"/>
        </c:scaling>
        <c:delete val="false"/>
        <c:axPos val="l"/>
        <c:majorGridlines>
          <c:spPr>
            <a:ln w="9525" cap="flat" cmpd="sng" algn="ctr">
              <a:solidFill>
                <a:schemeClr val="tx1">
                  <a:lumMod val="15000"/>
                  <a:lumOff val="85000"/>
                </a:schemeClr>
              </a:solidFill>
              <a:round/>
            </a:ln>
            <a:effectLst/>
          </c:spPr>
        </c:majorGridlines>
        <c:numFmt formatCode="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208758978"/>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[数据图.et]收入!$A$3</c:f>
              <c:strCache>
                <c:ptCount val="1"/>
                <c:pt idx="0">
                  <c:v>居民人均可支配收入（元）</c:v>
                </c:pt>
              </c:strCache>
            </c:strRef>
          </c:tx>
          <c:spPr>
            <a:solidFill>
              <a:schemeClr val="accent6"/>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[数据图.et]收入!$B$2:$F$2</c:f>
              <c:numCache>
                <c:formatCode>General</c:formatCode>
                <c:ptCount val="5"/>
                <c:pt idx="0">
                  <c:v>2017</c:v>
                </c:pt>
                <c:pt idx="1">
                  <c:v>2018</c:v>
                </c:pt>
                <c:pt idx="2">
                  <c:v>2019</c:v>
                </c:pt>
                <c:pt idx="3">
                  <c:v>2020</c:v>
                </c:pt>
                <c:pt idx="4">
                  <c:v>2021</c:v>
                </c:pt>
              </c:numCache>
            </c:numRef>
          </c:cat>
          <c:val>
            <c:numRef>
              <c:f>[数据图.et]收入!$B$3:$F$3</c:f>
              <c:numCache>
                <c:formatCode>General</c:formatCode>
                <c:ptCount val="5"/>
                <c:pt idx="0">
                  <c:v>35274</c:v>
                </c:pt>
                <c:pt idx="1">
                  <c:v>37693</c:v>
                </c:pt>
                <c:pt idx="2">
                  <c:v>39369</c:v>
                </c:pt>
                <c:pt idx="3" c:formatCode="0_ ">
                  <c:v>40686.2004508769</c:v>
                </c:pt>
                <c:pt idx="4">
                  <c:v>43834</c:v>
                </c:pt>
              </c:numCache>
            </c:numRef>
          </c:val>
        </c:ser>
        <c:dLbls>
          <c:showLegendKey val="false"/>
          <c:showVal val="true"/>
          <c:showCatName val="false"/>
          <c:showSerName val="false"/>
          <c:showPercent val="false"/>
          <c:showBubbleSize val="false"/>
        </c:dLbls>
        <c:gapWidth val="219"/>
        <c:overlap val="-27"/>
        <c:axId val="336524569"/>
        <c:axId val="118776077"/>
      </c:barChart>
      <c:lineChart>
        <c:grouping val="standard"/>
        <c:varyColors val="false"/>
        <c:ser>
          <c:idx val="1"/>
          <c:order val="1"/>
          <c:tx>
            <c:strRef>
              <c:f>[数据图.et]收入!$A$4</c:f>
              <c:strCache>
                <c:ptCount val="1"/>
                <c:pt idx="0">
                  <c:v>增速（%）</c:v>
                </c:pt>
              </c:strCache>
            </c:strRef>
          </c:tx>
          <c:spPr>
            <a:ln w="28575" cap="rnd">
              <a:solidFill>
                <a:schemeClr val="accent2"/>
              </a:solidFill>
              <a:round/>
            </a:ln>
            <a:effectLst/>
          </c:spPr>
          <c:marker>
            <c:symbol val="none"/>
          </c:marker>
          <c:dLbls>
            <c:dLbl>
              <c:idx val="1"/>
              <c:layout>
                <c:manualLayout>
                  <c:x val="0.00967117988394584"/>
                  <c:y val="0.079646017699115"/>
                </c:manualLayout>
              </c:layout>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[数据图.et]收入!$B$2:$F$2</c:f>
              <c:numCache>
                <c:formatCode>General</c:formatCode>
                <c:ptCount val="5"/>
                <c:pt idx="0">
                  <c:v>2017</c:v>
                </c:pt>
                <c:pt idx="1">
                  <c:v>2018</c:v>
                </c:pt>
                <c:pt idx="2">
                  <c:v>2019</c:v>
                </c:pt>
                <c:pt idx="3">
                  <c:v>2020</c:v>
                </c:pt>
                <c:pt idx="4">
                  <c:v>2021</c:v>
                </c:pt>
              </c:numCache>
            </c:numRef>
          </c:cat>
          <c:val>
            <c:numRef>
              <c:f>[数据图.et]收入!$B$4:$F$4</c:f>
              <c:numCache>
                <c:formatCode>0.0_ </c:formatCode>
                <c:ptCount val="5"/>
                <c:pt idx="0">
                  <c:v>8.39863556743801</c:v>
                </c:pt>
                <c:pt idx="1" c:formatCode="General">
                  <c:v>6.9</c:v>
                </c:pt>
                <c:pt idx="2">
                  <c:v>7.31049145473874</c:v>
                </c:pt>
                <c:pt idx="3">
                  <c:v>3.34529733383857</c:v>
                </c:pt>
                <c:pt idx="4">
                  <c:v>7.73677442041713</c:v>
                </c:pt>
              </c:numCache>
            </c:numRef>
          </c:val>
          <c:smooth val="false"/>
        </c:ser>
        <c:dLbls>
          <c:showLegendKey val="false"/>
          <c:showVal val="true"/>
          <c:showCatName val="false"/>
          <c:showSerName val="false"/>
          <c:showPercent val="false"/>
          <c:showBubbleSize val="false"/>
        </c:dLbls>
        <c:marker val="false"/>
        <c:smooth val="false"/>
        <c:axId val="317786133"/>
        <c:axId val="81899554"/>
      </c:lineChart>
      <c:catAx>
        <c:axId val="33652456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118776077"/>
        <c:crosses val="autoZero"/>
        <c:auto val="true"/>
        <c:lblAlgn val="ctr"/>
        <c:lblOffset val="100"/>
        <c:noMultiLvlLbl val="false"/>
      </c:catAx>
      <c:valAx>
        <c:axId val="118776077"/>
        <c:scaling>
          <c:orientation val="minMax"/>
          <c:min val="320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336524569"/>
        <c:crosses val="autoZero"/>
        <c:crossBetween val="between"/>
      </c:valAx>
      <c:catAx>
        <c:axId val="317786133"/>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81899554"/>
        <c:crosses val="autoZero"/>
        <c:auto val="true"/>
        <c:lblAlgn val="ctr"/>
        <c:lblOffset val="100"/>
        <c:noMultiLvlLbl val="false"/>
      </c:catAx>
      <c:valAx>
        <c:axId val="81899554"/>
        <c:scaling>
          <c:orientation val="minMax"/>
          <c:max val="18"/>
        </c:scaling>
        <c:delete val="false"/>
        <c:axPos val="r"/>
        <c:numFmt formatCode="0_);[Red]\(0\)" sourceLinked="fals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crossAx val="317786133"/>
        <c:crosses val="max"/>
        <c:crossBetween val="between"/>
        <c:majorUnit val="2"/>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743</Words>
  <Characters>4238</Characters>
  <Lines>35</Lines>
  <Paragraphs>9</Paragraphs>
  <TotalTime>52</TotalTime>
  <ScaleCrop>false</ScaleCrop>
  <LinksUpToDate>false</LinksUpToDate>
  <CharactersWithSpaces>4972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2017-03-11T09:24:00Z</dcterms:created>
  <dc:creator>微软用户</dc:creator>
  <cp:lastModifiedBy>greatwall</cp:lastModifiedBy>
  <cp:lastPrinted>2022-04-26T09:53:51Z</cp:lastPrinted>
  <dcterms:modified xsi:type="dcterms:W3CDTF">2022-04-26T10:07:01Z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