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天津市津南区双林街社区卫生服务中心</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hint="eastAsia" w:ascii="仿宋_GB2312" w:hAnsi="Times New Roman" w:eastAsia="仿宋_GB2312"/>
          <w:sz w:val="30"/>
          <w:szCs w:val="30"/>
          <w:lang w:eastAsia="zh-CN"/>
        </w:rPr>
      </w:pPr>
      <w:bookmarkStart w:id="2" w:name="_Toc17388"/>
      <w:r>
        <w:rPr>
          <w:rFonts w:hint="eastAsia" w:ascii="仿宋_GB2312" w:hAnsi="Times New Roman" w:eastAsia="仿宋_GB2312"/>
          <w:sz w:val="30"/>
          <w:szCs w:val="30"/>
          <w:lang w:eastAsia="zh-CN"/>
        </w:rPr>
        <w:t>承担疾病预防等公共卫生服务和一般常见病、多发病的基本医疗服务；负责社区预防、保健医疗、康复、健康教育、计划生育等工作。</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天津市津南区双林街社区卫生服务中心部门</w:t>
      </w:r>
      <w:r>
        <w:rPr>
          <w:rFonts w:eastAsia="仿宋_GB2312"/>
          <w:sz w:val="30"/>
          <w:szCs w:val="30"/>
        </w:rPr>
        <w:t>内设</w:t>
      </w:r>
      <w:r>
        <w:rPr>
          <w:rFonts w:hint="eastAsia" w:eastAsia="仿宋_GB2312"/>
          <w:sz w:val="30"/>
          <w:szCs w:val="30"/>
          <w:u w:val="none"/>
          <w:lang w:val="en-US" w:eastAsia="zh-CN"/>
        </w:rPr>
        <w:t>23</w:t>
      </w:r>
      <w:r>
        <w:rPr>
          <w:rFonts w:eastAsia="仿宋_GB2312"/>
          <w:sz w:val="30"/>
          <w:szCs w:val="30"/>
        </w:rPr>
        <w:t>个职能处室</w:t>
      </w:r>
      <w:r>
        <w:rPr>
          <w:rFonts w:hint="eastAsia" w:ascii="仿宋_GB2312" w:eastAsia="仿宋_GB2312" w:cs="仿宋_GB2312"/>
          <w:sz w:val="30"/>
          <w:szCs w:val="30"/>
        </w:rPr>
        <w:t>。</w:t>
      </w:r>
    </w:p>
    <w:p>
      <w:pPr>
        <w:spacing w:line="600" w:lineRule="exact"/>
        <w:rPr>
          <w:rFonts w:hint="eastAsia" w:eastAsia="楷体_GB2312"/>
          <w:b/>
          <w:sz w:val="30"/>
          <w:szCs w:val="30"/>
          <w:lang w:eastAsia="zh-CN"/>
        </w:rPr>
      </w:pPr>
    </w:p>
    <w:p>
      <w:pPr>
        <w:spacing w:line="600" w:lineRule="exact"/>
        <w:rPr>
          <w:rFonts w:hint="eastAsia" w:eastAsia="楷体_GB2312"/>
          <w:b/>
          <w:sz w:val="30"/>
          <w:szCs w:val="30"/>
          <w:lang w:eastAsia="zh-CN"/>
        </w:rPr>
        <w:sectPr>
          <w:footerReference r:id="rId8" w:type="default"/>
          <w:pgSz w:w="11906" w:h="16838"/>
          <w:pgMar w:top="1440" w:right="1800" w:bottom="1440" w:left="1800" w:header="851" w:footer="992" w:gutter="0"/>
          <w:pgNumType w:start="1"/>
          <w:cols w:space="720" w:num="1"/>
          <w:docGrid w:type="lines" w:linePitch="312" w:charSpace="0"/>
        </w:sectPr>
      </w:pP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天津市津南区双林街社区卫生服务中心2022年度政府性基金预算财政拨款收入支出决算表为空表。</w:t>
      </w:r>
    </w:p>
    <w:p>
      <w:pPr>
        <w:spacing w:line="600" w:lineRule="exact"/>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天津市津南区双林街社区卫生服务中心2022年度国有资本经营预算财政拨款收入支出决算表为空表。</w:t>
      </w:r>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天津市津南区双林街社区卫生服务中心2022年度一般公共预算财政拨款“三公”经费支出决算表为空表。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u w:val="none"/>
        </w:rPr>
      </w:pPr>
      <w:r>
        <w:rPr>
          <w:rFonts w:hint="eastAsia" w:eastAsia="仿宋_GB2312"/>
          <w:sz w:val="30"/>
          <w:szCs w:val="30"/>
        </w:rPr>
        <w:t xml:space="preserve">    </w:t>
      </w:r>
      <w:r>
        <w:rPr>
          <w:rFonts w:hint="eastAsia" w:ascii="仿宋_GB2312" w:eastAsia="仿宋_GB2312" w:cs="仿宋_GB2312"/>
          <w:sz w:val="30"/>
          <w:szCs w:val="30"/>
        </w:rPr>
        <w:t>天津市津南区双林街社区卫生服务中心</w:t>
      </w:r>
      <w:r>
        <w:rPr>
          <w:rFonts w:hint="eastAsia" w:eastAsia="楷体"/>
          <w:sz w:val="30"/>
          <w:szCs w:val="30"/>
        </w:rPr>
        <w:t>2022</w:t>
      </w:r>
      <w:r>
        <w:rPr>
          <w:rFonts w:hint="eastAsia" w:ascii="仿宋_GB2312" w:eastAsia="仿宋_GB2312" w:cs="仿宋_GB2312"/>
          <w:sz w:val="30"/>
          <w:szCs w:val="30"/>
        </w:rPr>
        <w:t>年度收入、支出决算总计8724461.54元。与2021年度相比，收、支总计各增加8724461.54元，增长100.00%，主要原因是</w:t>
      </w:r>
      <w:r>
        <w:rPr>
          <w:rFonts w:eastAsia="仿宋_GB2312"/>
          <w:sz w:val="30"/>
          <w:szCs w:val="30"/>
          <w:u w:val="none"/>
        </w:rPr>
        <w:t xml:space="preserve"> </w:t>
      </w:r>
      <w:r>
        <w:rPr>
          <w:rFonts w:hint="eastAsia" w:eastAsia="仿宋_GB2312"/>
          <w:sz w:val="30"/>
          <w:szCs w:val="30"/>
          <w:u w:val="none"/>
          <w:lang w:val="en-US" w:eastAsia="zh-CN"/>
        </w:rPr>
        <w:t>中心成立于2021年8月，且当年没有资金运转，2021年没有可比数据。</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天津市津南区双林街社区卫生服务中心</w:t>
      </w:r>
      <w:r>
        <w:rPr>
          <w:rFonts w:hint="eastAsia" w:eastAsia="楷体"/>
          <w:sz w:val="30"/>
          <w:szCs w:val="30"/>
        </w:rPr>
        <w:t>2022</w:t>
      </w:r>
      <w:r>
        <w:rPr>
          <w:rFonts w:hint="eastAsia" w:ascii="仿宋_GB2312" w:eastAsia="仿宋_GB2312" w:cs="仿宋_GB2312"/>
          <w:sz w:val="30"/>
          <w:szCs w:val="30"/>
        </w:rPr>
        <w:t>年度本年收入合计8724461.54元，与2021年度相比增加8724461.54元，主要原因是</w:t>
      </w:r>
      <w:r>
        <w:rPr>
          <w:rFonts w:eastAsia="仿宋_GB2312"/>
          <w:sz w:val="30"/>
          <w:szCs w:val="30"/>
          <w:u w:val="none"/>
        </w:rPr>
        <w:t xml:space="preserve"> </w:t>
      </w:r>
      <w:r>
        <w:rPr>
          <w:rFonts w:hint="eastAsia" w:eastAsia="仿宋_GB2312"/>
          <w:sz w:val="30"/>
          <w:szCs w:val="30"/>
          <w:u w:val="none"/>
          <w:lang w:val="en-US" w:eastAsia="zh-CN"/>
        </w:rPr>
        <w:t>中心成立于2021年8月，且当年没有资金运转，2021年没有可比数据。</w:t>
      </w:r>
      <w:r>
        <w:rPr>
          <w:rFonts w:hint="eastAsia" w:ascii="仿宋_GB2312" w:eastAsia="仿宋_GB2312" w:cs="仿宋_GB2312"/>
          <w:sz w:val="30"/>
          <w:szCs w:val="30"/>
        </w:rPr>
        <w:t>其中：一般公共预算财政拨款收入8637188.00元，占99.00%；事业单位经营收入87235.50元，占1.00%；其他收入38.04元，占0.00%。</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天津市津南区双林街社区卫生服务中心</w:t>
      </w:r>
      <w:r>
        <w:rPr>
          <w:rFonts w:hint="eastAsia" w:eastAsia="楷体"/>
          <w:sz w:val="30"/>
          <w:szCs w:val="30"/>
        </w:rPr>
        <w:t>2022</w:t>
      </w:r>
      <w:r>
        <w:rPr>
          <w:rFonts w:hint="eastAsia" w:ascii="仿宋_GB2312" w:eastAsia="仿宋_GB2312" w:cs="仿宋_GB2312"/>
          <w:sz w:val="30"/>
          <w:szCs w:val="30"/>
        </w:rPr>
        <w:t>年度本年支出合计8637749.00元，与2021年度相比增加8637749元，主要原因是</w:t>
      </w:r>
      <w:r>
        <w:rPr>
          <w:rFonts w:hint="eastAsia" w:eastAsia="仿宋_GB2312"/>
          <w:sz w:val="30"/>
          <w:szCs w:val="30"/>
          <w:u w:val="none"/>
          <w:lang w:val="en-US" w:eastAsia="zh-CN"/>
        </w:rPr>
        <w:t>中心成立于2021年8月，且当年没有资金运转，2021年没有可比数据。</w:t>
      </w:r>
      <w:r>
        <w:rPr>
          <w:rFonts w:hint="eastAsia" w:ascii="仿宋_GB2312" w:eastAsia="仿宋_GB2312" w:cs="仿宋_GB2312"/>
          <w:sz w:val="30"/>
          <w:szCs w:val="30"/>
        </w:rPr>
        <w:t>其中：基本支出3965797.32元，占45.91%；项目支出4671951.68元，占54.09%。</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u w:val="none"/>
        </w:rPr>
      </w:pPr>
      <w:r>
        <w:rPr>
          <w:rFonts w:hint="eastAsia" w:eastAsia="仿宋_GB2312"/>
          <w:sz w:val="30"/>
          <w:szCs w:val="30"/>
        </w:rPr>
        <w:t xml:space="preserve">   </w:t>
      </w:r>
      <w:r>
        <w:rPr>
          <w:rFonts w:hint="eastAsia" w:eastAsia="仿宋_GB2312"/>
          <w:sz w:val="30"/>
          <w:szCs w:val="30"/>
          <w:lang w:val="en-US" w:eastAsia="zh-CN"/>
        </w:rPr>
        <w:t xml:space="preserve"> </w:t>
      </w:r>
      <w:r>
        <w:rPr>
          <w:rFonts w:hint="eastAsia" w:ascii="仿宋_GB2312" w:eastAsia="仿宋_GB2312" w:cs="仿宋_GB2312"/>
          <w:sz w:val="30"/>
          <w:szCs w:val="30"/>
        </w:rPr>
        <w:t>天津市津南区双林街社区卫生服务中心</w:t>
      </w:r>
      <w:r>
        <w:rPr>
          <w:rFonts w:hint="eastAsia" w:eastAsia="楷体"/>
          <w:sz w:val="30"/>
          <w:szCs w:val="30"/>
        </w:rPr>
        <w:t>2022</w:t>
      </w:r>
      <w:r>
        <w:rPr>
          <w:rFonts w:hint="eastAsia" w:ascii="仿宋_GB2312" w:eastAsia="仿宋_GB2312" w:cs="仿宋_GB2312"/>
          <w:sz w:val="30"/>
          <w:szCs w:val="30"/>
        </w:rPr>
        <w:t>年度财政拨款收入、支出决算总计8637188.00元。与2021年度相比，财政拨款收、支总计各增加8637188元，增长100.00%，主要原因是</w:t>
      </w:r>
      <w:r>
        <w:rPr>
          <w:rFonts w:hint="eastAsia" w:eastAsia="仿宋_GB2312"/>
          <w:sz w:val="30"/>
          <w:szCs w:val="30"/>
          <w:u w:val="none"/>
          <w:lang w:val="en-US" w:eastAsia="zh-CN"/>
        </w:rPr>
        <w:t>中心成立于2021年8月，且当年没有资金运转，2021年没有可比数据。</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rPr>
        <w:t>天津市津南区双林街社区卫生服务中心</w:t>
      </w:r>
      <w:r>
        <w:rPr>
          <w:rFonts w:hint="eastAsia" w:eastAsia="楷体"/>
          <w:sz w:val="30"/>
          <w:szCs w:val="30"/>
        </w:rPr>
        <w:t>2022</w:t>
      </w:r>
      <w:r>
        <w:rPr>
          <w:rFonts w:hint="eastAsia" w:ascii="仿宋_GB2312" w:eastAsia="仿宋_GB2312" w:cs="仿宋_GB2312"/>
          <w:sz w:val="30"/>
          <w:szCs w:val="30"/>
        </w:rPr>
        <w:t>年度一般公共预算财政拨款支出合计8637188.00元，占本年支出合计的99.</w:t>
      </w:r>
      <w:r>
        <w:rPr>
          <w:rFonts w:hint="default" w:ascii="仿宋_GB2312" w:eastAsia="仿宋_GB2312" w:cs="仿宋_GB2312"/>
          <w:sz w:val="30"/>
          <w:szCs w:val="30"/>
          <w:lang w:val="en"/>
        </w:rPr>
        <w:t>99</w:t>
      </w:r>
      <w:r>
        <w:rPr>
          <w:rFonts w:hint="eastAsia" w:ascii="仿宋_GB2312" w:eastAsia="仿宋_GB2312" w:cs="仿宋_GB2312"/>
          <w:sz w:val="30"/>
          <w:szCs w:val="30"/>
        </w:rPr>
        <w:t>%。与2021年度相比，一般公共预算财政拨款支出增加8637188元，增长100.00%，主要原因是</w:t>
      </w:r>
      <w:r>
        <w:rPr>
          <w:rFonts w:hint="eastAsia" w:eastAsia="仿宋_GB2312"/>
          <w:sz w:val="30"/>
          <w:szCs w:val="30"/>
          <w:u w:val="none"/>
          <w:lang w:val="en-US" w:eastAsia="zh-CN"/>
        </w:rPr>
        <w:t>中心成立于2021年8月，且当年没有资金运转，2021年没有可比数据。</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hint="eastAsia" w:ascii="仿宋_GB2312" w:eastAsia="仿宋_GB2312" w:cs="仿宋_GB2312"/>
          <w:sz w:val="30"/>
          <w:szCs w:val="30"/>
          <w:lang w:eastAsia="zh-CN"/>
        </w:rPr>
      </w:pPr>
      <w:r>
        <w:rPr>
          <w:rFonts w:hint="eastAsia" w:eastAsia="楷体"/>
          <w:sz w:val="30"/>
          <w:szCs w:val="30"/>
        </w:rPr>
        <w:t>2022</w:t>
      </w:r>
      <w:r>
        <w:rPr>
          <w:rFonts w:hint="eastAsia" w:ascii="仿宋_GB2312" w:eastAsia="仿宋_GB2312" w:cs="仿宋_GB2312"/>
          <w:sz w:val="30"/>
          <w:szCs w:val="30"/>
        </w:rPr>
        <w:t>年度一般公共预算财政拨款支出8637188.00元，主要用于以下方面：</w:t>
      </w:r>
    </w:p>
    <w:p>
      <w:pPr>
        <w:spacing w:line="600" w:lineRule="exact"/>
        <w:ind w:firstLine="600" w:firstLineChars="200"/>
        <w:jc w:val="both"/>
        <w:rPr>
          <w:rFonts w:hint="eastAsia" w:ascii="仿宋_GB2312" w:eastAsia="仿宋_GB2312" w:cs="仿宋_GB2312"/>
          <w:sz w:val="30"/>
          <w:szCs w:val="30"/>
          <w:lang w:eastAsia="zh-CN"/>
        </w:rPr>
      </w:pPr>
      <w:r>
        <w:rPr>
          <w:rFonts w:hint="eastAsia" w:ascii="仿宋_GB2312" w:eastAsia="仿宋_GB2312" w:cs="仿宋_GB2312"/>
          <w:sz w:val="30"/>
          <w:szCs w:val="30"/>
        </w:rPr>
        <w:t>社会保障和就业支出（类）支出225181.58元，占2.61%；</w:t>
      </w:r>
    </w:p>
    <w:p>
      <w:pPr>
        <w:spacing w:line="600" w:lineRule="exact"/>
        <w:ind w:firstLine="600" w:firstLineChars="200"/>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卫生健康支出（类）支出8262863.42元，占95.67%；</w:t>
      </w:r>
    </w:p>
    <w:p>
      <w:pPr>
        <w:spacing w:line="600" w:lineRule="exact"/>
        <w:ind w:firstLine="600" w:firstLineChars="200"/>
        <w:jc w:val="both"/>
        <w:rPr>
          <w:rFonts w:ascii="仿宋_GB2312" w:eastAsia="仿宋_GB2312" w:cs="仿宋_GB2312"/>
          <w:sz w:val="30"/>
          <w:szCs w:val="30"/>
        </w:rPr>
      </w:pPr>
      <w:r>
        <w:rPr>
          <w:rFonts w:hint="eastAsia" w:ascii="仿宋_GB2312" w:eastAsia="仿宋_GB2312" w:cs="仿宋_GB2312"/>
          <w:sz w:val="30"/>
          <w:szCs w:val="30"/>
        </w:rPr>
        <w:t>住房保障支出（类）支出149143.00元，占1.73%。</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hint="eastAsia" w:ascii="仿宋_GB2312" w:eastAsia="仿宋_GB2312" w:cs="仿宋_GB2312"/>
          <w:sz w:val="30"/>
          <w:szCs w:val="30"/>
          <w:lang w:eastAsia="zh-CN"/>
        </w:rPr>
      </w:pPr>
      <w:r>
        <w:rPr>
          <w:rFonts w:hint="eastAsia" w:eastAsia="楷体"/>
          <w:sz w:val="30"/>
          <w:szCs w:val="30"/>
        </w:rPr>
        <w:t>2022</w:t>
      </w:r>
      <w:r>
        <w:rPr>
          <w:rFonts w:hint="eastAsia" w:ascii="仿宋_GB2312" w:eastAsia="仿宋_GB2312" w:cs="仿宋_GB2312"/>
          <w:sz w:val="30"/>
          <w:szCs w:val="30"/>
        </w:rPr>
        <w:t>年度一般公共预算财政拨款支出年初预算为22574250.58元，支出决算为8637188.00元，完成年初预算的38.26%。其中：</w:t>
      </w:r>
    </w:p>
    <w:p>
      <w:pPr>
        <w:spacing w:line="600" w:lineRule="exact"/>
        <w:ind w:firstLine="600" w:firstLineChars="200"/>
        <w:jc w:val="both"/>
        <w:rPr>
          <w:rFonts w:hint="eastAsia" w:ascii="仿宋_GB2312" w:eastAsia="仿宋_GB2312" w:cs="仿宋_GB2312"/>
          <w:sz w:val="30"/>
          <w:szCs w:val="30"/>
          <w:lang w:eastAsia="zh-CN"/>
        </w:rPr>
      </w:pPr>
      <w:r>
        <w:rPr>
          <w:rFonts w:hint="eastAsia" w:ascii="仿宋_GB2312" w:eastAsia="仿宋_GB2312" w:cs="仿宋_GB2312"/>
          <w:sz w:val="30"/>
          <w:szCs w:val="30"/>
        </w:rPr>
        <w:t>社会保障和就业支出（类）行政事业单位养老支出（款）机关事业单位基本养老保险缴费支出（项）年初预算为</w:t>
      </w:r>
      <w:r>
        <w:rPr>
          <w:rFonts w:hint="eastAsia" w:ascii="仿宋_GB2312" w:eastAsia="仿宋_GB2312" w:cs="仿宋_GB2312"/>
          <w:sz w:val="30"/>
          <w:szCs w:val="30"/>
          <w:u w:val="none"/>
          <w:lang w:val="en-US" w:eastAsia="zh-CN"/>
        </w:rPr>
        <w:t>43013.76</w:t>
      </w:r>
      <w:r>
        <w:rPr>
          <w:rFonts w:hint="eastAsia" w:ascii="仿宋_GB2312" w:eastAsia="仿宋_GB2312" w:cs="仿宋_GB2312"/>
          <w:sz w:val="30"/>
          <w:szCs w:val="30"/>
        </w:rPr>
        <w:t>元，支出决算为150228.46元，完成年初预算数的</w:t>
      </w:r>
      <w:r>
        <w:rPr>
          <w:rFonts w:hint="eastAsia" w:ascii="仿宋_GB2312" w:eastAsia="仿宋_GB2312" w:cs="仿宋_GB2312"/>
          <w:sz w:val="30"/>
          <w:szCs w:val="30"/>
          <w:u w:val="none"/>
          <w:lang w:val="en-US" w:eastAsia="zh-CN"/>
        </w:rPr>
        <w:t>349.26</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2022年初预算按照3人核算，实际支出金额按照17名职工核算</w:t>
      </w:r>
      <w:r>
        <w:rPr>
          <w:rFonts w:hint="eastAsia" w:ascii="仿宋_GB2312" w:eastAsia="仿宋_GB2312" w:cs="仿宋_GB2312"/>
          <w:sz w:val="30"/>
          <w:szCs w:val="30"/>
          <w:u w:val="none"/>
        </w:rPr>
        <w:t>_</w:t>
      </w:r>
      <w:r>
        <w:rPr>
          <w:rFonts w:hint="eastAsia" w:ascii="仿宋_GB2312" w:eastAsia="仿宋_GB2312" w:cs="仿宋_GB2312"/>
          <w:sz w:val="30"/>
          <w:szCs w:val="30"/>
        </w:rPr>
        <w:t>。</w:t>
      </w:r>
    </w:p>
    <w:p>
      <w:pPr>
        <w:spacing w:line="600" w:lineRule="exact"/>
        <w:ind w:firstLine="600" w:firstLineChars="200"/>
        <w:jc w:val="both"/>
        <w:rPr>
          <w:rFonts w:hint="eastAsia" w:ascii="仿宋_GB2312" w:eastAsia="仿宋_GB2312" w:cs="仿宋_GB2312"/>
          <w:sz w:val="30"/>
          <w:szCs w:val="30"/>
          <w:u w:val="none"/>
          <w:lang w:eastAsia="zh-CN"/>
        </w:rPr>
      </w:pPr>
      <w:r>
        <w:rPr>
          <w:rFonts w:hint="eastAsia" w:ascii="仿宋_GB2312" w:eastAsia="仿宋_GB2312" w:cs="仿宋_GB2312"/>
          <w:sz w:val="30"/>
          <w:szCs w:val="30"/>
        </w:rPr>
        <w:t>社会保障和就业支出（类）行政事业单位养老支出（款）机关事业单位职业年金缴费支出（项）年初预算为</w:t>
      </w:r>
      <w:r>
        <w:rPr>
          <w:rFonts w:hint="eastAsia" w:ascii="仿宋_GB2312" w:eastAsia="仿宋_GB2312" w:cs="仿宋_GB2312"/>
          <w:sz w:val="30"/>
          <w:szCs w:val="30"/>
          <w:u w:val="none"/>
        </w:rPr>
        <w:t>_</w:t>
      </w:r>
      <w:r>
        <w:rPr>
          <w:rFonts w:hint="eastAsia" w:ascii="仿宋_GB2312" w:eastAsia="仿宋_GB2312" w:cs="仿宋_GB2312"/>
          <w:sz w:val="30"/>
          <w:szCs w:val="30"/>
          <w:u w:val="none"/>
          <w:lang w:val="en-US" w:eastAsia="zh-CN"/>
        </w:rPr>
        <w:t>21506.88</w:t>
      </w:r>
      <w:r>
        <w:rPr>
          <w:rFonts w:hint="eastAsia" w:ascii="仿宋_GB2312" w:eastAsia="仿宋_GB2312" w:cs="仿宋_GB2312"/>
          <w:sz w:val="30"/>
          <w:szCs w:val="30"/>
        </w:rPr>
        <w:t>元，支出决算为74953.12元，完成年初预算数的</w:t>
      </w:r>
      <w:r>
        <w:rPr>
          <w:rFonts w:hint="eastAsia" w:ascii="仿宋_GB2312" w:eastAsia="仿宋_GB2312" w:cs="仿宋_GB2312"/>
          <w:sz w:val="30"/>
          <w:szCs w:val="30"/>
          <w:u w:val="none"/>
          <w:lang w:val="en-US" w:eastAsia="zh-CN"/>
        </w:rPr>
        <w:t>348.51</w:t>
      </w:r>
      <w:r>
        <w:rPr>
          <w:rFonts w:hint="eastAsia" w:ascii="仿宋_GB2312" w:eastAsia="仿宋_GB2312" w:cs="仿宋_GB2312"/>
          <w:sz w:val="30"/>
          <w:szCs w:val="30"/>
          <w:u w:val="none"/>
        </w:rPr>
        <w:t>%，决算数大于年初预算数的主要原因是_</w:t>
      </w:r>
      <w:r>
        <w:rPr>
          <w:rFonts w:hint="eastAsia" w:ascii="仿宋_GB2312" w:eastAsia="仿宋_GB2312" w:cs="仿宋_GB2312"/>
          <w:sz w:val="30"/>
          <w:szCs w:val="30"/>
          <w:u w:val="none"/>
          <w:lang w:val="en-US" w:eastAsia="zh-CN"/>
        </w:rPr>
        <w:t>2022年初预算按照3人核算，实际支出金额按照17名职工核算</w:t>
      </w:r>
      <w:r>
        <w:rPr>
          <w:rFonts w:hint="eastAsia" w:ascii="仿宋_GB2312" w:eastAsia="仿宋_GB2312" w:cs="仿宋_GB2312"/>
          <w:sz w:val="30"/>
          <w:szCs w:val="30"/>
          <w:u w:val="none"/>
        </w:rPr>
        <w:t>。</w:t>
      </w:r>
    </w:p>
    <w:p>
      <w:pPr>
        <w:spacing w:line="600" w:lineRule="exact"/>
        <w:ind w:firstLine="600" w:firstLineChars="200"/>
        <w:jc w:val="both"/>
        <w:rPr>
          <w:rFonts w:hint="eastAsia" w:ascii="仿宋_GB2312" w:eastAsia="仿宋_GB2312" w:cs="仿宋_GB2312"/>
          <w:sz w:val="30"/>
          <w:szCs w:val="30"/>
          <w:u w:val="none"/>
          <w:lang w:eastAsia="zh-CN"/>
        </w:rPr>
      </w:pPr>
      <w:r>
        <w:rPr>
          <w:rFonts w:hint="eastAsia" w:ascii="仿宋_GB2312" w:eastAsia="仿宋_GB2312" w:cs="仿宋_GB2312"/>
          <w:sz w:val="30"/>
          <w:szCs w:val="30"/>
        </w:rPr>
        <w:t>卫生健康支出（类）卫生健康管理事务（款）其他卫生健康管理事务支出（项）年初预算为</w:t>
      </w:r>
      <w:r>
        <w:rPr>
          <w:rFonts w:hint="eastAsia" w:ascii="仿宋_GB2312" w:eastAsia="仿宋_GB2312" w:cs="仿宋_GB2312"/>
          <w:sz w:val="30"/>
          <w:szCs w:val="30"/>
          <w:u w:val="none"/>
          <w:lang w:val="en-US" w:eastAsia="zh-CN"/>
        </w:rPr>
        <w:t>15481900</w:t>
      </w:r>
      <w:r>
        <w:rPr>
          <w:rFonts w:hint="eastAsia" w:ascii="仿宋_GB2312" w:eastAsia="仿宋_GB2312" w:cs="仿宋_GB2312"/>
          <w:sz w:val="30"/>
          <w:szCs w:val="30"/>
          <w:u w:val="none"/>
        </w:rPr>
        <w:t>元，支出决算为3929528.46元，完成年初预算数的</w:t>
      </w:r>
      <w:r>
        <w:rPr>
          <w:rFonts w:hint="eastAsia" w:ascii="仿宋_GB2312" w:eastAsia="仿宋_GB2312" w:cs="仿宋_GB2312"/>
          <w:sz w:val="30"/>
          <w:szCs w:val="30"/>
          <w:u w:val="none"/>
          <w:lang w:val="en-US" w:eastAsia="zh-CN"/>
        </w:rPr>
        <w:t>25.38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u w:val="none"/>
          <w:lang w:val="en-US" w:eastAsia="zh-CN"/>
        </w:rPr>
        <w:t>疫情原因，造成中心装修进度缓慢，财政资金紧张</w:t>
      </w:r>
      <w:r>
        <w:rPr>
          <w:rFonts w:hint="eastAsia" w:ascii="仿宋_GB2312" w:eastAsia="仿宋_GB2312" w:cs="仿宋_GB2312"/>
          <w:sz w:val="30"/>
          <w:szCs w:val="30"/>
          <w:u w:val="none"/>
        </w:rPr>
        <w:t>。</w:t>
      </w:r>
    </w:p>
    <w:p>
      <w:pPr>
        <w:spacing w:line="600" w:lineRule="exact"/>
        <w:ind w:firstLine="600" w:firstLineChars="200"/>
        <w:jc w:val="both"/>
        <w:rPr>
          <w:rFonts w:hint="eastAsia" w:ascii="仿宋_GB2312" w:eastAsia="仿宋_GB2312" w:cs="仿宋_GB2312"/>
          <w:sz w:val="30"/>
          <w:szCs w:val="30"/>
          <w:u w:val="none"/>
          <w:lang w:eastAsia="zh-CN"/>
        </w:rPr>
      </w:pPr>
      <w:r>
        <w:rPr>
          <w:rFonts w:hint="eastAsia" w:ascii="仿宋_GB2312" w:eastAsia="仿宋_GB2312" w:cs="仿宋_GB2312"/>
          <w:sz w:val="30"/>
          <w:szCs w:val="30"/>
        </w:rPr>
        <w:t>卫生健康支出（类）基层医疗卫生机构（款）城市社区卫生机构（项）年初预算为</w:t>
      </w:r>
      <w:r>
        <w:rPr>
          <w:rFonts w:hint="eastAsia" w:ascii="仿宋_GB2312" w:eastAsia="仿宋_GB2312" w:cs="仿宋_GB2312"/>
          <w:sz w:val="30"/>
          <w:szCs w:val="30"/>
          <w:u w:val="none"/>
          <w:lang w:val="en-US" w:eastAsia="zh-CN"/>
        </w:rPr>
        <w:t>2727026.34</w:t>
      </w:r>
      <w:r>
        <w:rPr>
          <w:rFonts w:hint="eastAsia" w:ascii="仿宋_GB2312" w:eastAsia="仿宋_GB2312" w:cs="仿宋_GB2312"/>
          <w:sz w:val="30"/>
          <w:szCs w:val="30"/>
        </w:rPr>
        <w:t>元，支出决算为3491309.24元，完成年初预算数的</w:t>
      </w:r>
      <w:r>
        <w:rPr>
          <w:rFonts w:hint="eastAsia" w:ascii="仿宋_GB2312" w:eastAsia="仿宋_GB2312" w:cs="仿宋_GB2312"/>
          <w:sz w:val="30"/>
          <w:szCs w:val="30"/>
          <w:u w:val="none"/>
          <w:lang w:val="en-US" w:eastAsia="zh-CN"/>
        </w:rPr>
        <w:t>128</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2022年初预算按照3人核算，实际支出金额按照17名职工核算</w:t>
      </w:r>
      <w:r>
        <w:rPr>
          <w:rFonts w:hint="eastAsia" w:ascii="仿宋_GB2312" w:eastAsia="仿宋_GB2312" w:cs="仿宋_GB2312"/>
          <w:sz w:val="30"/>
          <w:szCs w:val="30"/>
          <w:u w:val="none"/>
        </w:rPr>
        <w:t>。</w:t>
      </w:r>
    </w:p>
    <w:p>
      <w:pPr>
        <w:spacing w:line="600" w:lineRule="exact"/>
        <w:ind w:firstLine="600" w:firstLineChars="200"/>
        <w:jc w:val="both"/>
        <w:rPr>
          <w:rFonts w:hint="eastAsia" w:ascii="仿宋_GB2312" w:eastAsia="仿宋_GB2312" w:cs="仿宋_GB2312"/>
          <w:sz w:val="30"/>
          <w:szCs w:val="30"/>
          <w:u w:val="none"/>
          <w:lang w:eastAsia="zh-CN"/>
        </w:rPr>
      </w:pPr>
      <w:r>
        <w:rPr>
          <w:rFonts w:hint="eastAsia" w:ascii="仿宋_GB2312" w:eastAsia="仿宋_GB2312" w:cs="仿宋_GB2312"/>
          <w:sz w:val="30"/>
          <w:szCs w:val="30"/>
        </w:rPr>
        <w:t>卫生健康支出（类）公共卫生（款）基本公共卫生服务（项）年初预算为</w:t>
      </w:r>
      <w:r>
        <w:rPr>
          <w:rFonts w:hint="eastAsia" w:ascii="仿宋_GB2312" w:eastAsia="仿宋_GB2312" w:cs="仿宋_GB2312"/>
          <w:sz w:val="30"/>
          <w:szCs w:val="30"/>
          <w:u w:val="none"/>
          <w:lang w:val="en-US" w:eastAsia="zh-CN"/>
        </w:rPr>
        <w:t>4155840</w:t>
      </w:r>
      <w:r>
        <w:rPr>
          <w:rFonts w:hint="eastAsia" w:ascii="仿宋_GB2312" w:eastAsia="仿宋_GB2312" w:cs="仿宋_GB2312"/>
          <w:sz w:val="30"/>
          <w:szCs w:val="30"/>
        </w:rPr>
        <w:t>元，支出决算为742423.22元，完成年初预算数的</w:t>
      </w:r>
      <w:r>
        <w:rPr>
          <w:rFonts w:hint="eastAsia" w:ascii="仿宋_GB2312" w:eastAsia="仿宋_GB2312" w:cs="仿宋_GB2312"/>
          <w:sz w:val="30"/>
          <w:szCs w:val="30"/>
          <w:u w:val="none"/>
          <w:lang w:val="en-US" w:eastAsia="zh-CN"/>
        </w:rPr>
        <w:t>17.86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u w:val="none"/>
          <w:lang w:val="en-US" w:eastAsia="zh-CN"/>
        </w:rPr>
        <w:t>疫情原因，装修进度缓慢，未能按照计划正常开业，基本公共卫生服务未能正常开展。</w:t>
      </w:r>
    </w:p>
    <w:p>
      <w:pPr>
        <w:spacing w:line="600" w:lineRule="exact"/>
        <w:ind w:firstLine="600" w:firstLineChars="200"/>
        <w:jc w:val="both"/>
        <w:rPr>
          <w:rFonts w:hint="eastAsia" w:ascii="仿宋_GB2312" w:eastAsia="仿宋_GB2312" w:cs="仿宋_GB2312"/>
          <w:sz w:val="30"/>
          <w:szCs w:val="30"/>
          <w:u w:val="none"/>
          <w:lang w:eastAsia="zh-CN"/>
        </w:rPr>
      </w:pPr>
      <w:r>
        <w:rPr>
          <w:rFonts w:hint="eastAsia" w:ascii="仿宋_GB2312" w:eastAsia="仿宋_GB2312" w:cs="仿宋_GB2312"/>
          <w:sz w:val="30"/>
          <w:szCs w:val="30"/>
        </w:rPr>
        <w:t>卫生健康支出（类）行政事业单位医疗（款）事业单位医疗（项）年初预算为</w:t>
      </w:r>
      <w:r>
        <w:rPr>
          <w:rFonts w:hint="eastAsia" w:ascii="仿宋_GB2312" w:eastAsia="仿宋_GB2312" w:cs="仿宋_GB2312"/>
          <w:sz w:val="30"/>
          <w:szCs w:val="30"/>
          <w:u w:val="none"/>
          <w:lang w:val="en-US" w:eastAsia="zh-CN"/>
        </w:rPr>
        <w:t>26883.60</w:t>
      </w:r>
      <w:r>
        <w:rPr>
          <w:rFonts w:hint="eastAsia" w:ascii="仿宋_GB2312" w:eastAsia="仿宋_GB2312" w:cs="仿宋_GB2312"/>
          <w:sz w:val="30"/>
          <w:szCs w:val="30"/>
        </w:rPr>
        <w:t>元，支出决算为93852.50元，完成年初预算数的</w:t>
      </w:r>
      <w:r>
        <w:rPr>
          <w:rFonts w:hint="eastAsia" w:ascii="仿宋_GB2312" w:eastAsia="仿宋_GB2312" w:cs="仿宋_GB2312"/>
          <w:sz w:val="30"/>
          <w:szCs w:val="30"/>
          <w:u w:val="none"/>
          <w:lang w:val="en-US" w:eastAsia="zh-CN"/>
        </w:rPr>
        <w:t>349.11</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2022年初预算按照3人核算，实际支出金额按照17名职工核算</w:t>
      </w:r>
      <w:r>
        <w:rPr>
          <w:rFonts w:hint="eastAsia" w:ascii="仿宋_GB2312" w:eastAsia="仿宋_GB2312" w:cs="仿宋_GB2312"/>
          <w:sz w:val="30"/>
          <w:szCs w:val="30"/>
          <w:u w:val="none"/>
        </w:rPr>
        <w:t>。</w:t>
      </w:r>
    </w:p>
    <w:p>
      <w:pPr>
        <w:spacing w:line="600" w:lineRule="exact"/>
        <w:ind w:firstLine="600" w:firstLineChars="200"/>
        <w:jc w:val="both"/>
        <w:rPr>
          <w:rFonts w:hint="eastAsia" w:ascii="仿宋_GB2312" w:eastAsia="仿宋_GB2312" w:cs="仿宋_GB2312"/>
          <w:sz w:val="30"/>
          <w:szCs w:val="30"/>
          <w:u w:val="none"/>
          <w:lang w:eastAsia="zh-CN"/>
        </w:rPr>
      </w:pPr>
      <w:r>
        <w:rPr>
          <w:rFonts w:hint="eastAsia" w:ascii="仿宋_GB2312" w:eastAsia="仿宋_GB2312" w:cs="仿宋_GB2312"/>
          <w:sz w:val="30"/>
          <w:szCs w:val="30"/>
        </w:rPr>
        <w:t>卫生健康支出（类）行政事业单位医疗（款）其他行政事业单位医疗支出（项）年初预算为</w:t>
      </w:r>
      <w:r>
        <w:rPr>
          <w:rFonts w:hint="eastAsia" w:ascii="仿宋_GB2312" w:eastAsia="仿宋_GB2312" w:cs="仿宋_GB2312"/>
          <w:sz w:val="30"/>
          <w:szCs w:val="30"/>
          <w:u w:val="none"/>
          <w:lang w:val="en-US" w:eastAsia="zh-CN"/>
        </w:rPr>
        <w:t>3600</w:t>
      </w:r>
      <w:r>
        <w:rPr>
          <w:rFonts w:hint="eastAsia" w:ascii="仿宋_GB2312" w:eastAsia="仿宋_GB2312" w:cs="仿宋_GB2312"/>
          <w:sz w:val="30"/>
          <w:szCs w:val="30"/>
        </w:rPr>
        <w:t>元，支出决算为5750.00元，完成年初预算数的</w:t>
      </w:r>
      <w:r>
        <w:rPr>
          <w:rFonts w:hint="eastAsia" w:ascii="仿宋_GB2312" w:eastAsia="仿宋_GB2312" w:cs="仿宋_GB2312"/>
          <w:sz w:val="30"/>
          <w:szCs w:val="30"/>
          <w:u w:val="none"/>
          <w:lang w:val="en-US" w:eastAsia="zh-CN"/>
        </w:rPr>
        <w:t>159.72</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rPr>
        <w:t>_</w:t>
      </w:r>
      <w:r>
        <w:rPr>
          <w:rFonts w:hint="eastAsia" w:ascii="仿宋_GB2312" w:eastAsia="仿宋_GB2312" w:cs="仿宋_GB2312"/>
          <w:sz w:val="30"/>
          <w:szCs w:val="30"/>
          <w:u w:val="none"/>
          <w:lang w:val="en-US" w:eastAsia="zh-CN"/>
        </w:rPr>
        <w:t>预算按照3名职工核算，实际支出5名职工保险</w:t>
      </w:r>
      <w:r>
        <w:rPr>
          <w:rFonts w:hint="eastAsia" w:ascii="仿宋_GB2312" w:eastAsia="仿宋_GB2312" w:cs="仿宋_GB2312"/>
          <w:sz w:val="30"/>
          <w:szCs w:val="30"/>
          <w:u w:val="none"/>
        </w:rPr>
        <w:t>。</w:t>
      </w:r>
    </w:p>
    <w:p>
      <w:pPr>
        <w:spacing w:line="600" w:lineRule="exact"/>
        <w:ind w:firstLine="600" w:firstLineChars="200"/>
        <w:jc w:val="both"/>
        <w:rPr>
          <w:rFonts w:ascii="仿宋_GB2312" w:eastAsia="仿宋_GB2312" w:cs="仿宋_GB2312"/>
          <w:sz w:val="30"/>
          <w:szCs w:val="30"/>
        </w:rPr>
      </w:pPr>
      <w:r>
        <w:rPr>
          <w:rFonts w:hint="eastAsia" w:ascii="仿宋_GB2312" w:eastAsia="仿宋_GB2312" w:cs="仿宋_GB2312"/>
          <w:sz w:val="30"/>
          <w:szCs w:val="30"/>
        </w:rPr>
        <w:t>住房保障支出（类）住房改革支出（款）住房公积金（项）年初预算为</w:t>
      </w:r>
      <w:r>
        <w:rPr>
          <w:rFonts w:hint="eastAsia" w:ascii="仿宋_GB2312" w:eastAsia="仿宋_GB2312" w:cs="仿宋_GB2312"/>
          <w:sz w:val="30"/>
          <w:szCs w:val="30"/>
          <w:u w:val="none"/>
          <w:lang w:val="en-US" w:eastAsia="zh-CN"/>
        </w:rPr>
        <w:t>54480</w:t>
      </w:r>
      <w:r>
        <w:rPr>
          <w:rFonts w:hint="eastAsia" w:ascii="仿宋_GB2312" w:eastAsia="仿宋_GB2312" w:cs="仿宋_GB2312"/>
          <w:sz w:val="30"/>
          <w:szCs w:val="30"/>
        </w:rPr>
        <w:t>元，支出决算为149143.00元，完成年初预算数的</w:t>
      </w:r>
      <w:r>
        <w:rPr>
          <w:rFonts w:hint="eastAsia" w:ascii="仿宋_GB2312" w:eastAsia="仿宋_GB2312" w:cs="仿宋_GB2312"/>
          <w:sz w:val="30"/>
          <w:szCs w:val="30"/>
          <w:u w:val="none"/>
          <w:lang w:val="en-US" w:eastAsia="zh-CN"/>
        </w:rPr>
        <w:t>273.76</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2022年初预算按照3人核算，实际支出金额按照17名职工核算</w:t>
      </w:r>
      <w:r>
        <w:rPr>
          <w:rFonts w:hint="eastAsia" w:ascii="仿宋_GB2312" w:eastAsia="仿宋_GB2312" w:cs="仿宋_GB2312"/>
          <w:sz w:val="30"/>
          <w:szCs w:val="30"/>
          <w:u w:val="none"/>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rPr>
        <w:t>天津市津南区双林街社区卫生服务中心</w:t>
      </w:r>
      <w:r>
        <w:rPr>
          <w:rFonts w:hint="eastAsia" w:eastAsia="楷体"/>
          <w:sz w:val="30"/>
          <w:szCs w:val="30"/>
        </w:rPr>
        <w:t>2022</w:t>
      </w:r>
      <w:r>
        <w:rPr>
          <w:rFonts w:hint="eastAsia" w:ascii="仿宋_GB2312" w:eastAsia="仿宋_GB2312" w:cs="仿宋_GB2312"/>
          <w:sz w:val="30"/>
          <w:szCs w:val="30"/>
        </w:rPr>
        <w:t>年度一般公共预算财政拨款基本支出合计3965236.32元，与2021年度相比增加3965236.32元，主要原因是</w:t>
      </w:r>
      <w:r>
        <w:rPr>
          <w:rFonts w:hint="eastAsia" w:eastAsia="仿宋_GB2312"/>
          <w:sz w:val="30"/>
          <w:szCs w:val="30"/>
          <w:u w:val="none"/>
          <w:lang w:val="en-US" w:eastAsia="zh-CN"/>
        </w:rPr>
        <w:t>中心成立于2021年8月，且当年没有资金运转，2021年没有可比数据。</w:t>
      </w:r>
      <w:r>
        <w:rPr>
          <w:rFonts w:hint="eastAsia" w:ascii="仿宋_GB2312" w:eastAsia="仿宋_GB2312" w:cs="仿宋_GB2312"/>
          <w:sz w:val="30"/>
          <w:szCs w:val="30"/>
        </w:rPr>
        <w:t>其中：</w:t>
      </w:r>
    </w:p>
    <w:p>
      <w:pPr>
        <w:spacing w:line="600" w:lineRule="exact"/>
        <w:ind w:firstLine="600" w:firstLineChars="200"/>
        <w:jc w:val="both"/>
        <w:rPr>
          <w:rFonts w:hint="eastAsia" w:ascii="仿宋_GB2312" w:eastAsia="仿宋_GB2312" w:cs="仿宋_GB2312"/>
          <w:sz w:val="30"/>
          <w:szCs w:val="30"/>
        </w:rPr>
      </w:pPr>
      <w:r>
        <w:rPr>
          <w:rFonts w:hint="eastAsia" w:ascii="仿宋_GB2312" w:eastAsia="仿宋_GB2312" w:cs="仿宋_GB2312"/>
          <w:sz w:val="30"/>
          <w:szCs w:val="30"/>
        </w:rPr>
        <w:t>人员经费2133816.54元，主要包括基本工资、津贴补贴、绩效工资、机关事业单位养老保险缴费、职业年金缴费、职工基本医疗保险缴费、其他社会保障缴费、住房公积金、其他工资福利支出；</w:t>
      </w:r>
    </w:p>
    <w:p>
      <w:pPr>
        <w:spacing w:line="600" w:lineRule="exact"/>
        <w:ind w:firstLine="600" w:firstLineChars="200"/>
        <w:jc w:val="both"/>
        <w:rPr>
          <w:rFonts w:ascii="仿宋_GB2312" w:eastAsia="仿宋_GB2312" w:cs="仿宋_GB2312"/>
          <w:sz w:val="30"/>
          <w:szCs w:val="30"/>
        </w:rPr>
      </w:pPr>
      <w:r>
        <w:rPr>
          <w:rFonts w:hint="eastAsia" w:ascii="仿宋_GB2312" w:eastAsia="仿宋_GB2312" w:cs="仿宋_GB2312"/>
          <w:sz w:val="30"/>
          <w:szCs w:val="30"/>
        </w:rPr>
        <w:t>公用经费1831419.78元，主要包括办公费、手续费、物业管理费、租赁费、培训费、专用材料费、工会经费、福利费、其他商品和服务支出。</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天津市津南区双林街社区卫生服务中心2022年度无政府性基金预算财政拨款收入、支出和结转结余。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天津市津南区双林街社区卫生服务中心2022年度无国有资本经营预算财政拨款收入、支出和结转结余。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年一般公共预算财政拨款“三公”经费预算0.00元，支出决算0.00元（去年同期0.00元），支出决算与</w:t>
      </w:r>
      <w:r>
        <w:rPr>
          <w:rFonts w:hint="eastAsia" w:eastAsia="楷体"/>
          <w:sz w:val="30"/>
          <w:szCs w:val="30"/>
        </w:rPr>
        <w:t>2022</w:t>
      </w:r>
      <w:r>
        <w:rPr>
          <w:rFonts w:hint="eastAsia" w:ascii="仿宋_GB2312" w:eastAsia="仿宋_GB2312" w:cs="仿宋_GB2312"/>
          <w:sz w:val="30"/>
          <w:szCs w:val="30"/>
        </w:rPr>
        <w:t>年预算相比持平；支出决算较上年持平。决算数与预算数持平的主要原因是本年度未用一般公共预算列支“三公”经费。决算数较上年持平的主要原因是本年度未用一般公共预算列支三公经费。</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jc w:val="both"/>
        <w:rPr>
          <w:rFonts w:eastAsia="仿宋_GB2312"/>
          <w:sz w:val="30"/>
          <w:szCs w:val="30"/>
        </w:rPr>
      </w:pPr>
      <w:r>
        <w:rPr>
          <w:rFonts w:hint="eastAsia" w:eastAsia="仿宋_GB2312"/>
          <w:sz w:val="30"/>
          <w:szCs w:val="30"/>
        </w:rPr>
        <w:t>1.</w:t>
      </w:r>
      <w:r>
        <w:rPr>
          <w:rFonts w:hint="eastAsia" w:ascii="仿宋_GB2312" w:eastAsia="仿宋_GB2312" w:cs="仿宋_GB2312"/>
          <w:sz w:val="30"/>
          <w:szCs w:val="30"/>
        </w:rPr>
        <w:t>因公出国（境）费预算0.00元，支出决算0.00元（去年同期0.00元），支出决算与预算相比持平；支出决算较上年持平。</w:t>
      </w:r>
      <w:r>
        <w:rPr>
          <w:rFonts w:ascii="仿宋_GB2312" w:eastAsia="仿宋_GB2312" w:cs="仿宋_GB2312"/>
          <w:sz w:val="30"/>
          <w:szCs w:val="30"/>
        </w:rPr>
        <w:t>决算数与预算数持平的主要原因是本年度未用一般公共预算列支“因公出国（境）”经费。决算数较上年持平的主要原因是本年度未用一般公共预算列支“因公出国（境）”经费。2022</w:t>
      </w:r>
      <w:r>
        <w:rPr>
          <w:rFonts w:hint="eastAsia" w:ascii="仿宋_GB2312" w:eastAsia="仿宋_GB2312" w:cs="仿宋_GB2312"/>
          <w:sz w:val="30"/>
          <w:szCs w:val="30"/>
        </w:rPr>
        <w:t>年本单位组织的出国团组0个，出国0人次。</w:t>
      </w:r>
    </w:p>
    <w:p>
      <w:pPr>
        <w:spacing w:line="600" w:lineRule="exact"/>
        <w:ind w:firstLine="600" w:firstLineChars="200"/>
        <w:jc w:val="both"/>
        <w:rPr>
          <w:rFonts w:eastAsia="仿宋_GB2312"/>
          <w:sz w:val="30"/>
          <w:szCs w:val="30"/>
        </w:rPr>
      </w:pPr>
      <w:r>
        <w:rPr>
          <w:rFonts w:hint="eastAsia" w:eastAsia="仿宋_GB2312"/>
          <w:sz w:val="30"/>
          <w:szCs w:val="30"/>
        </w:rPr>
        <w:t>2.</w:t>
      </w:r>
      <w:r>
        <w:rPr>
          <w:rFonts w:hint="eastAsia" w:ascii="仿宋_GB2312" w:eastAsia="仿宋_GB2312" w:cs="仿宋_GB2312"/>
          <w:sz w:val="30"/>
          <w:szCs w:val="30"/>
        </w:rPr>
        <w:t>公务用车购置及运行维护费预算0.00元，支出决算0.00元（去年同期0.00元），支出决算与预算相比持平；支出决算较上年持平。其中：</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运行维护费预算0.00元，支出决算0.00元（去年同期0.00元），支出决算与预算相比持平；支出决算较上年持平。决算数与预算数持平的主要原因是本年度未用一般公共预算列支“公务用车运行维护费”经费。决算数较上年持平的主要原因是本年度未用一般公共预算列支三公经费。截至2022年12月31日，使用</w:t>
      </w:r>
      <w:r>
        <w:rPr>
          <w:rFonts w:hint="eastAsia" w:eastAsia="仿宋_GB2312"/>
          <w:sz w:val="30"/>
          <w:szCs w:val="30"/>
        </w:rPr>
        <w:t>一般公共预算</w:t>
      </w:r>
      <w:r>
        <w:rPr>
          <w:rFonts w:hint="eastAsia" w:ascii="仿宋_GB2312" w:eastAsia="仿宋_GB2312" w:cs="仿宋_GB2312"/>
          <w:sz w:val="30"/>
          <w:szCs w:val="30"/>
        </w:rPr>
        <w:t>财政拨款开支运行维护费的公务用车保有量为0辆。</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购置费预算0.00元，支出决算0.00元（去年同期0.00元），支出决算与预算相比持平；支出决算较上年持平。决算数与预算数持平的主要原因是本年度未用一般公共预算列支“公务用车购置”经费。决算数较上年持平的主要原因是本年度未用一般公共预算列支“公务用车购置”经费。2022年购置公务用车0辆。</w:t>
      </w:r>
    </w:p>
    <w:p>
      <w:pPr>
        <w:spacing w:line="600" w:lineRule="exact"/>
        <w:ind w:firstLine="645"/>
        <w:jc w:val="both"/>
        <w:rPr>
          <w:rFonts w:eastAsia="仿宋_GB2312" w:cs="仿宋_GB2312"/>
          <w:sz w:val="30"/>
          <w:szCs w:val="30"/>
        </w:rPr>
      </w:pPr>
      <w:r>
        <w:rPr>
          <w:rFonts w:hint="eastAsia" w:eastAsia="仿宋_GB2312"/>
          <w:sz w:val="30"/>
          <w:szCs w:val="30"/>
        </w:rPr>
        <w:t>3.</w:t>
      </w:r>
      <w:r>
        <w:rPr>
          <w:rFonts w:hint="eastAsia" w:ascii="仿宋_GB2312" w:eastAsia="仿宋_GB2312" w:cs="仿宋_GB2312"/>
          <w:sz w:val="30"/>
          <w:szCs w:val="30"/>
        </w:rPr>
        <w:t>公务接待费预算0.00元，支出决算0.00元（去年同期0.00元），支出决算与预算相比持平；支出决算较上年持平。</w:t>
      </w:r>
      <w:r>
        <w:rPr>
          <w:rFonts w:ascii="仿宋_GB2312" w:eastAsia="仿宋_GB2312" w:cs="仿宋_GB2312"/>
          <w:sz w:val="30"/>
          <w:szCs w:val="30"/>
        </w:rPr>
        <w:t>决算数与预算数持平的主要原因是本年度未用一般公共预算列支“公务接待”经费。决算数较上年持平的主要原因是本年度未用一般公共预算列支“公务接待”经费。2022</w:t>
      </w:r>
      <w:r>
        <w:rPr>
          <w:rFonts w:hint="eastAsia" w:ascii="仿宋_GB2312" w:eastAsia="仿宋_GB2312" w:cs="仿宋_GB2312"/>
          <w:sz w:val="30"/>
          <w:szCs w:val="30"/>
        </w:rPr>
        <w:t>年本单位国内公务接待0批</w:t>
      </w:r>
      <w:r>
        <w:rPr>
          <w:rFonts w:hint="eastAsia" w:eastAsia="仿宋_GB2312" w:cs="仿宋_GB2312"/>
          <w:sz w:val="30"/>
          <w:szCs w:val="30"/>
        </w:rPr>
        <w:t>次，</w:t>
      </w:r>
      <w:r>
        <w:rPr>
          <w:rFonts w:hint="eastAsia" w:ascii="仿宋_GB2312" w:eastAsia="仿宋_GB2312" w:cs="仿宋_GB2312"/>
          <w:sz w:val="30"/>
          <w:szCs w:val="30"/>
        </w:rPr>
        <w:t>0</w:t>
      </w:r>
      <w:r>
        <w:rPr>
          <w:rFonts w:hint="eastAsia" w:eastAsia="仿宋_GB2312" w:cs="仿宋_GB2312"/>
          <w:sz w:val="30"/>
          <w:szCs w:val="30"/>
        </w:rPr>
        <w:t>人次；其中，外事接待</w:t>
      </w:r>
      <w:r>
        <w:rPr>
          <w:rFonts w:hint="eastAsia" w:ascii="仿宋_GB2312" w:eastAsia="仿宋_GB2312" w:cs="仿宋_GB2312"/>
          <w:sz w:val="30"/>
          <w:szCs w:val="30"/>
        </w:rPr>
        <w:t>0</w:t>
      </w:r>
      <w:r>
        <w:rPr>
          <w:rFonts w:hint="eastAsia" w:eastAsia="仿宋_GB2312" w:cs="仿宋_GB2312"/>
          <w:sz w:val="30"/>
          <w:szCs w:val="30"/>
        </w:rPr>
        <w:t>批次，</w:t>
      </w:r>
      <w:r>
        <w:rPr>
          <w:rFonts w:hint="eastAsia" w:ascii="仿宋_GB2312" w:eastAsia="仿宋_GB2312" w:cs="仿宋_GB2312"/>
          <w:sz w:val="30"/>
          <w:szCs w:val="30"/>
        </w:rPr>
        <w:t>0</w:t>
      </w:r>
      <w:r>
        <w:rPr>
          <w:rFonts w:hint="eastAsia" w:eastAsia="仿宋_GB2312" w:cs="仿宋_GB2312"/>
          <w:sz w:val="30"/>
          <w:szCs w:val="30"/>
        </w:rPr>
        <w:t>人次。</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天津市津南区双林街社区卫生服务中心2022年度无机关运行经费。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林街社区卫生服务中心2022年政府采购支出总额3862698.46元，其中：政府采购货物支出0.00元、政府采购工程支出3862698.46元、政府采购服务支出0.00元。授予中小企业合同金额3862698.46元，占政府采购支出总额的100.00%，其中：授予小微企业合同金额3862698.46元，占政府采购支出总额的100.00%；货物采购授予中小企业合同金额占货物支出金额的0.00%，工程采购授予中小企业合同金额占工程支出金额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rPr>
        <w:t>%，服务采购授予中小企业合同金额占服务支出金额的0.00%。</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天津市津南区双林街社区卫生服务中心2022年度无国有资产占有使用情况。</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jc w:val="both"/>
        <w:rPr>
          <w:rFonts w:eastAsia="仿宋_GB2312"/>
          <w:sz w:val="30"/>
          <w:szCs w:val="30"/>
        </w:rPr>
      </w:pPr>
      <w:r>
        <w:rPr>
          <w:rFonts w:hint="eastAsia" w:ascii="仿宋_GB2312" w:hAnsi="仿宋_GB2312" w:eastAsia="仿宋_GB2312" w:cs="仿宋_GB2312"/>
          <w:sz w:val="30"/>
          <w:szCs w:val="30"/>
        </w:rPr>
        <w:t>根据预算绩效管理要求，天津市津南区双林街社区卫生服务中心2022年度已对</w:t>
      </w:r>
      <w:r>
        <w:rPr>
          <w:rFonts w:hint="eastAsia" w:ascii="仿宋_GB2312" w:hAnsi="仿宋_GB2312" w:eastAsia="仿宋_GB2312" w:cs="仿宋_GB2312"/>
          <w:sz w:val="30"/>
          <w:szCs w:val="30"/>
          <w:u w:val="none"/>
          <w:lang w:val="en-US" w:eastAsia="zh-CN"/>
        </w:rPr>
        <w:t>5</w:t>
      </w:r>
      <w:r>
        <w:rPr>
          <w:rFonts w:hint="eastAsia" w:ascii="仿宋_GB2312" w:hAnsi="仿宋_GB2312" w:eastAsia="仿宋_GB2312" w:cs="仿宋_GB2312"/>
          <w:sz w:val="30"/>
          <w:szCs w:val="30"/>
          <w:u w:val="none"/>
        </w:rPr>
        <w:t>个区级级项目开展绩效自评，涉及金额</w:t>
      </w:r>
      <w:bookmarkStart w:id="32" w:name="_GoBack"/>
      <w:r>
        <w:rPr>
          <w:rFonts w:hint="eastAsia" w:ascii="仿宋_GB2312" w:hAnsi="仿宋_GB2312" w:eastAsia="仿宋_GB2312" w:cs="仿宋_GB2312"/>
          <w:sz w:val="30"/>
          <w:szCs w:val="30"/>
          <w:u w:val="none"/>
          <w:lang w:val="en-US" w:eastAsia="zh-CN"/>
        </w:rPr>
        <w:t>15541900</w:t>
      </w:r>
      <w:bookmarkEnd w:id="32"/>
      <w:r>
        <w:rPr>
          <w:rFonts w:hint="eastAsia" w:ascii="仿宋_GB2312" w:hAnsi="仿宋_GB2312" w:eastAsia="仿宋_GB2312" w:cs="仿宋_GB2312"/>
          <w:sz w:val="30"/>
          <w:szCs w:val="30"/>
          <w:u w:val="none"/>
        </w:rPr>
        <w:t>元，自评</w:t>
      </w:r>
      <w:r>
        <w:rPr>
          <w:rFonts w:hint="eastAsia" w:ascii="仿宋_GB2312" w:hAnsi="仿宋_GB2312" w:eastAsia="仿宋_GB2312" w:cs="仿宋_GB2312"/>
          <w:sz w:val="30"/>
          <w:szCs w:val="30"/>
        </w:rPr>
        <w:t>结果已随</w:t>
      </w:r>
      <w:r>
        <w:rPr>
          <w:rFonts w:hint="eastAsia" w:eastAsia="仿宋_GB2312"/>
          <w:sz w:val="30"/>
          <w:szCs w:val="30"/>
        </w:rPr>
        <w:t>部门决算一并公开。</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天津市津南区双林街社区卫生服务中心不属于乡、镇、街级单位，不涉及公开2022年度教育、医疗卫生、社会保障和就业、住房保障、涉农补贴等民生支出情况。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IBmQkFgIAABkEAAAOAAAAZHJz&#10;L2Uyb0RvYy54bWytU8uO0zAU3SPxD5b3NGkRM1X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CAZkJBYCAAAZBAAADgAAAAAAAAABACAAAAA1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lMmI4ZGUzOGM2MmNiZjExMzM3ZDM4MjBjNmQwNDM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20AAB"/>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40D7A"/>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1F61835"/>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6E956F4"/>
    <w:rsid w:val="070745F4"/>
    <w:rsid w:val="0750320D"/>
    <w:rsid w:val="080C427F"/>
    <w:rsid w:val="08496DC5"/>
    <w:rsid w:val="08601190"/>
    <w:rsid w:val="08610C17"/>
    <w:rsid w:val="08AB76E6"/>
    <w:rsid w:val="08B17C7F"/>
    <w:rsid w:val="09794F69"/>
    <w:rsid w:val="09A45050"/>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382C03"/>
    <w:rsid w:val="10D0376E"/>
    <w:rsid w:val="11D75F2F"/>
    <w:rsid w:val="11D802DB"/>
    <w:rsid w:val="121401BA"/>
    <w:rsid w:val="122B009F"/>
    <w:rsid w:val="12946208"/>
    <w:rsid w:val="135D03D9"/>
    <w:rsid w:val="13A17616"/>
    <w:rsid w:val="144A5D9E"/>
    <w:rsid w:val="144F5DF3"/>
    <w:rsid w:val="149264E6"/>
    <w:rsid w:val="14A04A70"/>
    <w:rsid w:val="14A94A5C"/>
    <w:rsid w:val="14F31DE2"/>
    <w:rsid w:val="15127621"/>
    <w:rsid w:val="156A2C3E"/>
    <w:rsid w:val="157A3189"/>
    <w:rsid w:val="15E37C52"/>
    <w:rsid w:val="169221B4"/>
    <w:rsid w:val="16EA0A1B"/>
    <w:rsid w:val="173758A4"/>
    <w:rsid w:val="17A617C9"/>
    <w:rsid w:val="17AD5281"/>
    <w:rsid w:val="17E51656"/>
    <w:rsid w:val="181D0AF6"/>
    <w:rsid w:val="18E12A26"/>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8E42EF"/>
    <w:rsid w:val="22A211C8"/>
    <w:rsid w:val="22F75B35"/>
    <w:rsid w:val="236906A5"/>
    <w:rsid w:val="23BA0D09"/>
    <w:rsid w:val="24593BF8"/>
    <w:rsid w:val="24BA0C0F"/>
    <w:rsid w:val="250B61A3"/>
    <w:rsid w:val="259F5563"/>
    <w:rsid w:val="25A662F9"/>
    <w:rsid w:val="25AD749C"/>
    <w:rsid w:val="25AE4162"/>
    <w:rsid w:val="25BF2852"/>
    <w:rsid w:val="261B2634"/>
    <w:rsid w:val="26872640"/>
    <w:rsid w:val="26C653DA"/>
    <w:rsid w:val="26EC5D21"/>
    <w:rsid w:val="276135C2"/>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AA42A4B"/>
    <w:rsid w:val="2B330D0F"/>
    <w:rsid w:val="2B4B01F6"/>
    <w:rsid w:val="2C3B01C9"/>
    <w:rsid w:val="2CB024EC"/>
    <w:rsid w:val="2D2B1A30"/>
    <w:rsid w:val="2D5BB7F4"/>
    <w:rsid w:val="2DA87FE3"/>
    <w:rsid w:val="2DAB1C1C"/>
    <w:rsid w:val="2E6455AA"/>
    <w:rsid w:val="2E6E5875"/>
    <w:rsid w:val="2EAA1E45"/>
    <w:rsid w:val="2EBA2F30"/>
    <w:rsid w:val="2F631386"/>
    <w:rsid w:val="2F8573F4"/>
    <w:rsid w:val="2FFC60D8"/>
    <w:rsid w:val="2FFD4B55"/>
    <w:rsid w:val="31F32BCC"/>
    <w:rsid w:val="322D5537"/>
    <w:rsid w:val="32500429"/>
    <w:rsid w:val="32B00783"/>
    <w:rsid w:val="333F3F3A"/>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3A6848"/>
    <w:rsid w:val="3B5C22DF"/>
    <w:rsid w:val="3BEC625F"/>
    <w:rsid w:val="3C7702D9"/>
    <w:rsid w:val="3C822FFF"/>
    <w:rsid w:val="3C987755"/>
    <w:rsid w:val="3D1712DB"/>
    <w:rsid w:val="3D6E4CFB"/>
    <w:rsid w:val="3DB948D9"/>
    <w:rsid w:val="3DED19CC"/>
    <w:rsid w:val="3E551C1D"/>
    <w:rsid w:val="3E6D1878"/>
    <w:rsid w:val="3EAA16DD"/>
    <w:rsid w:val="3EE7006C"/>
    <w:rsid w:val="3F043070"/>
    <w:rsid w:val="3F397145"/>
    <w:rsid w:val="412732C6"/>
    <w:rsid w:val="419141BF"/>
    <w:rsid w:val="41C515FE"/>
    <w:rsid w:val="41F26234"/>
    <w:rsid w:val="42955F29"/>
    <w:rsid w:val="42C52D12"/>
    <w:rsid w:val="42E40404"/>
    <w:rsid w:val="42EA0B90"/>
    <w:rsid w:val="436E1D48"/>
    <w:rsid w:val="442221E6"/>
    <w:rsid w:val="44FC0AD9"/>
    <w:rsid w:val="45C66F5A"/>
    <w:rsid w:val="45FB5A1D"/>
    <w:rsid w:val="464311BD"/>
    <w:rsid w:val="46762869"/>
    <w:rsid w:val="46800ECA"/>
    <w:rsid w:val="46CB7DFC"/>
    <w:rsid w:val="46D65DFF"/>
    <w:rsid w:val="46ED43C8"/>
    <w:rsid w:val="47655748"/>
    <w:rsid w:val="481F5D29"/>
    <w:rsid w:val="485B08F6"/>
    <w:rsid w:val="48E65506"/>
    <w:rsid w:val="49A95325"/>
    <w:rsid w:val="49C60D15"/>
    <w:rsid w:val="49EE18E7"/>
    <w:rsid w:val="4B27632E"/>
    <w:rsid w:val="4C72500A"/>
    <w:rsid w:val="4D8B1D7C"/>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35E70"/>
    <w:rsid w:val="596D5572"/>
    <w:rsid w:val="59DC23BD"/>
    <w:rsid w:val="59EA3040"/>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7D373C"/>
    <w:rsid w:val="5FC652D8"/>
    <w:rsid w:val="6043407E"/>
    <w:rsid w:val="605F74B4"/>
    <w:rsid w:val="607B68FE"/>
    <w:rsid w:val="617007B5"/>
    <w:rsid w:val="61E56E86"/>
    <w:rsid w:val="621870FC"/>
    <w:rsid w:val="62DA2A3D"/>
    <w:rsid w:val="62E10515"/>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1036DC"/>
    <w:rsid w:val="6CA041B2"/>
    <w:rsid w:val="6CCE6B6D"/>
    <w:rsid w:val="6D207135"/>
    <w:rsid w:val="6DDD5EBF"/>
    <w:rsid w:val="6DFC4CD2"/>
    <w:rsid w:val="6E2E2D6D"/>
    <w:rsid w:val="6E2F6A10"/>
    <w:rsid w:val="6E3F51B6"/>
    <w:rsid w:val="6E460B96"/>
    <w:rsid w:val="6EA82131"/>
    <w:rsid w:val="6F046708"/>
    <w:rsid w:val="6F50349B"/>
    <w:rsid w:val="6F68529E"/>
    <w:rsid w:val="6FB410D2"/>
    <w:rsid w:val="6FC54BEF"/>
    <w:rsid w:val="704C1FE5"/>
    <w:rsid w:val="706921FA"/>
    <w:rsid w:val="70B22C23"/>
    <w:rsid w:val="70B534F6"/>
    <w:rsid w:val="70D6705C"/>
    <w:rsid w:val="71411B5D"/>
    <w:rsid w:val="719931E1"/>
    <w:rsid w:val="7240055A"/>
    <w:rsid w:val="728E0BA0"/>
    <w:rsid w:val="73134A0E"/>
    <w:rsid w:val="736064A7"/>
    <w:rsid w:val="736159D6"/>
    <w:rsid w:val="73F71039"/>
    <w:rsid w:val="73F91498"/>
    <w:rsid w:val="740C3E40"/>
    <w:rsid w:val="74D5337C"/>
    <w:rsid w:val="74D975E2"/>
    <w:rsid w:val="756B7D6A"/>
    <w:rsid w:val="757C417D"/>
    <w:rsid w:val="759455DB"/>
    <w:rsid w:val="75D160D9"/>
    <w:rsid w:val="762914BB"/>
    <w:rsid w:val="76685F07"/>
    <w:rsid w:val="773A73AB"/>
    <w:rsid w:val="775767BB"/>
    <w:rsid w:val="7779068F"/>
    <w:rsid w:val="77AE09E4"/>
    <w:rsid w:val="77B92148"/>
    <w:rsid w:val="77FFE39F"/>
    <w:rsid w:val="781B1736"/>
    <w:rsid w:val="78F051A8"/>
    <w:rsid w:val="79EF18A6"/>
    <w:rsid w:val="7A903B21"/>
    <w:rsid w:val="7AC3080E"/>
    <w:rsid w:val="7C120DEF"/>
    <w:rsid w:val="7CF2196B"/>
    <w:rsid w:val="7D2E7430"/>
    <w:rsid w:val="7D993EC8"/>
    <w:rsid w:val="7D9A013D"/>
    <w:rsid w:val="7E9160CF"/>
    <w:rsid w:val="7EC677D3"/>
    <w:rsid w:val="7FDC2489"/>
    <w:rsid w:val="7FFDEEFD"/>
    <w:rsid w:val="BBFEB28B"/>
    <w:rsid w:val="BEF5A2DA"/>
    <w:rsid w:val="D74FDF30"/>
    <w:rsid w:val="DEAEE68D"/>
    <w:rsid w:val="F7F97754"/>
    <w:rsid w:val="FB7FC3E7"/>
    <w:rsid w:val="FDB576E8"/>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4720</Words>
  <Characters>5449</Characters>
  <Lines>52</Lines>
  <Paragraphs>14</Paragraphs>
  <TotalTime>435</TotalTime>
  <ScaleCrop>false</ScaleCrop>
  <LinksUpToDate>false</LinksUpToDate>
  <CharactersWithSpaces>5780</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2019-07-29T02:37:00Z</dcterms:created>
  <dc:creator>Administrator</dc:creator>
  <cp:lastModifiedBy>greatwall</cp:lastModifiedBy>
  <cp:lastPrinted>2023-08-19T07:10:00Z</cp:lastPrinted>
  <dcterms:modified xsi:type="dcterms:W3CDTF">2023-08-29T11:31:18Z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90D74AD8847844C8B6B3F08FF3278CF3_13</vt:lpwstr>
  </property>
</Properties>
</file>