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天津市津南区海棠街道社区卫生服务中心</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u w:val="none"/>
        </w:rPr>
      </w:pPr>
      <w:bookmarkStart w:id="0" w:name="_Toc859"/>
      <w:r>
        <w:rPr>
          <w:rFonts w:hint="eastAsia" w:ascii="方正小标宋简体" w:hAnsi="方正小标宋简体" w:eastAsia="方正小标宋简体" w:cs="方正小标宋简体"/>
          <w:b w:val="0"/>
          <w:u w:val="none"/>
        </w:rPr>
        <w:t>第一部分  概 况</w:t>
      </w:r>
      <w:bookmarkEnd w:id="0"/>
    </w:p>
    <w:p>
      <w:pPr>
        <w:spacing w:line="600" w:lineRule="exact"/>
        <w:rPr>
          <w:u w:val="none"/>
        </w:rPr>
      </w:pPr>
    </w:p>
    <w:p>
      <w:pPr>
        <w:pStyle w:val="3"/>
        <w:spacing w:before="0" w:after="0" w:line="600" w:lineRule="exact"/>
        <w:ind w:firstLine="600" w:firstLineChars="200"/>
        <w:rPr>
          <w:rFonts w:ascii="黑体" w:hAnsi="黑体" w:eastAsia="黑体"/>
          <w:b w:val="0"/>
          <w:bCs w:val="0"/>
          <w:sz w:val="30"/>
          <w:szCs w:val="30"/>
          <w:u w:val="none"/>
        </w:rPr>
      </w:pPr>
      <w:bookmarkStart w:id="1" w:name="_Toc21919"/>
      <w:r>
        <w:rPr>
          <w:rFonts w:hint="eastAsia" w:ascii="黑体" w:hAnsi="黑体" w:eastAsia="黑体"/>
          <w:b w:val="0"/>
          <w:bCs w:val="0"/>
          <w:sz w:val="30"/>
          <w:szCs w:val="30"/>
          <w:u w:val="none"/>
        </w:rPr>
        <w:t>一、主要职责</w:t>
      </w:r>
      <w:bookmarkEnd w:id="1"/>
    </w:p>
    <w:p>
      <w:pPr>
        <w:spacing w:line="600" w:lineRule="exact"/>
        <w:ind w:firstLine="600" w:firstLineChars="200"/>
        <w:rPr>
          <w:rFonts w:ascii="仿宋_GB2312" w:eastAsia="仿宋_GB2312"/>
          <w:sz w:val="30"/>
          <w:szCs w:val="30"/>
          <w:u w:val="none"/>
        </w:rPr>
      </w:pPr>
      <w:r>
        <w:rPr>
          <w:rFonts w:hint="eastAsia" w:ascii="仿宋_GB2312" w:eastAsia="仿宋_GB2312"/>
          <w:sz w:val="30"/>
          <w:szCs w:val="30"/>
          <w:u w:val="none"/>
        </w:rPr>
        <w:t>天津市津南区海棠街道社区卫生服务中心主要承担疾病预防等公共卫生服务和一般常见病、多发病的基本医疗服务；负责社区预防、保健医疗、康复、健康教育等工作。</w:t>
      </w:r>
    </w:p>
    <w:p>
      <w:pPr>
        <w:pStyle w:val="3"/>
        <w:spacing w:before="0" w:after="0" w:line="600" w:lineRule="exact"/>
        <w:ind w:firstLine="600" w:firstLineChars="200"/>
        <w:rPr>
          <w:rFonts w:ascii="黑体" w:hAnsi="黑体" w:eastAsia="黑体"/>
          <w:b w:val="0"/>
          <w:bCs w:val="0"/>
          <w:sz w:val="30"/>
          <w:szCs w:val="30"/>
          <w:u w:val="none"/>
        </w:rPr>
      </w:pPr>
      <w:bookmarkStart w:id="2" w:name="_Toc17388"/>
      <w:r>
        <w:rPr>
          <w:rFonts w:hint="eastAsia" w:ascii="黑体" w:hAnsi="黑体" w:eastAsia="黑体"/>
          <w:b w:val="0"/>
          <w:bCs w:val="0"/>
          <w:sz w:val="30"/>
          <w:szCs w:val="30"/>
          <w:u w:val="none"/>
        </w:rPr>
        <w:t>二、机构设置</w:t>
      </w:r>
      <w:bookmarkEnd w:id="2"/>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u w:val="none"/>
        </w:rPr>
        <w:t>天津市津南区海棠街道社区卫生服务中心部门</w:t>
      </w:r>
      <w:r>
        <w:rPr>
          <w:rFonts w:eastAsia="仿宋_GB2312"/>
          <w:sz w:val="30"/>
          <w:szCs w:val="30"/>
          <w:u w:val="none"/>
        </w:rPr>
        <w:t>内设</w:t>
      </w:r>
      <w:r>
        <w:rPr>
          <w:rFonts w:hint="eastAsia" w:eastAsia="仿宋_GB2312"/>
          <w:sz w:val="30"/>
          <w:szCs w:val="30"/>
          <w:u w:val="none"/>
          <w:lang w:val="en-US" w:eastAsia="zh-CN"/>
        </w:rPr>
        <w:t>8</w:t>
      </w:r>
      <w:r>
        <w:rPr>
          <w:rFonts w:eastAsia="仿宋_GB2312"/>
          <w:sz w:val="30"/>
          <w:szCs w:val="30"/>
          <w:u w:val="none"/>
        </w:rPr>
        <w:t>个职能处室</w:t>
      </w:r>
      <w:r>
        <w:rPr>
          <w:rFonts w:hint="eastAsia" w:ascii="仿宋_GB2312" w:eastAsia="仿宋_GB2312" w:cs="仿宋_GB2312"/>
          <w:sz w:val="30"/>
          <w:szCs w:val="30"/>
          <w:u w:val="none"/>
        </w:rPr>
        <w:t>。</w:t>
      </w:r>
    </w:p>
    <w:p>
      <w:pPr>
        <w:spacing w:line="600" w:lineRule="exact"/>
        <w:rPr>
          <w:rFonts w:eastAsia="楷体_GB2312"/>
          <w:b/>
          <w:sz w:val="30"/>
          <w:szCs w:val="30"/>
          <w:u w:val="none"/>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u w:val="none"/>
        </w:rPr>
        <w:br w:type="textWrapping"/>
      </w:r>
    </w:p>
    <w:p>
      <w:pPr>
        <w:spacing w:line="600" w:lineRule="exact"/>
        <w:rPr>
          <w:rFonts w:eastAsia="楷体_GB2312"/>
          <w:b/>
          <w:sz w:val="30"/>
          <w:szCs w:val="30"/>
          <w:u w:val="none"/>
        </w:rPr>
      </w:pPr>
    </w:p>
    <w:p>
      <w:pPr>
        <w:pStyle w:val="2"/>
        <w:spacing w:before="0" w:after="0" w:line="600" w:lineRule="exact"/>
        <w:jc w:val="center"/>
        <w:rPr>
          <w:rFonts w:ascii="方正小标宋简体" w:hAnsi="方正小标宋简体" w:eastAsia="方正小标宋简体" w:cs="方正小标宋简体"/>
          <w:b w:val="0"/>
          <w:u w:val="none"/>
        </w:rPr>
      </w:pPr>
      <w:bookmarkStart w:id="3" w:name="_Toc24747"/>
      <w:r>
        <w:rPr>
          <w:rFonts w:ascii="方正小标宋简体" w:hAnsi="方正小标宋简体" w:eastAsia="方正小标宋简体" w:cs="方正小标宋简体"/>
          <w:b w:val="0"/>
          <w:u w:val="none"/>
        </w:rPr>
        <w:t>第</w:t>
      </w:r>
      <w:r>
        <w:rPr>
          <w:rFonts w:hint="eastAsia" w:ascii="方正小标宋简体" w:hAnsi="方正小标宋简体" w:eastAsia="方正小标宋简体" w:cs="方正小标宋简体"/>
          <w:b w:val="0"/>
          <w:u w:val="none"/>
        </w:rPr>
        <w:t>二</w:t>
      </w:r>
      <w:r>
        <w:rPr>
          <w:rFonts w:ascii="方正小标宋简体" w:hAnsi="方正小标宋简体" w:eastAsia="方正小标宋简体" w:cs="方正小标宋简体"/>
          <w:b w:val="0"/>
          <w:u w:val="none"/>
        </w:rPr>
        <w:t xml:space="preserve">部分  </w:t>
      </w:r>
      <w:r>
        <w:rPr>
          <w:rFonts w:hint="eastAsia" w:ascii="方正小标宋简体" w:hAnsi="方正小标宋简体" w:eastAsia="方正小标宋简体" w:cs="方正小标宋简体"/>
          <w:b w:val="0"/>
          <w:u w:val="none"/>
        </w:rPr>
        <w:t>2022</w:t>
      </w:r>
      <w:r>
        <w:rPr>
          <w:rFonts w:ascii="方正小标宋简体" w:hAnsi="方正小标宋简体" w:eastAsia="方正小标宋简体" w:cs="方正小标宋简体"/>
          <w:b w:val="0"/>
          <w:u w:val="none"/>
        </w:rPr>
        <w:t>年度部门决算</w:t>
      </w:r>
      <w:r>
        <w:rPr>
          <w:rFonts w:hint="eastAsia" w:ascii="方正小标宋简体" w:hAnsi="方正小标宋简体" w:eastAsia="方正小标宋简体" w:cs="方正小标宋简体"/>
          <w:b w:val="0"/>
          <w:u w:val="none"/>
        </w:rPr>
        <w:t>表</w:t>
      </w:r>
      <w:bookmarkEnd w:id="3"/>
    </w:p>
    <w:p>
      <w:pPr>
        <w:spacing w:line="600" w:lineRule="exact"/>
        <w:rPr>
          <w:u w:val="none"/>
        </w:rPr>
      </w:pPr>
    </w:p>
    <w:p>
      <w:pPr>
        <w:pStyle w:val="3"/>
        <w:spacing w:before="0" w:after="0" w:line="800" w:lineRule="exact"/>
        <w:ind w:firstLine="600" w:firstLineChars="200"/>
        <w:rPr>
          <w:rFonts w:ascii="黑体" w:hAnsi="黑体" w:eastAsia="黑体"/>
          <w:b w:val="0"/>
          <w:sz w:val="30"/>
          <w:szCs w:val="30"/>
          <w:u w:val="none"/>
        </w:rPr>
      </w:pPr>
      <w:bookmarkStart w:id="4" w:name="_Toc20142"/>
      <w:r>
        <w:rPr>
          <w:rFonts w:ascii="黑体" w:hAnsi="黑体" w:eastAsia="黑体"/>
          <w:b w:val="0"/>
          <w:sz w:val="30"/>
          <w:szCs w:val="30"/>
          <w:u w:val="none"/>
        </w:rPr>
        <w:t>一</w:t>
      </w:r>
      <w:r>
        <w:rPr>
          <w:rFonts w:hint="eastAsia" w:ascii="黑体" w:hAnsi="黑体" w:eastAsia="黑体"/>
          <w:b w:val="0"/>
          <w:sz w:val="30"/>
          <w:szCs w:val="30"/>
          <w:u w:val="none"/>
        </w:rPr>
        <w:t>、</w:t>
      </w:r>
      <w:r>
        <w:rPr>
          <w:rFonts w:ascii="黑体" w:hAnsi="黑体" w:eastAsia="黑体"/>
          <w:b w:val="0"/>
          <w:sz w:val="30"/>
          <w:szCs w:val="30"/>
          <w:u w:val="none"/>
        </w:rPr>
        <w:t>《</w:t>
      </w:r>
      <w:r>
        <w:rPr>
          <w:rFonts w:hint="eastAsia" w:ascii="黑体" w:hAnsi="黑体" w:eastAsia="黑体"/>
          <w:b w:val="0"/>
          <w:sz w:val="30"/>
          <w:szCs w:val="30"/>
          <w:u w:val="none"/>
        </w:rPr>
        <w:t>收入</w:t>
      </w:r>
      <w:r>
        <w:rPr>
          <w:rFonts w:ascii="黑体" w:hAnsi="黑体" w:eastAsia="黑体"/>
          <w:b w:val="0"/>
          <w:sz w:val="30"/>
          <w:szCs w:val="30"/>
          <w:u w:val="none"/>
        </w:rPr>
        <w:t>支出</w:t>
      </w:r>
      <w:r>
        <w:rPr>
          <w:rFonts w:hint="eastAsia" w:ascii="黑体" w:hAnsi="黑体" w:eastAsia="黑体"/>
          <w:b w:val="0"/>
          <w:sz w:val="30"/>
          <w:szCs w:val="30"/>
          <w:u w:val="none"/>
        </w:rPr>
        <w:t>决算总</w:t>
      </w:r>
      <w:r>
        <w:rPr>
          <w:rFonts w:ascii="黑体" w:hAnsi="黑体" w:eastAsia="黑体"/>
          <w:b w:val="0"/>
          <w:sz w:val="30"/>
          <w:szCs w:val="30"/>
          <w:u w:val="none"/>
        </w:rPr>
        <w:t>表》</w:t>
      </w:r>
      <w:bookmarkEnd w:id="4"/>
    </w:p>
    <w:p>
      <w:pPr>
        <w:pStyle w:val="3"/>
        <w:spacing w:before="0" w:after="0" w:line="800" w:lineRule="exact"/>
        <w:ind w:firstLine="600" w:firstLineChars="200"/>
        <w:rPr>
          <w:rFonts w:ascii="黑体" w:hAnsi="黑体" w:eastAsia="黑体"/>
          <w:b w:val="0"/>
          <w:sz w:val="30"/>
          <w:szCs w:val="30"/>
          <w:u w:val="none"/>
        </w:rPr>
      </w:pPr>
      <w:bookmarkStart w:id="5" w:name="_Toc1616"/>
      <w:r>
        <w:rPr>
          <w:rFonts w:ascii="黑体" w:hAnsi="黑体" w:eastAsia="黑体"/>
          <w:b w:val="0"/>
          <w:sz w:val="30"/>
          <w:szCs w:val="30"/>
          <w:u w:val="none"/>
        </w:rPr>
        <w:t>二、《收入</w:t>
      </w:r>
      <w:r>
        <w:rPr>
          <w:rFonts w:hint="eastAsia" w:ascii="黑体" w:hAnsi="黑体" w:eastAsia="黑体"/>
          <w:b w:val="0"/>
          <w:sz w:val="30"/>
          <w:szCs w:val="30"/>
          <w:u w:val="none"/>
        </w:rPr>
        <w:t>决算</w:t>
      </w:r>
      <w:r>
        <w:rPr>
          <w:rFonts w:ascii="黑体" w:hAnsi="黑体" w:eastAsia="黑体"/>
          <w:b w:val="0"/>
          <w:sz w:val="30"/>
          <w:szCs w:val="30"/>
          <w:u w:val="none"/>
        </w:rPr>
        <w:t>表</w:t>
      </w:r>
      <w:r>
        <w:rPr>
          <w:rFonts w:hint="eastAsia" w:ascii="黑体" w:hAnsi="黑体" w:eastAsia="黑体"/>
          <w:b w:val="0"/>
          <w:sz w:val="30"/>
          <w:szCs w:val="30"/>
          <w:u w:val="none"/>
        </w:rPr>
        <w:t>（按功能分类列示）</w:t>
      </w:r>
      <w:r>
        <w:rPr>
          <w:rFonts w:ascii="黑体" w:hAnsi="黑体" w:eastAsia="黑体"/>
          <w:b w:val="0"/>
          <w:sz w:val="30"/>
          <w:szCs w:val="30"/>
          <w:u w:val="none"/>
        </w:rPr>
        <w:t>》</w:t>
      </w:r>
      <w:bookmarkEnd w:id="5"/>
    </w:p>
    <w:p>
      <w:pPr>
        <w:pStyle w:val="3"/>
        <w:spacing w:before="0" w:after="0" w:line="800" w:lineRule="exact"/>
        <w:ind w:firstLine="600" w:firstLineChars="200"/>
        <w:rPr>
          <w:rFonts w:ascii="黑体" w:hAnsi="黑体" w:eastAsia="黑体"/>
          <w:b w:val="0"/>
          <w:sz w:val="30"/>
          <w:szCs w:val="30"/>
          <w:u w:val="none"/>
        </w:rPr>
      </w:pPr>
      <w:bookmarkStart w:id="6" w:name="_Toc12050"/>
      <w:r>
        <w:rPr>
          <w:rFonts w:hint="eastAsia" w:ascii="黑体" w:hAnsi="黑体" w:eastAsia="黑体"/>
          <w:b w:val="0"/>
          <w:sz w:val="30"/>
          <w:szCs w:val="30"/>
          <w:u w:val="none"/>
        </w:rPr>
        <w:t>三</w:t>
      </w:r>
      <w:r>
        <w:rPr>
          <w:rFonts w:ascii="黑体" w:hAnsi="黑体" w:eastAsia="黑体"/>
          <w:b w:val="0"/>
          <w:sz w:val="30"/>
          <w:szCs w:val="30"/>
          <w:u w:val="none"/>
        </w:rPr>
        <w:t>、《收入</w:t>
      </w:r>
      <w:r>
        <w:rPr>
          <w:rFonts w:hint="eastAsia" w:ascii="黑体" w:hAnsi="黑体" w:eastAsia="黑体"/>
          <w:b w:val="0"/>
          <w:sz w:val="30"/>
          <w:szCs w:val="30"/>
          <w:u w:val="none"/>
        </w:rPr>
        <w:t>决算</w:t>
      </w:r>
      <w:r>
        <w:rPr>
          <w:rFonts w:ascii="黑体" w:hAnsi="黑体" w:eastAsia="黑体"/>
          <w:b w:val="0"/>
          <w:sz w:val="30"/>
          <w:szCs w:val="30"/>
          <w:u w:val="none"/>
        </w:rPr>
        <w:t>表</w:t>
      </w:r>
      <w:r>
        <w:rPr>
          <w:rFonts w:hint="eastAsia" w:ascii="黑体" w:hAnsi="黑体" w:eastAsia="黑体"/>
          <w:b w:val="0"/>
          <w:sz w:val="30"/>
          <w:szCs w:val="30"/>
          <w:u w:val="none"/>
        </w:rPr>
        <w:t>（按单位列示）</w:t>
      </w:r>
      <w:r>
        <w:rPr>
          <w:rFonts w:ascii="黑体" w:hAnsi="黑体" w:eastAsia="黑体"/>
          <w:b w:val="0"/>
          <w:sz w:val="30"/>
          <w:szCs w:val="30"/>
          <w:u w:val="none"/>
        </w:rPr>
        <w:t>》</w:t>
      </w:r>
      <w:bookmarkEnd w:id="6"/>
    </w:p>
    <w:p>
      <w:pPr>
        <w:pStyle w:val="3"/>
        <w:spacing w:before="0" w:after="0" w:line="800" w:lineRule="exact"/>
        <w:ind w:firstLine="600" w:firstLineChars="200"/>
        <w:rPr>
          <w:rFonts w:ascii="黑体" w:hAnsi="黑体" w:eastAsia="黑体"/>
          <w:b w:val="0"/>
          <w:sz w:val="30"/>
          <w:szCs w:val="30"/>
          <w:u w:val="none"/>
        </w:rPr>
      </w:pPr>
      <w:bookmarkStart w:id="7" w:name="_Toc1989"/>
      <w:r>
        <w:rPr>
          <w:rFonts w:hint="eastAsia" w:ascii="黑体" w:hAnsi="黑体" w:eastAsia="黑体"/>
          <w:b w:val="0"/>
          <w:sz w:val="30"/>
          <w:szCs w:val="30"/>
          <w:u w:val="none"/>
        </w:rPr>
        <w:t>四、</w:t>
      </w:r>
      <w:r>
        <w:rPr>
          <w:rFonts w:ascii="黑体" w:hAnsi="黑体" w:eastAsia="黑体"/>
          <w:b w:val="0"/>
          <w:sz w:val="30"/>
          <w:szCs w:val="30"/>
          <w:u w:val="none"/>
        </w:rPr>
        <w:t>《支出</w:t>
      </w:r>
      <w:r>
        <w:rPr>
          <w:rFonts w:hint="eastAsia" w:ascii="黑体" w:hAnsi="黑体" w:eastAsia="黑体"/>
          <w:b w:val="0"/>
          <w:sz w:val="30"/>
          <w:szCs w:val="30"/>
          <w:u w:val="none"/>
        </w:rPr>
        <w:t>决算</w:t>
      </w:r>
      <w:r>
        <w:rPr>
          <w:rFonts w:ascii="黑体" w:hAnsi="黑体" w:eastAsia="黑体"/>
          <w:b w:val="0"/>
          <w:sz w:val="30"/>
          <w:szCs w:val="30"/>
          <w:u w:val="none"/>
        </w:rPr>
        <w:t>表》</w:t>
      </w:r>
      <w:bookmarkEnd w:id="7"/>
    </w:p>
    <w:p>
      <w:pPr>
        <w:pStyle w:val="3"/>
        <w:spacing w:before="0" w:after="0" w:line="800" w:lineRule="exact"/>
        <w:ind w:firstLine="600" w:firstLineChars="200"/>
        <w:rPr>
          <w:rFonts w:ascii="黑体" w:hAnsi="黑体" w:eastAsia="黑体"/>
          <w:b w:val="0"/>
          <w:sz w:val="30"/>
          <w:szCs w:val="30"/>
          <w:u w:val="none"/>
        </w:rPr>
      </w:pPr>
      <w:bookmarkStart w:id="8" w:name="_Toc32498"/>
      <w:r>
        <w:rPr>
          <w:rFonts w:ascii="黑体" w:hAnsi="黑体" w:eastAsia="黑体"/>
          <w:b w:val="0"/>
          <w:sz w:val="30"/>
          <w:szCs w:val="30"/>
          <w:u w:val="none"/>
        </w:rPr>
        <w:t>五</w:t>
      </w:r>
      <w:r>
        <w:rPr>
          <w:rFonts w:hint="eastAsia" w:ascii="黑体" w:hAnsi="黑体" w:eastAsia="黑体"/>
          <w:b w:val="0"/>
          <w:sz w:val="30"/>
          <w:szCs w:val="30"/>
          <w:u w:val="none"/>
        </w:rPr>
        <w:t>、</w:t>
      </w:r>
      <w:r>
        <w:rPr>
          <w:rFonts w:ascii="黑体" w:hAnsi="黑体" w:eastAsia="黑体"/>
          <w:b w:val="0"/>
          <w:sz w:val="30"/>
          <w:szCs w:val="30"/>
          <w:u w:val="none"/>
        </w:rPr>
        <w:t>《财政拨款</w:t>
      </w:r>
      <w:r>
        <w:rPr>
          <w:rFonts w:hint="eastAsia" w:ascii="黑体" w:hAnsi="黑体" w:eastAsia="黑体"/>
          <w:b w:val="0"/>
          <w:sz w:val="30"/>
          <w:szCs w:val="30"/>
          <w:u w:val="none"/>
        </w:rPr>
        <w:t>收入</w:t>
      </w:r>
      <w:r>
        <w:rPr>
          <w:rFonts w:ascii="黑体" w:hAnsi="黑体" w:eastAsia="黑体"/>
          <w:b w:val="0"/>
          <w:sz w:val="30"/>
          <w:szCs w:val="30"/>
          <w:u w:val="none"/>
        </w:rPr>
        <w:t>支出</w:t>
      </w:r>
      <w:r>
        <w:rPr>
          <w:rFonts w:hint="eastAsia" w:ascii="黑体" w:hAnsi="黑体" w:eastAsia="黑体"/>
          <w:b w:val="0"/>
          <w:sz w:val="30"/>
          <w:szCs w:val="30"/>
          <w:u w:val="none"/>
        </w:rPr>
        <w:t>决算总</w:t>
      </w:r>
      <w:r>
        <w:rPr>
          <w:rFonts w:ascii="黑体" w:hAnsi="黑体" w:eastAsia="黑体"/>
          <w:b w:val="0"/>
          <w:sz w:val="30"/>
          <w:szCs w:val="30"/>
          <w:u w:val="none"/>
        </w:rPr>
        <w:t>表》</w:t>
      </w:r>
      <w:bookmarkEnd w:id="8"/>
    </w:p>
    <w:p>
      <w:pPr>
        <w:pStyle w:val="3"/>
        <w:spacing w:before="0" w:after="0" w:line="800" w:lineRule="exact"/>
        <w:ind w:firstLine="600" w:firstLineChars="200"/>
        <w:rPr>
          <w:rFonts w:ascii="黑体" w:hAnsi="黑体" w:eastAsia="黑体"/>
          <w:b w:val="0"/>
          <w:sz w:val="30"/>
          <w:szCs w:val="30"/>
          <w:u w:val="none"/>
        </w:rPr>
      </w:pPr>
      <w:bookmarkStart w:id="9" w:name="_Toc26379"/>
      <w:r>
        <w:rPr>
          <w:rFonts w:ascii="黑体" w:hAnsi="黑体" w:eastAsia="黑体"/>
          <w:b w:val="0"/>
          <w:sz w:val="30"/>
          <w:szCs w:val="30"/>
          <w:u w:val="none"/>
        </w:rPr>
        <w:t>六</w:t>
      </w:r>
      <w:r>
        <w:rPr>
          <w:rFonts w:hint="eastAsia" w:ascii="黑体" w:hAnsi="黑体" w:eastAsia="黑体"/>
          <w:b w:val="0"/>
          <w:sz w:val="30"/>
          <w:szCs w:val="30"/>
          <w:u w:val="none"/>
        </w:rPr>
        <w:t>、</w:t>
      </w:r>
      <w:r>
        <w:rPr>
          <w:rFonts w:ascii="黑体" w:hAnsi="黑体" w:eastAsia="黑体"/>
          <w:b w:val="0"/>
          <w:sz w:val="30"/>
          <w:szCs w:val="30"/>
          <w:u w:val="none"/>
        </w:rPr>
        <w:t>《一般公共预算财政拨款支出</w:t>
      </w:r>
      <w:r>
        <w:rPr>
          <w:rFonts w:hint="eastAsia" w:ascii="黑体" w:hAnsi="黑体" w:eastAsia="黑体"/>
          <w:b w:val="0"/>
          <w:sz w:val="30"/>
          <w:szCs w:val="30"/>
          <w:u w:val="none"/>
        </w:rPr>
        <w:t>决算</w:t>
      </w:r>
      <w:r>
        <w:rPr>
          <w:rFonts w:ascii="黑体" w:hAnsi="黑体" w:eastAsia="黑体"/>
          <w:b w:val="0"/>
          <w:sz w:val="30"/>
          <w:szCs w:val="30"/>
          <w:u w:val="none"/>
        </w:rPr>
        <w:t>表》</w:t>
      </w:r>
      <w:bookmarkEnd w:id="9"/>
    </w:p>
    <w:p>
      <w:pPr>
        <w:pStyle w:val="3"/>
        <w:spacing w:before="0" w:after="0" w:line="800" w:lineRule="exact"/>
        <w:ind w:firstLine="600" w:firstLineChars="200"/>
        <w:rPr>
          <w:rFonts w:ascii="黑体" w:hAnsi="黑体" w:eastAsia="黑体"/>
          <w:b w:val="0"/>
          <w:sz w:val="30"/>
          <w:szCs w:val="30"/>
          <w:u w:val="none"/>
        </w:rPr>
      </w:pPr>
      <w:bookmarkStart w:id="10" w:name="_Toc4498"/>
      <w:r>
        <w:rPr>
          <w:rFonts w:ascii="黑体" w:hAnsi="黑体" w:eastAsia="黑体"/>
          <w:b w:val="0"/>
          <w:sz w:val="30"/>
          <w:szCs w:val="30"/>
          <w:u w:val="none"/>
        </w:rPr>
        <w:t>七</w:t>
      </w:r>
      <w:r>
        <w:rPr>
          <w:rFonts w:hint="eastAsia" w:ascii="黑体" w:hAnsi="黑体" w:eastAsia="黑体"/>
          <w:b w:val="0"/>
          <w:sz w:val="30"/>
          <w:szCs w:val="30"/>
          <w:u w:val="none"/>
        </w:rPr>
        <w:t>、</w:t>
      </w:r>
      <w:r>
        <w:rPr>
          <w:rFonts w:ascii="黑体" w:hAnsi="黑体" w:eastAsia="黑体"/>
          <w:b w:val="0"/>
          <w:sz w:val="30"/>
          <w:szCs w:val="30"/>
          <w:u w:val="none"/>
        </w:rPr>
        <w:t>《一般公共预算财政拨款基本支出</w:t>
      </w:r>
      <w:r>
        <w:rPr>
          <w:rFonts w:hint="eastAsia" w:ascii="黑体" w:hAnsi="黑体" w:eastAsia="黑体"/>
          <w:b w:val="0"/>
          <w:sz w:val="30"/>
          <w:szCs w:val="30"/>
          <w:u w:val="none"/>
        </w:rPr>
        <w:t>决算</w:t>
      </w:r>
      <w:r>
        <w:rPr>
          <w:rFonts w:ascii="黑体" w:hAnsi="黑体" w:eastAsia="黑体"/>
          <w:b w:val="0"/>
          <w:sz w:val="30"/>
          <w:szCs w:val="30"/>
          <w:u w:val="none"/>
        </w:rPr>
        <w:t>表》</w:t>
      </w:r>
      <w:bookmarkEnd w:id="10"/>
    </w:p>
    <w:p>
      <w:pPr>
        <w:pStyle w:val="3"/>
        <w:spacing w:before="0" w:after="0" w:line="800" w:lineRule="exact"/>
        <w:ind w:firstLine="600" w:firstLineChars="200"/>
        <w:rPr>
          <w:rFonts w:ascii="黑体" w:hAnsi="黑体" w:eastAsia="黑体"/>
          <w:b w:val="0"/>
          <w:sz w:val="30"/>
          <w:szCs w:val="30"/>
          <w:u w:val="none"/>
        </w:rPr>
      </w:pPr>
      <w:bookmarkStart w:id="11" w:name="_Toc18038"/>
      <w:r>
        <w:rPr>
          <w:rFonts w:hint="eastAsia" w:ascii="黑体" w:hAnsi="黑体" w:eastAsia="黑体"/>
          <w:b w:val="0"/>
          <w:sz w:val="30"/>
          <w:szCs w:val="30"/>
          <w:u w:val="none"/>
        </w:rPr>
        <w:t>八、</w:t>
      </w:r>
      <w:r>
        <w:rPr>
          <w:rFonts w:ascii="黑体" w:hAnsi="黑体" w:eastAsia="黑体"/>
          <w:b w:val="0"/>
          <w:sz w:val="30"/>
          <w:szCs w:val="30"/>
          <w:u w:val="none"/>
        </w:rPr>
        <w:t>《政府性基金预算财政拨款</w:t>
      </w:r>
      <w:r>
        <w:rPr>
          <w:rFonts w:hint="eastAsia" w:ascii="黑体" w:hAnsi="黑体" w:eastAsia="黑体"/>
          <w:b w:val="0"/>
          <w:sz w:val="30"/>
          <w:szCs w:val="30"/>
          <w:u w:val="none"/>
        </w:rPr>
        <w:t>收入</w:t>
      </w:r>
      <w:r>
        <w:rPr>
          <w:rFonts w:ascii="黑体" w:hAnsi="黑体" w:eastAsia="黑体"/>
          <w:b w:val="0"/>
          <w:sz w:val="30"/>
          <w:szCs w:val="30"/>
          <w:u w:val="none"/>
        </w:rPr>
        <w:t>支出</w:t>
      </w:r>
      <w:r>
        <w:rPr>
          <w:rFonts w:hint="eastAsia" w:ascii="黑体" w:hAnsi="黑体" w:eastAsia="黑体"/>
          <w:b w:val="0"/>
          <w:sz w:val="30"/>
          <w:szCs w:val="30"/>
          <w:u w:val="none"/>
        </w:rPr>
        <w:t>决算</w:t>
      </w:r>
      <w:r>
        <w:rPr>
          <w:rFonts w:ascii="黑体" w:hAnsi="黑体" w:eastAsia="黑体"/>
          <w:b w:val="0"/>
          <w:sz w:val="30"/>
          <w:szCs w:val="30"/>
          <w:u w:val="none"/>
        </w:rPr>
        <w:t>表》</w:t>
      </w:r>
      <w:bookmarkEnd w:id="11"/>
    </w:p>
    <w:p>
      <w:pPr>
        <w:pStyle w:val="3"/>
        <w:spacing w:before="0" w:after="0" w:line="800" w:lineRule="exact"/>
        <w:ind w:firstLine="600" w:firstLineChars="200"/>
        <w:rPr>
          <w:rFonts w:ascii="黑体" w:hAnsi="黑体" w:eastAsia="黑体"/>
          <w:b w:val="0"/>
          <w:sz w:val="30"/>
          <w:szCs w:val="30"/>
          <w:u w:val="none"/>
        </w:rPr>
      </w:pPr>
      <w:bookmarkStart w:id="12" w:name="_Toc13200"/>
      <w:r>
        <w:rPr>
          <w:rFonts w:hint="eastAsia" w:ascii="黑体" w:hAnsi="黑体" w:eastAsia="黑体"/>
          <w:b w:val="0"/>
          <w:sz w:val="30"/>
          <w:szCs w:val="30"/>
          <w:u w:val="none"/>
        </w:rPr>
        <w:t>九、</w:t>
      </w:r>
      <w:r>
        <w:rPr>
          <w:rFonts w:ascii="黑体" w:hAnsi="黑体" w:eastAsia="黑体"/>
          <w:b w:val="0"/>
          <w:sz w:val="30"/>
          <w:szCs w:val="30"/>
          <w:u w:val="none"/>
        </w:rPr>
        <w:t>《国有资本经营预算财政拨款</w:t>
      </w:r>
      <w:r>
        <w:rPr>
          <w:rFonts w:hint="eastAsia" w:ascii="黑体" w:hAnsi="黑体" w:eastAsia="黑体"/>
          <w:b w:val="0"/>
          <w:sz w:val="30"/>
          <w:szCs w:val="30"/>
          <w:u w:val="none"/>
        </w:rPr>
        <w:t>收入支出决算</w:t>
      </w:r>
      <w:r>
        <w:rPr>
          <w:rFonts w:ascii="黑体" w:hAnsi="黑体" w:eastAsia="黑体"/>
          <w:b w:val="0"/>
          <w:sz w:val="30"/>
          <w:szCs w:val="30"/>
          <w:u w:val="none"/>
        </w:rPr>
        <w:t>表》</w:t>
      </w:r>
      <w:bookmarkEnd w:id="12"/>
    </w:p>
    <w:p>
      <w:pPr>
        <w:pStyle w:val="3"/>
        <w:spacing w:before="0" w:after="0" w:line="800" w:lineRule="exact"/>
        <w:ind w:firstLine="600" w:firstLineChars="200"/>
        <w:rPr>
          <w:rFonts w:ascii="黑体" w:hAnsi="黑体" w:eastAsia="黑体"/>
          <w:b w:val="0"/>
          <w:sz w:val="30"/>
          <w:szCs w:val="30"/>
          <w:u w:val="none"/>
        </w:rPr>
      </w:pPr>
      <w:bookmarkStart w:id="13" w:name="_Toc3423"/>
      <w:r>
        <w:rPr>
          <w:rFonts w:hint="eastAsia" w:ascii="黑体" w:hAnsi="黑体" w:eastAsia="黑体"/>
          <w:b w:val="0"/>
          <w:sz w:val="30"/>
          <w:szCs w:val="30"/>
          <w:u w:val="none"/>
        </w:rPr>
        <w:t>十、</w:t>
      </w:r>
      <w:r>
        <w:rPr>
          <w:rFonts w:ascii="黑体" w:hAnsi="黑体" w:eastAsia="黑体"/>
          <w:b w:val="0"/>
          <w:sz w:val="30"/>
          <w:szCs w:val="30"/>
          <w:u w:val="none"/>
        </w:rPr>
        <w:t>《一般公共预算财政拨款“三公”经费支出</w:t>
      </w:r>
      <w:r>
        <w:rPr>
          <w:rFonts w:hint="eastAsia" w:ascii="黑体" w:hAnsi="黑体" w:eastAsia="黑体"/>
          <w:b w:val="0"/>
          <w:sz w:val="30"/>
          <w:szCs w:val="30"/>
          <w:u w:val="none"/>
        </w:rPr>
        <w:t>决算</w:t>
      </w:r>
      <w:r>
        <w:rPr>
          <w:rFonts w:ascii="黑体" w:hAnsi="黑体" w:eastAsia="黑体"/>
          <w:b w:val="0"/>
          <w:sz w:val="30"/>
          <w:szCs w:val="30"/>
          <w:u w:val="none"/>
        </w:rPr>
        <w:t>表》</w:t>
      </w:r>
      <w:bookmarkEnd w:id="13"/>
    </w:p>
    <w:p>
      <w:pPr>
        <w:pStyle w:val="3"/>
        <w:spacing w:before="0" w:after="0" w:line="800" w:lineRule="exact"/>
        <w:ind w:firstLine="600" w:firstLineChars="200"/>
        <w:rPr>
          <w:rFonts w:ascii="黑体" w:hAnsi="黑体" w:eastAsia="黑体"/>
          <w:b w:val="0"/>
          <w:sz w:val="30"/>
          <w:szCs w:val="30"/>
          <w:u w:val="none"/>
        </w:rPr>
      </w:pPr>
      <w:bookmarkStart w:id="14" w:name="_Toc3915"/>
      <w:r>
        <w:rPr>
          <w:rFonts w:ascii="黑体" w:hAnsi="黑体" w:eastAsia="黑体"/>
          <w:b w:val="0"/>
          <w:sz w:val="30"/>
          <w:szCs w:val="30"/>
          <w:u w:val="none"/>
        </w:rPr>
        <w:t>十</w:t>
      </w:r>
      <w:r>
        <w:rPr>
          <w:rFonts w:hint="eastAsia" w:ascii="黑体" w:hAnsi="黑体" w:eastAsia="黑体"/>
          <w:b w:val="0"/>
          <w:sz w:val="30"/>
          <w:szCs w:val="30"/>
          <w:u w:val="none"/>
        </w:rPr>
        <w:t>一、</w:t>
      </w:r>
      <w:r>
        <w:rPr>
          <w:rFonts w:ascii="黑体" w:hAnsi="黑体" w:eastAsia="黑体"/>
          <w:b w:val="0"/>
          <w:sz w:val="30"/>
          <w:szCs w:val="30"/>
          <w:u w:val="none"/>
        </w:rPr>
        <w:t>《项目支出决算表》</w:t>
      </w:r>
      <w:bookmarkEnd w:id="14"/>
    </w:p>
    <w:p>
      <w:pPr>
        <w:spacing w:line="800" w:lineRule="exact"/>
        <w:rPr>
          <w:u w:val="none"/>
        </w:rPr>
      </w:pPr>
      <w:r>
        <w:rPr>
          <w:rFonts w:hint="eastAsia" w:eastAsia="楷体"/>
          <w:sz w:val="30"/>
          <w:szCs w:val="30"/>
          <w:u w:val="none"/>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u w:val="none"/>
        </w:rPr>
      </w:pPr>
      <w:bookmarkStart w:id="15" w:name="_Toc17260"/>
      <w:r>
        <w:rPr>
          <w:rFonts w:hint="eastAsia" w:ascii="黑体" w:hAnsi="黑体" w:eastAsia="黑体"/>
          <w:b w:val="0"/>
          <w:bCs w:val="0"/>
          <w:sz w:val="30"/>
          <w:szCs w:val="30"/>
          <w:u w:val="none"/>
        </w:rPr>
        <w:t>关于空表的说明</w:t>
      </w:r>
      <w:bookmarkEnd w:id="15"/>
    </w:p>
    <w:p>
      <w:pPr>
        <w:spacing w:line="600" w:lineRule="exact"/>
        <w:rPr>
          <w:rFonts w:ascii="仿宋_GB2312" w:eastAsia="仿宋_GB2312" w:cs="仿宋_GB2312"/>
          <w:sz w:val="30"/>
          <w:szCs w:val="30"/>
          <w:u w:val="none"/>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u w:val="none"/>
        </w:rPr>
        <w:t xml:space="preserve">    天津市津南区海棠街道社区卫生服务中心2022年度政府性基金预算财政拨款收入支出决算表为空表。</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天津市津南区海棠街道社区卫生服务中心2022年度国有资本经营预算财政拨款收入支出决算表为空表。</w:t>
      </w:r>
    </w:p>
    <w:p>
      <w:pPr>
        <w:spacing w:line="600" w:lineRule="exact"/>
        <w:rPr>
          <w:rFonts w:ascii="仿宋_GB2312" w:eastAsia="仿宋_GB2312" w:cs="仿宋_GB2312"/>
          <w:sz w:val="30"/>
          <w:szCs w:val="30"/>
          <w:u w:val="none"/>
        </w:rPr>
      </w:pPr>
    </w:p>
    <w:p>
      <w:pPr>
        <w:pStyle w:val="2"/>
        <w:spacing w:before="0" w:after="0" w:line="600" w:lineRule="exact"/>
        <w:jc w:val="center"/>
        <w:rPr>
          <w:rFonts w:ascii="方正小标宋简体" w:hAnsi="方正小标宋简体" w:eastAsia="方正小标宋简体" w:cs="方正小标宋简体"/>
          <w:b w:val="0"/>
          <w:u w:val="none"/>
        </w:rPr>
      </w:pPr>
      <w:bookmarkStart w:id="16" w:name="_Toc396"/>
      <w:r>
        <w:rPr>
          <w:rFonts w:ascii="方正小标宋简体" w:hAnsi="方正小标宋简体" w:eastAsia="方正小标宋简体" w:cs="方正小标宋简体"/>
          <w:b w:val="0"/>
          <w:u w:val="none"/>
        </w:rPr>
        <w:t>第</w:t>
      </w:r>
      <w:r>
        <w:rPr>
          <w:rFonts w:hint="eastAsia" w:ascii="方正小标宋简体" w:hAnsi="方正小标宋简体" w:eastAsia="方正小标宋简体" w:cs="方正小标宋简体"/>
          <w:b w:val="0"/>
          <w:u w:val="none"/>
        </w:rPr>
        <w:t>三</w:t>
      </w:r>
      <w:r>
        <w:rPr>
          <w:rFonts w:ascii="方正小标宋简体" w:hAnsi="方正小标宋简体" w:eastAsia="方正小标宋简体" w:cs="方正小标宋简体"/>
          <w:b w:val="0"/>
          <w:u w:val="none"/>
        </w:rPr>
        <w:t xml:space="preserve">部分  </w:t>
      </w:r>
      <w:r>
        <w:rPr>
          <w:rFonts w:hint="eastAsia" w:ascii="方正小标宋简体" w:hAnsi="方正小标宋简体" w:eastAsia="方正小标宋简体" w:cs="方正小标宋简体"/>
          <w:b w:val="0"/>
          <w:u w:val="none"/>
        </w:rPr>
        <w:t>2022</w:t>
      </w:r>
      <w:r>
        <w:rPr>
          <w:rFonts w:ascii="方正小标宋简体" w:hAnsi="方正小标宋简体" w:eastAsia="方正小标宋简体" w:cs="方正小标宋简体"/>
          <w:b w:val="0"/>
          <w:u w:val="none"/>
        </w:rPr>
        <w:t>年度部门决算</w:t>
      </w:r>
      <w:r>
        <w:rPr>
          <w:rFonts w:hint="eastAsia" w:ascii="方正小标宋简体" w:hAnsi="方正小标宋简体" w:eastAsia="方正小标宋简体" w:cs="方正小标宋简体"/>
          <w:b w:val="0"/>
          <w:u w:val="none"/>
        </w:rPr>
        <w:t>情况</w:t>
      </w:r>
      <w:r>
        <w:rPr>
          <w:rFonts w:ascii="方正小标宋简体" w:hAnsi="方正小标宋简体" w:eastAsia="方正小标宋简体" w:cs="方正小标宋简体"/>
          <w:b w:val="0"/>
          <w:u w:val="none"/>
        </w:rPr>
        <w:t>说明</w:t>
      </w:r>
      <w:bookmarkEnd w:id="16"/>
    </w:p>
    <w:p>
      <w:pPr>
        <w:spacing w:line="600" w:lineRule="exact"/>
        <w:ind w:firstLine="600" w:firstLineChars="200"/>
        <w:rPr>
          <w:rFonts w:ascii="黑体" w:eastAsia="黑体"/>
          <w:sz w:val="30"/>
          <w:szCs w:val="30"/>
          <w:u w:val="none"/>
        </w:rPr>
      </w:pPr>
    </w:p>
    <w:p>
      <w:pPr>
        <w:pStyle w:val="3"/>
        <w:spacing w:before="0" w:after="0" w:line="600" w:lineRule="exact"/>
        <w:ind w:firstLine="600" w:firstLineChars="200"/>
        <w:rPr>
          <w:rFonts w:ascii="黑体" w:hAnsi="黑体" w:eastAsia="黑体"/>
          <w:b w:val="0"/>
          <w:sz w:val="30"/>
          <w:szCs w:val="30"/>
          <w:u w:val="none"/>
        </w:rPr>
      </w:pPr>
      <w:bookmarkStart w:id="17" w:name="_Toc24340"/>
      <w:r>
        <w:rPr>
          <w:rFonts w:hint="eastAsia" w:ascii="黑体" w:hAnsi="黑体" w:eastAsia="黑体"/>
          <w:b w:val="0"/>
          <w:sz w:val="30"/>
          <w:szCs w:val="30"/>
          <w:u w:val="none"/>
        </w:rPr>
        <w:t>一、收入支出决算总体情况说明</w:t>
      </w:r>
      <w:bookmarkEnd w:id="17"/>
    </w:p>
    <w:p>
      <w:pPr>
        <w:spacing w:line="600" w:lineRule="exact"/>
        <w:rPr>
          <w:rFonts w:eastAsia="楷体_GB2312"/>
          <w:b/>
          <w:sz w:val="30"/>
          <w:szCs w:val="30"/>
          <w:u w:val="none"/>
        </w:rPr>
      </w:pPr>
      <w:r>
        <w:rPr>
          <w:rFonts w:hint="eastAsia" w:eastAsia="仿宋_GB2312"/>
          <w:sz w:val="30"/>
          <w:szCs w:val="30"/>
          <w:u w:val="none"/>
        </w:rPr>
        <w:t xml:space="preserve">    </w:t>
      </w:r>
      <w:r>
        <w:rPr>
          <w:rFonts w:hint="eastAsia" w:ascii="仿宋_GB2312" w:eastAsia="仿宋_GB2312" w:cs="仿宋_GB2312"/>
          <w:sz w:val="30"/>
          <w:szCs w:val="30"/>
          <w:u w:val="none"/>
        </w:rPr>
        <w:t>天津市津南区海棠街道社区卫生服务中心</w:t>
      </w:r>
      <w:r>
        <w:rPr>
          <w:rFonts w:hint="eastAsia" w:eastAsia="楷体"/>
          <w:sz w:val="30"/>
          <w:szCs w:val="30"/>
          <w:u w:val="none"/>
        </w:rPr>
        <w:t>2022</w:t>
      </w:r>
      <w:r>
        <w:rPr>
          <w:rFonts w:hint="eastAsia" w:ascii="仿宋_GB2312" w:eastAsia="仿宋_GB2312" w:cs="仿宋_GB2312"/>
          <w:sz w:val="30"/>
          <w:szCs w:val="30"/>
          <w:u w:val="none"/>
        </w:rPr>
        <w:t>年度收入、支出决算总计12658140.28元。与2021年度相比，收、支总计各增加8103439.25元，增长177.91%，主要原因是</w:t>
      </w:r>
      <w:r>
        <w:rPr>
          <w:rFonts w:eastAsia="仿宋_GB2312"/>
          <w:sz w:val="30"/>
          <w:szCs w:val="30"/>
          <w:u w:val="none"/>
        </w:rPr>
        <w:t xml:space="preserve"> </w:t>
      </w:r>
      <w:r>
        <w:rPr>
          <w:rFonts w:hint="eastAsia" w:eastAsia="仿宋_GB2312"/>
          <w:sz w:val="30"/>
          <w:szCs w:val="30"/>
          <w:u w:val="none"/>
        </w:rPr>
        <w:t>本单位为2021年5月新成立单位，</w:t>
      </w:r>
      <w:r>
        <w:rPr>
          <w:rFonts w:hint="eastAsia" w:eastAsia="仿宋_GB2312"/>
          <w:sz w:val="30"/>
          <w:szCs w:val="30"/>
          <w:u w:val="none"/>
          <w:lang w:val="en-US" w:eastAsia="zh-CN"/>
        </w:rPr>
        <w:t>8月开始业务运营，</w:t>
      </w:r>
      <w:r>
        <w:rPr>
          <w:rFonts w:hint="eastAsia" w:eastAsia="仿宋_GB2312"/>
          <w:sz w:val="30"/>
          <w:szCs w:val="30"/>
          <w:u w:val="none"/>
        </w:rPr>
        <w:t>2021年预算收、支</w:t>
      </w:r>
      <w:r>
        <w:rPr>
          <w:rFonts w:hint="eastAsia" w:eastAsia="仿宋_GB2312"/>
          <w:sz w:val="30"/>
          <w:szCs w:val="30"/>
          <w:u w:val="none"/>
          <w:lang w:val="en-US" w:eastAsia="zh-CN"/>
        </w:rPr>
        <w:t>仅为5个月收支情况，2022年为全年预算收支情况，较2021年有所增加</w:t>
      </w:r>
      <w:r>
        <w:rPr>
          <w:rFonts w:eastAsia="仿宋_GB2312"/>
          <w:sz w:val="30"/>
          <w:szCs w:val="30"/>
          <w:u w:val="none"/>
        </w:rPr>
        <w:t xml:space="preserve"> </w:t>
      </w:r>
      <w:r>
        <w:rPr>
          <w:rFonts w:hint="eastAsia" w:eastAsia="仿宋_GB2312"/>
          <w:sz w:val="30"/>
          <w:szCs w:val="30"/>
          <w:u w:val="none"/>
        </w:rPr>
        <w:t>。</w:t>
      </w:r>
    </w:p>
    <w:p>
      <w:pPr>
        <w:pStyle w:val="3"/>
        <w:spacing w:before="0" w:after="0" w:line="600" w:lineRule="exact"/>
        <w:ind w:firstLine="600" w:firstLineChars="200"/>
        <w:rPr>
          <w:rFonts w:ascii="黑体" w:hAnsi="黑体" w:eastAsia="黑体" w:cs="仿宋_GB2312"/>
          <w:b w:val="0"/>
          <w:sz w:val="30"/>
          <w:szCs w:val="30"/>
          <w:u w:val="none"/>
        </w:rPr>
      </w:pPr>
      <w:bookmarkStart w:id="18" w:name="_Toc18552"/>
      <w:r>
        <w:rPr>
          <w:rFonts w:hint="eastAsia" w:ascii="黑体" w:hAnsi="黑体" w:eastAsia="黑体" w:cs="仿宋_GB2312"/>
          <w:b w:val="0"/>
          <w:sz w:val="30"/>
          <w:szCs w:val="30"/>
          <w:u w:val="none"/>
        </w:rPr>
        <w:t>二、收入决算情况说明</w:t>
      </w:r>
      <w:bookmarkEnd w:id="18"/>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u w:val="none"/>
        </w:rPr>
        <w:t>天津市津南区海棠街道社区卫生服务中心</w:t>
      </w:r>
      <w:r>
        <w:rPr>
          <w:rFonts w:hint="eastAsia" w:eastAsia="楷体"/>
          <w:sz w:val="30"/>
          <w:szCs w:val="30"/>
          <w:u w:val="none"/>
        </w:rPr>
        <w:t>2022</w:t>
      </w:r>
      <w:r>
        <w:rPr>
          <w:rFonts w:hint="eastAsia" w:ascii="仿宋_GB2312" w:eastAsia="仿宋_GB2312" w:cs="仿宋_GB2312"/>
          <w:sz w:val="30"/>
          <w:szCs w:val="30"/>
          <w:u w:val="none"/>
        </w:rPr>
        <w:t>年度本年收入合计11986978.78元，与2021年度相比增加7432277.75元，主要原因是</w:t>
      </w:r>
      <w:r>
        <w:rPr>
          <w:rFonts w:eastAsia="仿宋_GB2312"/>
          <w:sz w:val="30"/>
          <w:szCs w:val="30"/>
          <w:u w:val="none"/>
        </w:rPr>
        <w:t xml:space="preserve"> </w:t>
      </w:r>
      <w:r>
        <w:rPr>
          <w:rFonts w:hint="eastAsia" w:eastAsia="仿宋_GB2312"/>
          <w:sz w:val="30"/>
          <w:szCs w:val="30"/>
          <w:u w:val="none"/>
        </w:rPr>
        <w:t>本单位为2021年5月新成立单位，8月开始业务运营，2021年预算收</w:t>
      </w:r>
      <w:r>
        <w:rPr>
          <w:rFonts w:hint="eastAsia" w:eastAsia="仿宋_GB2312"/>
          <w:sz w:val="30"/>
          <w:szCs w:val="30"/>
          <w:u w:val="none"/>
          <w:lang w:val="en-US" w:eastAsia="zh-CN"/>
        </w:rPr>
        <w:t>入</w:t>
      </w:r>
      <w:r>
        <w:rPr>
          <w:rFonts w:hint="eastAsia" w:eastAsia="仿宋_GB2312"/>
          <w:sz w:val="30"/>
          <w:szCs w:val="30"/>
          <w:u w:val="none"/>
        </w:rPr>
        <w:t>仅为5个月收</w:t>
      </w:r>
      <w:r>
        <w:rPr>
          <w:rFonts w:hint="eastAsia" w:eastAsia="仿宋_GB2312"/>
          <w:sz w:val="30"/>
          <w:szCs w:val="30"/>
          <w:u w:val="none"/>
          <w:lang w:val="en-US" w:eastAsia="zh-CN"/>
        </w:rPr>
        <w:t>入</w:t>
      </w:r>
      <w:r>
        <w:rPr>
          <w:rFonts w:hint="eastAsia" w:eastAsia="仿宋_GB2312"/>
          <w:sz w:val="30"/>
          <w:szCs w:val="30"/>
          <w:u w:val="none"/>
        </w:rPr>
        <w:t>情况，2022年为全年预算收</w:t>
      </w:r>
      <w:r>
        <w:rPr>
          <w:rFonts w:hint="eastAsia" w:eastAsia="仿宋_GB2312"/>
          <w:sz w:val="30"/>
          <w:szCs w:val="30"/>
          <w:u w:val="none"/>
          <w:lang w:val="en-US" w:eastAsia="zh-CN"/>
        </w:rPr>
        <w:t>入</w:t>
      </w:r>
      <w:r>
        <w:rPr>
          <w:rFonts w:hint="eastAsia" w:eastAsia="仿宋_GB2312"/>
          <w:sz w:val="30"/>
          <w:szCs w:val="30"/>
          <w:u w:val="none"/>
        </w:rPr>
        <w:t>情况，较2021年有所增加</w:t>
      </w:r>
      <w:r>
        <w:rPr>
          <w:rFonts w:eastAsia="仿宋_GB2312"/>
          <w:sz w:val="30"/>
          <w:szCs w:val="30"/>
          <w:u w:val="none"/>
        </w:rPr>
        <w:t xml:space="preserve"> </w:t>
      </w:r>
      <w:r>
        <w:rPr>
          <w:rFonts w:hint="eastAsia" w:eastAsia="仿宋_GB2312"/>
          <w:sz w:val="30"/>
          <w:szCs w:val="30"/>
          <w:u w:val="none"/>
        </w:rPr>
        <w:t>。</w:t>
      </w:r>
      <w:r>
        <w:rPr>
          <w:rFonts w:hint="eastAsia" w:ascii="仿宋_GB2312" w:eastAsia="仿宋_GB2312" w:cs="仿宋_GB2312"/>
          <w:sz w:val="30"/>
          <w:szCs w:val="30"/>
          <w:u w:val="none"/>
        </w:rPr>
        <w:t>其中：一般公共预算财政拨款收入8928943.22元，占74.49%；事业单位经营收入3055069.69元，占25.49%；其他收入2965.87元，占0.02%。</w:t>
      </w:r>
    </w:p>
    <w:p>
      <w:pPr>
        <w:pStyle w:val="3"/>
        <w:spacing w:before="0" w:after="0" w:line="600" w:lineRule="exact"/>
        <w:ind w:firstLine="600" w:firstLineChars="200"/>
        <w:rPr>
          <w:rFonts w:ascii="黑体" w:hAnsi="黑体" w:eastAsia="黑体" w:cs="仿宋_GB2312"/>
          <w:b w:val="0"/>
          <w:sz w:val="30"/>
          <w:szCs w:val="30"/>
          <w:u w:val="none"/>
        </w:rPr>
      </w:pPr>
      <w:bookmarkStart w:id="19" w:name="_Toc26952"/>
      <w:r>
        <w:rPr>
          <w:rFonts w:hint="eastAsia" w:ascii="黑体" w:hAnsi="黑体" w:eastAsia="黑体" w:cs="仿宋_GB2312"/>
          <w:b w:val="0"/>
          <w:sz w:val="30"/>
          <w:szCs w:val="30"/>
          <w:u w:val="none"/>
        </w:rPr>
        <w:t>三、</w:t>
      </w:r>
      <w:r>
        <w:rPr>
          <w:rFonts w:ascii="黑体" w:hAnsi="黑体" w:eastAsia="黑体" w:cs="仿宋_GB2312"/>
          <w:b w:val="0"/>
          <w:sz w:val="30"/>
          <w:szCs w:val="30"/>
          <w:u w:val="none"/>
        </w:rPr>
        <w:t>支出</w:t>
      </w:r>
      <w:r>
        <w:rPr>
          <w:rFonts w:hint="eastAsia" w:ascii="黑体" w:hAnsi="黑体" w:eastAsia="黑体" w:cs="仿宋_GB2312"/>
          <w:b w:val="0"/>
          <w:sz w:val="30"/>
          <w:szCs w:val="30"/>
          <w:u w:val="none"/>
        </w:rPr>
        <w:t>决算</w:t>
      </w:r>
      <w:r>
        <w:rPr>
          <w:rFonts w:ascii="黑体" w:hAnsi="黑体" w:eastAsia="黑体" w:cs="仿宋_GB2312"/>
          <w:b w:val="0"/>
          <w:sz w:val="30"/>
          <w:szCs w:val="30"/>
          <w:u w:val="none"/>
        </w:rPr>
        <w:t>情况</w:t>
      </w:r>
      <w:r>
        <w:rPr>
          <w:rFonts w:hint="eastAsia" w:ascii="黑体" w:hAnsi="黑体" w:eastAsia="黑体" w:cs="仿宋_GB2312"/>
          <w:b w:val="0"/>
          <w:sz w:val="30"/>
          <w:szCs w:val="30"/>
          <w:u w:val="none"/>
        </w:rPr>
        <w:t>说明</w:t>
      </w:r>
      <w:bookmarkEnd w:id="19"/>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u w:val="none"/>
        </w:rPr>
        <w:t>天津市津南区海棠街道社区卫生服务中心</w:t>
      </w:r>
      <w:r>
        <w:rPr>
          <w:rFonts w:hint="eastAsia" w:eastAsia="楷体"/>
          <w:sz w:val="30"/>
          <w:szCs w:val="30"/>
          <w:u w:val="none"/>
        </w:rPr>
        <w:t>2022</w:t>
      </w:r>
      <w:r>
        <w:rPr>
          <w:rFonts w:hint="eastAsia" w:ascii="仿宋_GB2312" w:eastAsia="仿宋_GB2312" w:cs="仿宋_GB2312"/>
          <w:sz w:val="30"/>
          <w:szCs w:val="30"/>
          <w:u w:val="none"/>
        </w:rPr>
        <w:t>年度本年支出合计12658140.28元，与2021年度相比增加9174871.32元，主要原因是</w:t>
      </w:r>
      <w:r>
        <w:rPr>
          <w:rFonts w:eastAsia="仿宋_GB2312"/>
          <w:sz w:val="30"/>
          <w:szCs w:val="30"/>
          <w:u w:val="none"/>
        </w:rPr>
        <w:t xml:space="preserve"> </w:t>
      </w:r>
      <w:r>
        <w:rPr>
          <w:rFonts w:hint="eastAsia" w:eastAsia="仿宋_GB2312"/>
          <w:sz w:val="30"/>
          <w:szCs w:val="30"/>
          <w:u w:val="none"/>
        </w:rPr>
        <w:t>本单位为2021年5月新成立单位，8月开始业务运营，2021年预算收入仅为5个月</w:t>
      </w:r>
      <w:r>
        <w:rPr>
          <w:rFonts w:hint="eastAsia" w:eastAsia="仿宋_GB2312"/>
          <w:sz w:val="30"/>
          <w:szCs w:val="30"/>
          <w:u w:val="none"/>
          <w:lang w:val="en-US" w:eastAsia="zh-CN"/>
        </w:rPr>
        <w:t>支出</w:t>
      </w:r>
      <w:r>
        <w:rPr>
          <w:rFonts w:hint="eastAsia" w:eastAsia="仿宋_GB2312"/>
          <w:sz w:val="30"/>
          <w:szCs w:val="30"/>
          <w:u w:val="none"/>
        </w:rPr>
        <w:t>情况，2022年为全年预算</w:t>
      </w:r>
      <w:r>
        <w:rPr>
          <w:rFonts w:hint="eastAsia" w:eastAsia="仿宋_GB2312"/>
          <w:sz w:val="30"/>
          <w:szCs w:val="30"/>
          <w:u w:val="none"/>
          <w:lang w:val="en-US" w:eastAsia="zh-CN"/>
        </w:rPr>
        <w:t>支出</w:t>
      </w:r>
      <w:r>
        <w:rPr>
          <w:rFonts w:hint="eastAsia" w:eastAsia="仿宋_GB2312"/>
          <w:sz w:val="30"/>
          <w:szCs w:val="30"/>
          <w:u w:val="none"/>
        </w:rPr>
        <w:t>情况，较2021年有所增加</w:t>
      </w:r>
      <w:r>
        <w:rPr>
          <w:rFonts w:eastAsia="仿宋_GB2312"/>
          <w:sz w:val="30"/>
          <w:szCs w:val="30"/>
          <w:u w:val="none"/>
        </w:rPr>
        <w:t xml:space="preserve"> </w:t>
      </w:r>
      <w:r>
        <w:rPr>
          <w:rFonts w:hint="eastAsia" w:eastAsia="仿宋_GB2312"/>
          <w:sz w:val="30"/>
          <w:szCs w:val="30"/>
          <w:u w:val="none"/>
        </w:rPr>
        <w:t>。</w:t>
      </w:r>
      <w:r>
        <w:rPr>
          <w:rFonts w:hint="eastAsia" w:ascii="仿宋_GB2312" w:eastAsia="仿宋_GB2312" w:cs="仿宋_GB2312"/>
          <w:sz w:val="30"/>
          <w:szCs w:val="30"/>
          <w:u w:val="none"/>
        </w:rPr>
        <w:t>其中：基本支出5711930.91元，占45.12%；项目支出6946209.37元，占54.88%。</w:t>
      </w:r>
    </w:p>
    <w:p>
      <w:pPr>
        <w:pStyle w:val="3"/>
        <w:spacing w:before="0" w:after="0" w:line="600" w:lineRule="exact"/>
        <w:ind w:firstLine="600" w:firstLineChars="200"/>
        <w:rPr>
          <w:rFonts w:ascii="黑体" w:hAnsi="黑体" w:eastAsia="黑体"/>
          <w:b w:val="0"/>
          <w:sz w:val="30"/>
          <w:szCs w:val="30"/>
          <w:u w:val="none"/>
        </w:rPr>
      </w:pPr>
      <w:bookmarkStart w:id="20" w:name="_Toc1812"/>
      <w:r>
        <w:rPr>
          <w:rFonts w:hint="eastAsia" w:ascii="黑体" w:hAnsi="黑体" w:eastAsia="黑体"/>
          <w:b w:val="0"/>
          <w:sz w:val="30"/>
          <w:szCs w:val="30"/>
          <w:u w:val="none"/>
        </w:rPr>
        <w:t>四、财政拨款收支决算总体情况说明</w:t>
      </w:r>
      <w:bookmarkEnd w:id="20"/>
    </w:p>
    <w:p>
      <w:pPr>
        <w:spacing w:line="600" w:lineRule="exact"/>
        <w:rPr>
          <w:rFonts w:eastAsia="楷体_GB2312"/>
          <w:b/>
          <w:sz w:val="30"/>
          <w:szCs w:val="30"/>
          <w:u w:val="none"/>
        </w:rPr>
      </w:pPr>
      <w:r>
        <w:rPr>
          <w:rFonts w:hint="eastAsia" w:eastAsia="仿宋_GB2312"/>
          <w:sz w:val="30"/>
          <w:szCs w:val="30"/>
          <w:u w:val="none"/>
        </w:rPr>
        <w:t xml:space="preserve">    </w:t>
      </w:r>
      <w:r>
        <w:rPr>
          <w:rFonts w:hint="eastAsia" w:ascii="仿宋_GB2312" w:eastAsia="仿宋_GB2312" w:cs="仿宋_GB2312"/>
          <w:sz w:val="30"/>
          <w:szCs w:val="30"/>
          <w:u w:val="none"/>
        </w:rPr>
        <w:t>天津市津南区海棠街道社区卫生服务中心</w:t>
      </w:r>
      <w:r>
        <w:rPr>
          <w:rFonts w:hint="eastAsia" w:eastAsia="楷体"/>
          <w:sz w:val="30"/>
          <w:szCs w:val="30"/>
          <w:u w:val="none"/>
        </w:rPr>
        <w:t>2022</w:t>
      </w:r>
      <w:r>
        <w:rPr>
          <w:rFonts w:hint="eastAsia" w:ascii="仿宋_GB2312" w:eastAsia="仿宋_GB2312" w:cs="仿宋_GB2312"/>
          <w:sz w:val="30"/>
          <w:szCs w:val="30"/>
          <w:u w:val="none"/>
        </w:rPr>
        <w:t>年度财政拨款收入、支出决算总计9028693.22元。与2021年度相比，财政拨款收、支总计各增加5844460.03元，增长183.54%，主要原因是</w:t>
      </w:r>
      <w:r>
        <w:rPr>
          <w:rFonts w:eastAsia="仿宋_GB2312"/>
          <w:sz w:val="30"/>
          <w:szCs w:val="30"/>
          <w:u w:val="none"/>
        </w:rPr>
        <w:t xml:space="preserve"> </w:t>
      </w:r>
      <w:r>
        <w:rPr>
          <w:rFonts w:hint="eastAsia" w:eastAsia="仿宋_GB2312"/>
          <w:sz w:val="30"/>
          <w:szCs w:val="30"/>
          <w:u w:val="none"/>
        </w:rPr>
        <w:t>本单位为2021年5月新成立单位，8月开始业务运营，2021年</w:t>
      </w:r>
      <w:r>
        <w:rPr>
          <w:rFonts w:hint="eastAsia" w:eastAsia="仿宋_GB2312"/>
          <w:sz w:val="30"/>
          <w:szCs w:val="30"/>
          <w:u w:val="none"/>
          <w:lang w:val="en-US" w:eastAsia="zh-CN"/>
        </w:rPr>
        <w:t>财政拨款</w:t>
      </w:r>
      <w:r>
        <w:rPr>
          <w:rFonts w:hint="eastAsia" w:eastAsia="仿宋_GB2312"/>
          <w:sz w:val="30"/>
          <w:szCs w:val="30"/>
          <w:u w:val="none"/>
        </w:rPr>
        <w:t>收、支仅为5个月收支情况，2022年为全年</w:t>
      </w:r>
      <w:r>
        <w:rPr>
          <w:rFonts w:hint="eastAsia" w:eastAsia="仿宋_GB2312"/>
          <w:sz w:val="30"/>
          <w:szCs w:val="30"/>
          <w:u w:val="none"/>
          <w:lang w:val="en-US" w:eastAsia="zh-CN"/>
        </w:rPr>
        <w:t>财政拨款</w:t>
      </w:r>
      <w:r>
        <w:rPr>
          <w:rFonts w:hint="eastAsia" w:eastAsia="仿宋_GB2312"/>
          <w:sz w:val="30"/>
          <w:szCs w:val="30"/>
          <w:u w:val="none"/>
        </w:rPr>
        <w:t>收支情况，较2021年有所增加</w:t>
      </w:r>
      <w:r>
        <w:rPr>
          <w:rFonts w:eastAsia="仿宋_GB2312"/>
          <w:sz w:val="30"/>
          <w:szCs w:val="30"/>
          <w:u w:val="none"/>
        </w:rPr>
        <w:t xml:space="preserve"> </w:t>
      </w:r>
      <w:r>
        <w:rPr>
          <w:rFonts w:hint="eastAsia" w:eastAsia="仿宋_GB2312"/>
          <w:sz w:val="30"/>
          <w:szCs w:val="30"/>
          <w:u w:val="none"/>
        </w:rPr>
        <w:t>。</w:t>
      </w:r>
    </w:p>
    <w:p>
      <w:pPr>
        <w:pStyle w:val="3"/>
        <w:spacing w:before="0" w:after="0" w:line="600" w:lineRule="exact"/>
        <w:ind w:firstLine="600" w:firstLineChars="200"/>
        <w:rPr>
          <w:rFonts w:ascii="黑体" w:hAnsi="黑体" w:eastAsia="黑体"/>
          <w:b w:val="0"/>
          <w:sz w:val="30"/>
          <w:szCs w:val="30"/>
          <w:u w:val="none"/>
        </w:rPr>
      </w:pPr>
      <w:bookmarkStart w:id="21" w:name="_Toc10091"/>
      <w:r>
        <w:rPr>
          <w:rFonts w:ascii="黑体" w:hAnsi="黑体" w:eastAsia="黑体"/>
          <w:b w:val="0"/>
          <w:sz w:val="30"/>
          <w:szCs w:val="30"/>
          <w:u w:val="none"/>
        </w:rPr>
        <w:t>五</w:t>
      </w:r>
      <w:r>
        <w:rPr>
          <w:rFonts w:hint="eastAsia" w:ascii="黑体" w:hAnsi="黑体" w:eastAsia="黑体"/>
          <w:b w:val="0"/>
          <w:sz w:val="30"/>
          <w:szCs w:val="30"/>
          <w:u w:val="none"/>
        </w:rPr>
        <w:t>、</w:t>
      </w:r>
      <w:r>
        <w:rPr>
          <w:rFonts w:ascii="黑体" w:hAnsi="黑体" w:eastAsia="黑体"/>
          <w:b w:val="0"/>
          <w:sz w:val="30"/>
          <w:szCs w:val="30"/>
          <w:u w:val="none"/>
        </w:rPr>
        <w:t>一般公共预算财政拨款支出决算情况</w:t>
      </w:r>
      <w:r>
        <w:rPr>
          <w:rFonts w:hint="eastAsia" w:ascii="黑体" w:hAnsi="黑体" w:eastAsia="黑体"/>
          <w:b w:val="0"/>
          <w:sz w:val="30"/>
          <w:szCs w:val="30"/>
          <w:u w:val="none"/>
        </w:rPr>
        <w:t>说明</w:t>
      </w:r>
      <w:bookmarkEnd w:id="21"/>
    </w:p>
    <w:p>
      <w:pPr>
        <w:spacing w:line="600" w:lineRule="exact"/>
        <w:ind w:left="480" w:leftChars="200"/>
        <w:rPr>
          <w:rFonts w:ascii="楷体" w:hAnsi="楷体" w:eastAsia="楷体" w:cs="仿宋_GB2312"/>
          <w:b/>
          <w:sz w:val="30"/>
          <w:szCs w:val="30"/>
          <w:u w:val="none"/>
        </w:rPr>
      </w:pPr>
      <w:r>
        <w:rPr>
          <w:rFonts w:hint="eastAsia" w:ascii="楷体" w:hAnsi="楷体" w:eastAsia="楷体" w:cs="仿宋_GB2312"/>
          <w:b/>
          <w:sz w:val="30"/>
          <w:szCs w:val="30"/>
          <w:u w:val="none"/>
        </w:rPr>
        <w:t>（一）总体情况</w:t>
      </w:r>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u w:val="none"/>
        </w:rPr>
        <w:t>天津市津南区海棠街道社区卫生服务中心</w:t>
      </w:r>
      <w:r>
        <w:rPr>
          <w:rFonts w:hint="eastAsia" w:eastAsia="楷体"/>
          <w:sz w:val="30"/>
          <w:szCs w:val="30"/>
          <w:u w:val="none"/>
        </w:rPr>
        <w:t>2022</w:t>
      </w:r>
      <w:r>
        <w:rPr>
          <w:rFonts w:hint="eastAsia" w:ascii="仿宋_GB2312" w:eastAsia="仿宋_GB2312" w:cs="仿宋_GB2312"/>
          <w:sz w:val="30"/>
          <w:szCs w:val="30"/>
          <w:u w:val="none"/>
        </w:rPr>
        <w:t>年度一般公共预算财政拨款支出合计9028693.22元，占本年支出合计的71.33%。与2021年度相比，一般公共预算财政拨款支出增加5944210.03元，增长192.71%，主要原因是</w:t>
      </w:r>
      <w:r>
        <w:rPr>
          <w:rFonts w:eastAsia="仿宋_GB2312"/>
          <w:sz w:val="30"/>
          <w:szCs w:val="30"/>
          <w:u w:val="none"/>
        </w:rPr>
        <w:t xml:space="preserve"> </w:t>
      </w:r>
      <w:r>
        <w:rPr>
          <w:rFonts w:hint="eastAsia" w:eastAsia="仿宋_GB2312"/>
          <w:sz w:val="30"/>
          <w:szCs w:val="30"/>
          <w:u w:val="none"/>
        </w:rPr>
        <w:t>本单位为2021年5月新成立单位，8月开始业务运营，2021年一般公共预算财政拨款支出仅为5个月</w:t>
      </w:r>
      <w:r>
        <w:rPr>
          <w:rFonts w:hint="eastAsia" w:eastAsia="仿宋_GB2312"/>
          <w:sz w:val="30"/>
          <w:szCs w:val="30"/>
          <w:u w:val="none"/>
          <w:lang w:val="en-US" w:eastAsia="zh-CN"/>
        </w:rPr>
        <w:t>支出</w:t>
      </w:r>
      <w:r>
        <w:rPr>
          <w:rFonts w:hint="eastAsia" w:eastAsia="仿宋_GB2312"/>
          <w:sz w:val="30"/>
          <w:szCs w:val="30"/>
          <w:u w:val="none"/>
        </w:rPr>
        <w:t>情况，2022年为全年一般公共预算财政拨款支出情况，较2021年有所增加。</w:t>
      </w:r>
    </w:p>
    <w:p>
      <w:pPr>
        <w:spacing w:line="600" w:lineRule="exact"/>
        <w:ind w:firstLine="602" w:firstLineChars="200"/>
        <w:rPr>
          <w:rFonts w:ascii="楷体" w:hAnsi="楷体" w:eastAsia="楷体" w:cs="仿宋_GB2312"/>
          <w:b/>
          <w:sz w:val="30"/>
          <w:szCs w:val="30"/>
          <w:u w:val="none"/>
        </w:rPr>
      </w:pPr>
      <w:r>
        <w:rPr>
          <w:rFonts w:hint="eastAsia" w:ascii="楷体" w:hAnsi="楷体" w:eastAsia="楷体" w:cs="仿宋_GB2312"/>
          <w:b/>
          <w:sz w:val="30"/>
          <w:szCs w:val="30"/>
          <w:u w:val="none"/>
        </w:rPr>
        <w:t>（二）支出结构情况</w:t>
      </w:r>
    </w:p>
    <w:p>
      <w:pPr>
        <w:spacing w:line="600" w:lineRule="exact"/>
        <w:ind w:firstLine="645"/>
        <w:jc w:val="both"/>
        <w:rPr>
          <w:rFonts w:ascii="仿宋_GB2312" w:eastAsia="仿宋_GB2312" w:cs="仿宋_GB2312"/>
          <w:sz w:val="30"/>
          <w:szCs w:val="30"/>
          <w:u w:val="none"/>
        </w:rPr>
      </w:pPr>
      <w:r>
        <w:rPr>
          <w:rFonts w:hint="eastAsia" w:eastAsia="楷体"/>
          <w:sz w:val="30"/>
          <w:szCs w:val="30"/>
          <w:u w:val="none"/>
        </w:rPr>
        <w:t>2022</w:t>
      </w:r>
      <w:r>
        <w:rPr>
          <w:rFonts w:hint="eastAsia" w:ascii="仿宋_GB2312" w:eastAsia="仿宋_GB2312" w:cs="仿宋_GB2312"/>
          <w:sz w:val="30"/>
          <w:szCs w:val="30"/>
          <w:u w:val="none"/>
        </w:rPr>
        <w:t>年度一般公共预算财政拨款支出9028693.22元，主要用于以下方面：</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社会保障和就业支出（类）支出166052.16元，占1.84%；</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卫生健康支出（类）支出8761710.06元，占97.04%；</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住房保障支出（类）支出100931.00元，占1.12%。</w:t>
      </w:r>
    </w:p>
    <w:p>
      <w:pPr>
        <w:numPr>
          <w:ilvl w:val="0"/>
          <w:numId w:val="2"/>
        </w:numPr>
        <w:spacing w:line="600" w:lineRule="exact"/>
        <w:ind w:firstLine="602" w:firstLineChars="200"/>
        <w:rPr>
          <w:rFonts w:ascii="楷体" w:hAnsi="楷体" w:eastAsia="楷体" w:cs="仿宋_GB2312"/>
          <w:b/>
          <w:sz w:val="30"/>
          <w:szCs w:val="30"/>
          <w:u w:val="none"/>
        </w:rPr>
      </w:pPr>
      <w:r>
        <w:rPr>
          <w:rFonts w:ascii="楷体" w:hAnsi="楷体" w:eastAsia="楷体" w:cs="仿宋_GB2312"/>
          <w:b/>
          <w:sz w:val="30"/>
          <w:szCs w:val="30"/>
          <w:u w:val="none"/>
        </w:rPr>
        <w:t>具体情况</w:t>
      </w:r>
    </w:p>
    <w:p>
      <w:pPr>
        <w:spacing w:line="600" w:lineRule="exact"/>
        <w:ind w:firstLine="645"/>
        <w:jc w:val="both"/>
        <w:rPr>
          <w:rFonts w:ascii="仿宋_GB2312" w:eastAsia="仿宋_GB2312" w:cs="仿宋_GB2312"/>
          <w:sz w:val="30"/>
          <w:szCs w:val="30"/>
          <w:u w:val="none"/>
        </w:rPr>
      </w:pPr>
      <w:r>
        <w:rPr>
          <w:rFonts w:hint="eastAsia" w:eastAsia="楷体"/>
          <w:sz w:val="30"/>
          <w:szCs w:val="30"/>
          <w:u w:val="none"/>
        </w:rPr>
        <w:t>2022</w:t>
      </w:r>
      <w:r>
        <w:rPr>
          <w:rFonts w:hint="eastAsia" w:ascii="仿宋_GB2312" w:eastAsia="仿宋_GB2312" w:cs="仿宋_GB2312"/>
          <w:sz w:val="30"/>
          <w:szCs w:val="30"/>
          <w:u w:val="none"/>
        </w:rPr>
        <w:t>年度一般公共预算财政拨款支出年初预算为8928943.22元，支出决算为9028693.22元，完成年初预算的101.12%。其中：</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社会保障和就业支出（类）行政事业单位养老支出（款）机关事业单位基本养老保险缴费支出（项）年初预算为</w:t>
      </w:r>
      <w:r>
        <w:rPr>
          <w:rFonts w:hint="eastAsia" w:ascii="仿宋_GB2312" w:eastAsia="仿宋_GB2312" w:cs="仿宋_GB2312"/>
          <w:sz w:val="30"/>
          <w:szCs w:val="30"/>
          <w:u w:val="none"/>
          <w:lang w:val="en-US" w:eastAsia="zh-CN"/>
        </w:rPr>
        <w:t>110701.44</w:t>
      </w:r>
      <w:r>
        <w:rPr>
          <w:rFonts w:hint="eastAsia" w:ascii="仿宋_GB2312" w:eastAsia="仿宋_GB2312" w:cs="仿宋_GB2312"/>
          <w:sz w:val="30"/>
          <w:szCs w:val="30"/>
          <w:u w:val="none"/>
        </w:rPr>
        <w:t>元，支出决算为110701.44元，完成年初预算数的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u w:val="none"/>
        </w:rPr>
        <w:t>%。</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社会保障和就业支出（类）行政事业单位养老支出（款）机关事业单位职业年金缴费支出（项）年初预算为55350.72元，支出决算为55350.72元，完成年初预算数的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u w:val="none"/>
        </w:rPr>
        <w:t>%。</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卫生健康支出（类）基层医疗卫生机构（款）城市社区卫生机构（项）年初预算为</w:t>
      </w:r>
      <w:r>
        <w:rPr>
          <w:rFonts w:hint="eastAsia" w:ascii="仿宋_GB2312" w:eastAsia="仿宋_GB2312" w:cs="仿宋_GB2312"/>
          <w:sz w:val="30"/>
          <w:szCs w:val="30"/>
          <w:u w:val="none"/>
          <w:lang w:val="en-US" w:eastAsia="zh-CN"/>
        </w:rPr>
        <w:t>2134089.29</w:t>
      </w:r>
      <w:r>
        <w:rPr>
          <w:rFonts w:hint="eastAsia" w:ascii="仿宋_GB2312" w:eastAsia="仿宋_GB2312" w:cs="仿宋_GB2312"/>
          <w:sz w:val="30"/>
          <w:szCs w:val="30"/>
          <w:u w:val="none"/>
        </w:rPr>
        <w:t>元，支出决算为2233839.29元，完成年初预算数的</w:t>
      </w:r>
      <w:r>
        <w:rPr>
          <w:rFonts w:hint="eastAsia" w:ascii="仿宋_GB2312" w:eastAsia="仿宋_GB2312" w:cs="仿宋_GB2312"/>
          <w:sz w:val="30"/>
          <w:szCs w:val="30"/>
          <w:u w:val="none"/>
          <w:lang w:val="en-US" w:eastAsia="zh-CN"/>
        </w:rPr>
        <w:t>104.67</w:t>
      </w:r>
      <w:r>
        <w:rPr>
          <w:rFonts w:hint="eastAsia" w:ascii="仿宋_GB2312" w:eastAsia="仿宋_GB2312" w:cs="仿宋_GB2312"/>
          <w:sz w:val="30"/>
          <w:szCs w:val="30"/>
          <w:u w:val="none"/>
        </w:rPr>
        <w:t>%，决算数大于年初预算数的主要原因是</w:t>
      </w:r>
      <w:r>
        <w:rPr>
          <w:rFonts w:hint="eastAsia" w:ascii="仿宋_GB2312" w:eastAsia="仿宋_GB2312" w:cs="仿宋_GB2312"/>
          <w:sz w:val="30"/>
          <w:szCs w:val="30"/>
          <w:u w:val="none"/>
          <w:lang w:val="en-US" w:eastAsia="zh-CN"/>
        </w:rPr>
        <w:t>2022</w:t>
      </w:r>
      <w:r>
        <w:rPr>
          <w:rFonts w:hint="eastAsia" w:ascii="仿宋_GB2312" w:eastAsia="仿宋_GB2312" w:cs="仿宋_GB2312"/>
          <w:sz w:val="30"/>
          <w:szCs w:val="30"/>
          <w:u w:val="none"/>
        </w:rPr>
        <w:t>年初财政拨款结转和结余</w:t>
      </w:r>
      <w:r>
        <w:rPr>
          <w:rFonts w:hint="eastAsia" w:ascii="仿宋_GB2312" w:eastAsia="仿宋_GB2312" w:cs="仿宋_GB2312"/>
          <w:sz w:val="30"/>
          <w:szCs w:val="30"/>
          <w:u w:val="none"/>
          <w:lang w:val="en-US" w:eastAsia="zh-CN"/>
        </w:rPr>
        <w:t>中有99750元为上年的物业费结转</w:t>
      </w:r>
      <w:r>
        <w:rPr>
          <w:rFonts w:hint="eastAsia" w:ascii="仿宋_GB2312" w:eastAsia="仿宋_GB2312" w:cs="仿宋_GB2312"/>
          <w:sz w:val="30"/>
          <w:szCs w:val="30"/>
          <w:u w:val="none"/>
        </w:rPr>
        <w:t>。</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卫生健康支出（类）公共卫生（款）基本公共卫生服务（项）年初预算为6212079.37元，支出决算为6212079.37元，完成年初预算数的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u w:val="none"/>
        </w:rPr>
        <w:t>%。</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卫生健康支出（类）公共卫生（款）重大公共卫生服务（项）年初预算为238550.00元，支出决算为238550.00元，完成年初预算数的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u w:val="none"/>
        </w:rPr>
        <w:t>%。</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卫生健康支出（类）行政事业单位医疗（款）事业单位医疗（项）年初预算为69191.40元，支出决算为69191.40元，完成年初预算数的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u w:val="none"/>
        </w:rPr>
        <w:t>%。</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卫生健康支出（类）行政事业单位医疗（款）其他行政事业单位医疗支出（项）年初预算为8050.00元，支出决算为8050.00元，完成年初预算数的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u w:val="none"/>
        </w:rPr>
        <w:t>%。</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住房保障支出（类）住房改革支出（款）住房公积金（项）年初预算为100931.00元，支出决算为100931.00元，完成年初预算数的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u w:val="none"/>
        </w:rPr>
        <w:t>%。</w:t>
      </w:r>
    </w:p>
    <w:p>
      <w:pPr>
        <w:pStyle w:val="3"/>
        <w:spacing w:before="0" w:after="0" w:line="600" w:lineRule="exact"/>
        <w:ind w:firstLine="600" w:firstLineChars="200"/>
        <w:rPr>
          <w:rFonts w:ascii="黑体" w:hAnsi="黑体" w:eastAsia="黑体"/>
          <w:b w:val="0"/>
          <w:sz w:val="30"/>
          <w:szCs w:val="30"/>
          <w:u w:val="none"/>
        </w:rPr>
      </w:pPr>
      <w:bookmarkStart w:id="22" w:name="_Toc10721"/>
      <w:r>
        <w:rPr>
          <w:rFonts w:ascii="黑体" w:hAnsi="黑体" w:eastAsia="黑体"/>
          <w:b w:val="0"/>
          <w:sz w:val="30"/>
          <w:szCs w:val="30"/>
          <w:u w:val="none"/>
        </w:rPr>
        <w:t>六、一般公共预算财政拨款基本支出决算情况</w:t>
      </w:r>
      <w:r>
        <w:rPr>
          <w:rFonts w:hint="eastAsia" w:ascii="黑体" w:hAnsi="黑体" w:eastAsia="黑体"/>
          <w:b w:val="0"/>
          <w:sz w:val="30"/>
          <w:szCs w:val="30"/>
          <w:u w:val="none"/>
        </w:rPr>
        <w:t>说明</w:t>
      </w:r>
      <w:bookmarkEnd w:id="22"/>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天津市津南区海棠街道社区卫生服务中心</w:t>
      </w:r>
      <w:r>
        <w:rPr>
          <w:rFonts w:hint="eastAsia" w:eastAsia="楷体"/>
          <w:sz w:val="30"/>
          <w:szCs w:val="30"/>
          <w:u w:val="none"/>
        </w:rPr>
        <w:t>2022</w:t>
      </w:r>
      <w:r>
        <w:rPr>
          <w:rFonts w:hint="eastAsia" w:ascii="仿宋_GB2312" w:eastAsia="仿宋_GB2312" w:cs="仿宋_GB2312"/>
          <w:sz w:val="30"/>
          <w:szCs w:val="30"/>
          <w:u w:val="none"/>
        </w:rPr>
        <w:t>年度一般公共预算财政拨款基本支出合计2082483.85元，与2021年度相比增加636189.63元，主要原因是  本单位为2021年5月新成立单位，8月开始业务运营，2021年一般公共预算财政拨款基本支出仅为5个月支出情况，2022年为全年一般公共预算财政拨款基本支出情况，较2021年有所增加 其中：</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人员经费1562539.25元，主要包括基本工资、津贴补贴、奖金、绩效工资、机关事业单位养老保险缴费、职业年金缴费、职工基本医疗保险缴费、其他社会保障缴费、住房公积金、其他工资福利支出；</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公用经费519944.60元，主要包括办公费、水费、电费、邮电费、物业管理费、维修（护）费、工会经费、福利费、公务用车运行维护费。</w:t>
      </w:r>
    </w:p>
    <w:p>
      <w:pPr>
        <w:pStyle w:val="3"/>
        <w:spacing w:before="0" w:after="0" w:line="600" w:lineRule="exact"/>
        <w:ind w:firstLine="600" w:firstLineChars="200"/>
        <w:rPr>
          <w:rFonts w:ascii="楷体" w:hAnsi="楷体" w:eastAsia="楷体" w:cs="仿宋_GB2312"/>
          <w:b w:val="0"/>
          <w:sz w:val="30"/>
          <w:szCs w:val="30"/>
          <w:u w:val="none"/>
        </w:rPr>
      </w:pPr>
      <w:bookmarkStart w:id="23" w:name="_Toc17918"/>
      <w:r>
        <w:rPr>
          <w:rFonts w:hint="eastAsia" w:ascii="黑体" w:hAnsi="黑体" w:eastAsia="黑体"/>
          <w:b w:val="0"/>
          <w:sz w:val="30"/>
          <w:szCs w:val="30"/>
          <w:u w:val="none"/>
        </w:rPr>
        <w:t>七</w:t>
      </w:r>
      <w:r>
        <w:rPr>
          <w:rFonts w:ascii="黑体" w:hAnsi="黑体" w:eastAsia="黑体"/>
          <w:b w:val="0"/>
          <w:sz w:val="30"/>
          <w:szCs w:val="30"/>
          <w:u w:val="none"/>
        </w:rPr>
        <w:t>、政府性基金预算财政拨款</w:t>
      </w:r>
      <w:r>
        <w:rPr>
          <w:rFonts w:hint="eastAsia" w:ascii="黑体" w:hAnsi="黑体" w:eastAsia="黑体"/>
          <w:b w:val="0"/>
          <w:sz w:val="30"/>
          <w:szCs w:val="30"/>
          <w:u w:val="none"/>
        </w:rPr>
        <w:t>收支决算</w:t>
      </w:r>
      <w:r>
        <w:rPr>
          <w:rFonts w:ascii="黑体" w:hAnsi="黑体" w:eastAsia="黑体"/>
          <w:b w:val="0"/>
          <w:sz w:val="30"/>
          <w:szCs w:val="30"/>
          <w:u w:val="none"/>
        </w:rPr>
        <w:t>情况</w:t>
      </w:r>
      <w:r>
        <w:rPr>
          <w:rFonts w:hint="eastAsia" w:ascii="黑体" w:hAnsi="黑体" w:eastAsia="黑体"/>
          <w:b w:val="0"/>
          <w:bCs w:val="0"/>
          <w:sz w:val="30"/>
          <w:szCs w:val="30"/>
          <w:u w:val="none"/>
        </w:rPr>
        <w:t>说明</w:t>
      </w:r>
      <w:bookmarkEnd w:id="23"/>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天津市津南区海棠街道社区卫生服务中心2022年度无政府性基金预算财政拨款收入、支出和结转结余。</w:t>
      </w:r>
    </w:p>
    <w:p>
      <w:pPr>
        <w:pStyle w:val="3"/>
        <w:spacing w:before="0" w:after="0" w:line="600" w:lineRule="exact"/>
        <w:ind w:firstLine="600" w:firstLineChars="200"/>
        <w:rPr>
          <w:rFonts w:eastAsia="黑体"/>
          <w:b w:val="0"/>
          <w:sz w:val="30"/>
          <w:szCs w:val="30"/>
          <w:u w:val="none"/>
        </w:rPr>
      </w:pPr>
      <w:bookmarkStart w:id="24" w:name="_Toc23897"/>
      <w:r>
        <w:rPr>
          <w:rFonts w:hint="eastAsia" w:eastAsia="黑体"/>
          <w:b w:val="0"/>
          <w:sz w:val="30"/>
          <w:szCs w:val="30"/>
          <w:u w:val="none"/>
        </w:rPr>
        <w:t>八、国有资本经营预算财政拨款收支决算情况</w:t>
      </w:r>
      <w:r>
        <w:rPr>
          <w:rFonts w:hint="eastAsia" w:ascii="黑体" w:hAnsi="黑体" w:eastAsia="黑体"/>
          <w:b w:val="0"/>
          <w:bCs w:val="0"/>
          <w:sz w:val="30"/>
          <w:szCs w:val="30"/>
          <w:u w:val="none"/>
        </w:rPr>
        <w:t>说明</w:t>
      </w:r>
      <w:bookmarkEnd w:id="24"/>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天津市津南区海棠街道社区卫生服务中心2022年度无国有资本经营预算财政拨款收入、支出和结转结余。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u w:val="none"/>
        </w:rPr>
      </w:pPr>
      <w:bookmarkStart w:id="25" w:name="_Toc4518"/>
      <w:r>
        <w:rPr>
          <w:rFonts w:hint="eastAsia" w:ascii="黑体" w:hAnsi="黑体" w:eastAsia="黑体"/>
          <w:b w:val="0"/>
          <w:sz w:val="30"/>
          <w:szCs w:val="30"/>
          <w:u w:val="none"/>
        </w:rPr>
        <w:t>九、</w:t>
      </w:r>
      <w:r>
        <w:rPr>
          <w:rFonts w:ascii="黑体" w:hAnsi="黑体" w:eastAsia="黑体"/>
          <w:b w:val="0"/>
          <w:sz w:val="30"/>
          <w:szCs w:val="30"/>
          <w:u w:val="none"/>
        </w:rPr>
        <w:t>一般公共预算财政拨款“三公”经费</w:t>
      </w:r>
      <w:r>
        <w:rPr>
          <w:rFonts w:hint="eastAsia" w:ascii="黑体" w:hAnsi="黑体" w:eastAsia="黑体"/>
          <w:b w:val="0"/>
          <w:sz w:val="30"/>
          <w:szCs w:val="30"/>
          <w:u w:val="none"/>
        </w:rPr>
        <w:t>支出决算</w:t>
      </w:r>
      <w:r>
        <w:rPr>
          <w:rFonts w:ascii="黑体" w:hAnsi="黑体" w:eastAsia="黑体"/>
          <w:b w:val="0"/>
          <w:sz w:val="30"/>
          <w:szCs w:val="30"/>
          <w:u w:val="none"/>
        </w:rPr>
        <w:t>情况</w:t>
      </w:r>
      <w:r>
        <w:rPr>
          <w:rFonts w:hint="eastAsia" w:ascii="黑体" w:hAnsi="黑体" w:eastAsia="黑体"/>
          <w:b w:val="0"/>
          <w:bCs w:val="0"/>
          <w:sz w:val="30"/>
          <w:szCs w:val="30"/>
          <w:u w:val="none"/>
        </w:rPr>
        <w:t>说明</w:t>
      </w:r>
      <w:bookmarkEnd w:id="25"/>
    </w:p>
    <w:p>
      <w:pPr>
        <w:spacing w:line="600" w:lineRule="exact"/>
        <w:ind w:firstLine="602" w:firstLineChars="200"/>
        <w:jc w:val="both"/>
        <w:rPr>
          <w:rFonts w:ascii="楷体" w:hAnsi="楷体" w:eastAsia="楷体" w:cs="楷体"/>
          <w:b/>
          <w:bCs/>
          <w:sz w:val="30"/>
          <w:szCs w:val="30"/>
          <w:u w:val="none"/>
        </w:rPr>
      </w:pPr>
      <w:r>
        <w:rPr>
          <w:rFonts w:hint="eastAsia" w:ascii="楷体" w:hAnsi="楷体" w:eastAsia="楷体" w:cs="楷体"/>
          <w:b/>
          <w:bCs/>
          <w:sz w:val="30"/>
          <w:szCs w:val="30"/>
          <w:u w:val="none"/>
        </w:rPr>
        <w:t>（一）总体情况</w:t>
      </w:r>
    </w:p>
    <w:p>
      <w:pPr>
        <w:spacing w:line="600" w:lineRule="exact"/>
        <w:ind w:firstLine="645"/>
        <w:jc w:val="both"/>
        <w:rPr>
          <w:rFonts w:ascii="仿宋_GB2312" w:eastAsia="仿宋_GB2312" w:cs="仿宋_GB2312"/>
          <w:sz w:val="30"/>
          <w:szCs w:val="30"/>
          <w:u w:val="none"/>
        </w:rPr>
      </w:pPr>
      <w:r>
        <w:rPr>
          <w:rFonts w:hint="eastAsia" w:eastAsia="楷体"/>
          <w:sz w:val="30"/>
          <w:szCs w:val="30"/>
          <w:u w:val="none"/>
        </w:rPr>
        <w:t>2022</w:t>
      </w:r>
      <w:r>
        <w:rPr>
          <w:rFonts w:hint="eastAsia" w:ascii="仿宋_GB2312" w:eastAsia="仿宋_GB2312" w:cs="仿宋_GB2312"/>
          <w:sz w:val="30"/>
          <w:szCs w:val="30"/>
          <w:u w:val="none"/>
        </w:rPr>
        <w:t>年一般公共预算财政拨款“三公”经费预算</w:t>
      </w:r>
      <w:r>
        <w:rPr>
          <w:rFonts w:hint="eastAsia" w:ascii="仿宋_GB2312" w:eastAsia="仿宋_GB2312" w:cs="仿宋_GB2312"/>
          <w:sz w:val="30"/>
          <w:szCs w:val="30"/>
          <w:u w:val="none"/>
          <w:lang w:val="en-US" w:eastAsia="zh-CN"/>
        </w:rPr>
        <w:t>25319.24</w:t>
      </w:r>
      <w:r>
        <w:rPr>
          <w:rFonts w:hint="eastAsia" w:ascii="仿宋_GB2312" w:eastAsia="仿宋_GB2312" w:cs="仿宋_GB2312"/>
          <w:sz w:val="30"/>
          <w:szCs w:val="30"/>
          <w:u w:val="none"/>
        </w:rPr>
        <w:t>元，支出决算25319.24元（去年同期10100.00元），支出决算与</w:t>
      </w:r>
      <w:r>
        <w:rPr>
          <w:rFonts w:hint="eastAsia" w:eastAsia="楷体"/>
          <w:sz w:val="30"/>
          <w:szCs w:val="30"/>
          <w:u w:val="none"/>
        </w:rPr>
        <w:t>2022</w:t>
      </w:r>
      <w:r>
        <w:rPr>
          <w:rFonts w:hint="eastAsia" w:ascii="仿宋_GB2312" w:eastAsia="仿宋_GB2312" w:cs="仿宋_GB2312"/>
          <w:sz w:val="30"/>
          <w:szCs w:val="30"/>
          <w:u w:val="none"/>
        </w:rPr>
        <w:t>年预算相比减少</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元,完成预算的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u w:val="none"/>
        </w:rPr>
        <w:t>%；支出决算较上年增加15219.24元，增长150.69%。决算数</w:t>
      </w:r>
      <w:r>
        <w:rPr>
          <w:rFonts w:hint="eastAsia" w:ascii="仿宋_GB2312" w:eastAsia="仿宋_GB2312" w:cs="仿宋_GB2312"/>
          <w:sz w:val="30"/>
          <w:szCs w:val="30"/>
          <w:u w:val="none"/>
          <w:lang w:val="en-US" w:eastAsia="zh-CN"/>
        </w:rPr>
        <w:t>等于</w:t>
      </w:r>
      <w:r>
        <w:rPr>
          <w:rFonts w:hint="eastAsia" w:ascii="仿宋_GB2312" w:eastAsia="仿宋_GB2312" w:cs="仿宋_GB2312"/>
          <w:sz w:val="30"/>
          <w:szCs w:val="30"/>
          <w:u w:val="none"/>
        </w:rPr>
        <w:t>预算数。决算数较上年增加的主要原因是本单位为2021年5月新成立单位，8月开始业务运营，2021年公务用车运行维护费仅为5个月支出情况，2022年为全年公务用车运行维护费支出情况，较2021年有所增加。</w:t>
      </w:r>
    </w:p>
    <w:p>
      <w:pPr>
        <w:spacing w:line="600" w:lineRule="exact"/>
        <w:ind w:firstLine="602" w:firstLineChars="200"/>
        <w:jc w:val="both"/>
        <w:rPr>
          <w:rFonts w:ascii="楷体" w:hAnsi="楷体" w:eastAsia="楷体" w:cs="楷体"/>
          <w:b/>
          <w:bCs/>
          <w:sz w:val="30"/>
          <w:szCs w:val="30"/>
          <w:u w:val="none"/>
        </w:rPr>
      </w:pPr>
      <w:r>
        <w:rPr>
          <w:rFonts w:hint="eastAsia" w:ascii="楷体" w:hAnsi="楷体" w:eastAsia="楷体" w:cs="楷体"/>
          <w:b/>
          <w:bCs/>
          <w:sz w:val="30"/>
          <w:szCs w:val="30"/>
          <w:u w:val="none"/>
        </w:rPr>
        <w:t>（二）具体情况</w:t>
      </w:r>
    </w:p>
    <w:p>
      <w:pPr>
        <w:spacing w:line="600" w:lineRule="exact"/>
        <w:ind w:firstLine="600" w:firstLineChars="200"/>
        <w:jc w:val="both"/>
        <w:rPr>
          <w:rFonts w:eastAsia="仿宋_GB2312"/>
          <w:sz w:val="30"/>
          <w:szCs w:val="30"/>
          <w:u w:val="none"/>
        </w:rPr>
      </w:pPr>
      <w:r>
        <w:rPr>
          <w:rFonts w:hint="eastAsia" w:eastAsia="仿宋_GB2312"/>
          <w:sz w:val="30"/>
          <w:szCs w:val="30"/>
          <w:u w:val="none"/>
        </w:rPr>
        <w:t>1.</w:t>
      </w:r>
      <w:r>
        <w:rPr>
          <w:rFonts w:hint="eastAsia" w:ascii="仿宋_GB2312" w:eastAsia="仿宋_GB2312" w:cs="仿宋_GB2312"/>
          <w:sz w:val="30"/>
          <w:szCs w:val="30"/>
          <w:u w:val="none"/>
        </w:rPr>
        <w:t>因公出国（境）费预算0.00元，支出决算0.00元（去年同期0.00元），支出决算与预算相比持平；支出决算较上年持平。</w:t>
      </w:r>
      <w:r>
        <w:rPr>
          <w:rFonts w:ascii="仿宋_GB2312" w:eastAsia="仿宋_GB2312" w:cs="仿宋_GB2312"/>
          <w:sz w:val="30"/>
          <w:szCs w:val="30"/>
          <w:u w:val="none"/>
        </w:rPr>
        <w:t>因本年及去年同期均未使用一般公共预算财政拨款列支“因公出国（境）”经费，故本年支出决算与本年预算、上年支出决算均持平为0。2022</w:t>
      </w:r>
      <w:r>
        <w:rPr>
          <w:rFonts w:hint="eastAsia" w:ascii="仿宋_GB2312" w:eastAsia="仿宋_GB2312" w:cs="仿宋_GB2312"/>
          <w:sz w:val="30"/>
          <w:szCs w:val="30"/>
          <w:u w:val="none"/>
        </w:rPr>
        <w:t>年本单位组织的出国团组0个，出国0人次。</w:t>
      </w:r>
    </w:p>
    <w:p>
      <w:pPr>
        <w:spacing w:line="600" w:lineRule="exact"/>
        <w:ind w:firstLine="600" w:firstLineChars="200"/>
        <w:jc w:val="both"/>
        <w:rPr>
          <w:rFonts w:eastAsia="仿宋_GB2312"/>
          <w:sz w:val="30"/>
          <w:szCs w:val="30"/>
          <w:u w:val="none"/>
        </w:rPr>
      </w:pPr>
      <w:r>
        <w:rPr>
          <w:rFonts w:hint="eastAsia" w:eastAsia="仿宋_GB2312"/>
          <w:sz w:val="30"/>
          <w:szCs w:val="30"/>
          <w:u w:val="none"/>
        </w:rPr>
        <w:t>2.</w:t>
      </w:r>
      <w:r>
        <w:rPr>
          <w:rFonts w:hint="eastAsia" w:ascii="仿宋_GB2312" w:eastAsia="仿宋_GB2312" w:cs="仿宋_GB2312"/>
          <w:sz w:val="30"/>
          <w:szCs w:val="30"/>
          <w:u w:val="none"/>
        </w:rPr>
        <w:t>公务用车购置及运行维护费预算</w:t>
      </w:r>
      <w:r>
        <w:rPr>
          <w:rFonts w:hint="eastAsia" w:ascii="仿宋_GB2312" w:eastAsia="仿宋_GB2312" w:cs="仿宋_GB2312"/>
          <w:sz w:val="30"/>
          <w:szCs w:val="30"/>
          <w:u w:val="none"/>
          <w:lang w:val="en-US" w:eastAsia="zh-CN"/>
        </w:rPr>
        <w:t>25319.24</w:t>
      </w:r>
      <w:r>
        <w:rPr>
          <w:rFonts w:hint="eastAsia" w:ascii="仿宋_GB2312" w:eastAsia="仿宋_GB2312" w:cs="仿宋_GB2312"/>
          <w:sz w:val="30"/>
          <w:szCs w:val="30"/>
          <w:u w:val="none"/>
        </w:rPr>
        <w:t>元，支出决算25319.24元（去年同期10100.00元），支出决算与预算相比减少</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元,完成预算的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u w:val="none"/>
        </w:rPr>
        <w:t>%；支出决算较上年增加15219.24元，增长150.69%。其中：</w:t>
      </w:r>
    </w:p>
    <w:p>
      <w:pPr>
        <w:spacing w:line="600" w:lineRule="exact"/>
        <w:ind w:firstLine="600" w:firstLineChars="200"/>
        <w:jc w:val="both"/>
        <w:rPr>
          <w:rFonts w:eastAsia="仿宋_GB2312"/>
          <w:sz w:val="30"/>
          <w:szCs w:val="30"/>
          <w:u w:val="none"/>
        </w:rPr>
      </w:pPr>
      <w:r>
        <w:rPr>
          <w:rFonts w:hint="eastAsia" w:ascii="仿宋_GB2312" w:eastAsia="仿宋_GB2312" w:cs="仿宋_GB2312"/>
          <w:sz w:val="30"/>
          <w:szCs w:val="30"/>
          <w:u w:val="none"/>
        </w:rPr>
        <w:t>公务用车运行维护费预算25319.24元，支出决算25319.24元（去年同期10100.00元），支出决算与预算相比减少24680.76元,完成预算的50.64%；支出决算较上年增加15219.24元，增长150.69%。决算数小于预算数的主要原因是年初预算为购置一台公车109800元和两台公车的运行维护费50000元，由于政策调整，单位保有一台公车后，第二台公车必须购置新能源汽车，年初预算不足够购买新能源汽车，因此2022年的年初预算只支出了目前保有的一台公务用车的运行维护费。决算数较上年增加的主要原因是本单位为2021年5月新成立单位，8月开始业务运营，2021年公务用车运行维护费仅为5个月支出情况，2022年为全年公务用车运行维护费支出情况，较2021年有所增加。截至2022年12月31日，使用</w:t>
      </w:r>
      <w:r>
        <w:rPr>
          <w:rFonts w:hint="eastAsia" w:eastAsia="仿宋_GB2312"/>
          <w:sz w:val="30"/>
          <w:szCs w:val="30"/>
          <w:u w:val="none"/>
        </w:rPr>
        <w:t>一般公共预算</w:t>
      </w:r>
      <w:r>
        <w:rPr>
          <w:rFonts w:hint="eastAsia" w:ascii="仿宋_GB2312" w:eastAsia="仿宋_GB2312" w:cs="仿宋_GB2312"/>
          <w:sz w:val="30"/>
          <w:szCs w:val="30"/>
          <w:u w:val="none"/>
        </w:rPr>
        <w:t>财政拨款开支运行维护费的公务用车保有量为1辆。</w:t>
      </w:r>
      <w:bookmarkStart w:id="32" w:name="_GoBack"/>
      <w:bookmarkEnd w:id="32"/>
    </w:p>
    <w:p>
      <w:pPr>
        <w:spacing w:line="600" w:lineRule="exact"/>
        <w:ind w:firstLine="600" w:firstLineChars="200"/>
        <w:jc w:val="both"/>
        <w:rPr>
          <w:rFonts w:eastAsia="仿宋_GB2312"/>
          <w:sz w:val="30"/>
          <w:szCs w:val="30"/>
          <w:u w:val="none"/>
        </w:rPr>
      </w:pPr>
      <w:r>
        <w:rPr>
          <w:rFonts w:hint="eastAsia" w:ascii="仿宋_GB2312" w:eastAsia="仿宋_GB2312" w:cs="仿宋_GB2312"/>
          <w:sz w:val="30"/>
          <w:szCs w:val="30"/>
          <w:u w:val="none"/>
        </w:rPr>
        <w:t>公务用车购置费预算</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元，支出决算0.00元（去年同期0.00元），支出决算与预算相比减少</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元,完成预算的0.00%；支出决算较上年持平。决算数小于预算数的主要原因是</w:t>
      </w:r>
      <w:r>
        <w:rPr>
          <w:rFonts w:hint="eastAsia" w:ascii="仿宋_GB2312" w:eastAsia="仿宋_GB2312" w:cs="仿宋_GB2312"/>
          <w:sz w:val="30"/>
          <w:szCs w:val="30"/>
        </w:rPr>
        <w:t>因本年及去年同期均未使用一般公共预算财政拨款列支“公务用车购置”经费，故本年支出决算与本年预算、上年支出决算均持平为0</w:t>
      </w:r>
      <w:r>
        <w:rPr>
          <w:rFonts w:hint="eastAsia" w:ascii="仿宋_GB2312" w:eastAsia="仿宋_GB2312" w:cs="仿宋_GB2312"/>
          <w:sz w:val="30"/>
          <w:szCs w:val="30"/>
          <w:u w:val="none"/>
        </w:rPr>
        <w:t>。2022年购置公务用车0辆。</w:t>
      </w:r>
    </w:p>
    <w:p>
      <w:pPr>
        <w:spacing w:line="600" w:lineRule="exact"/>
        <w:ind w:firstLine="645"/>
        <w:jc w:val="both"/>
        <w:rPr>
          <w:rFonts w:eastAsia="仿宋_GB2312" w:cs="仿宋_GB2312"/>
          <w:sz w:val="30"/>
          <w:szCs w:val="30"/>
          <w:u w:val="none"/>
        </w:rPr>
      </w:pPr>
      <w:r>
        <w:rPr>
          <w:rFonts w:hint="eastAsia" w:eastAsia="仿宋_GB2312"/>
          <w:sz w:val="30"/>
          <w:szCs w:val="30"/>
          <w:u w:val="none"/>
        </w:rPr>
        <w:t>3.</w:t>
      </w:r>
      <w:r>
        <w:rPr>
          <w:rFonts w:hint="eastAsia" w:ascii="仿宋_GB2312" w:eastAsia="仿宋_GB2312" w:cs="仿宋_GB2312"/>
          <w:sz w:val="30"/>
          <w:szCs w:val="30"/>
          <w:u w:val="none"/>
        </w:rPr>
        <w:t>公务接待费预算0.00元，支出决算0.00元（去年同期0.00元），支出决算与预算相比持平；支出决算较上年持平。</w:t>
      </w:r>
      <w:r>
        <w:rPr>
          <w:rFonts w:ascii="仿宋_GB2312" w:eastAsia="仿宋_GB2312" w:cs="仿宋_GB2312"/>
          <w:sz w:val="30"/>
          <w:szCs w:val="30"/>
          <w:u w:val="none"/>
        </w:rPr>
        <w:t>因本年及去年同期均未使用一般公共预算财政拨款列支“公务接待”经费，故本年支出决算与本年预算、上年支出决算均持平为0。2022</w:t>
      </w:r>
      <w:r>
        <w:rPr>
          <w:rFonts w:hint="eastAsia" w:ascii="仿宋_GB2312" w:eastAsia="仿宋_GB2312" w:cs="仿宋_GB2312"/>
          <w:sz w:val="30"/>
          <w:szCs w:val="30"/>
          <w:u w:val="none"/>
        </w:rPr>
        <w:t>年本单位国内公务接待0批</w:t>
      </w:r>
      <w:r>
        <w:rPr>
          <w:rFonts w:hint="eastAsia" w:eastAsia="仿宋_GB2312" w:cs="仿宋_GB2312"/>
          <w:sz w:val="30"/>
          <w:szCs w:val="30"/>
          <w:u w:val="none"/>
        </w:rPr>
        <w:t>次，</w:t>
      </w:r>
      <w:r>
        <w:rPr>
          <w:rFonts w:hint="eastAsia" w:ascii="仿宋_GB2312" w:eastAsia="仿宋_GB2312" w:cs="仿宋_GB2312"/>
          <w:sz w:val="30"/>
          <w:szCs w:val="30"/>
          <w:u w:val="none"/>
        </w:rPr>
        <w:t>0</w:t>
      </w:r>
      <w:r>
        <w:rPr>
          <w:rFonts w:hint="eastAsia" w:eastAsia="仿宋_GB2312" w:cs="仿宋_GB2312"/>
          <w:sz w:val="30"/>
          <w:szCs w:val="30"/>
          <w:u w:val="none"/>
        </w:rPr>
        <w:t>人次；其中，外事接待</w:t>
      </w:r>
      <w:r>
        <w:rPr>
          <w:rFonts w:hint="eastAsia" w:ascii="仿宋_GB2312" w:eastAsia="仿宋_GB2312" w:cs="仿宋_GB2312"/>
          <w:sz w:val="30"/>
          <w:szCs w:val="30"/>
          <w:u w:val="none"/>
        </w:rPr>
        <w:t>0</w:t>
      </w:r>
      <w:r>
        <w:rPr>
          <w:rFonts w:hint="eastAsia" w:eastAsia="仿宋_GB2312" w:cs="仿宋_GB2312"/>
          <w:sz w:val="30"/>
          <w:szCs w:val="30"/>
          <w:u w:val="none"/>
        </w:rPr>
        <w:t>批次，</w:t>
      </w:r>
      <w:r>
        <w:rPr>
          <w:rFonts w:hint="eastAsia" w:ascii="仿宋_GB2312" w:eastAsia="仿宋_GB2312" w:cs="仿宋_GB2312"/>
          <w:sz w:val="30"/>
          <w:szCs w:val="30"/>
          <w:u w:val="none"/>
        </w:rPr>
        <w:t>0</w:t>
      </w:r>
      <w:r>
        <w:rPr>
          <w:rFonts w:hint="eastAsia" w:eastAsia="仿宋_GB2312" w:cs="仿宋_GB2312"/>
          <w:sz w:val="30"/>
          <w:szCs w:val="30"/>
          <w:u w:val="none"/>
        </w:rPr>
        <w:t>人次。</w:t>
      </w:r>
    </w:p>
    <w:p>
      <w:pPr>
        <w:pStyle w:val="3"/>
        <w:spacing w:before="0" w:after="0" w:line="600" w:lineRule="exact"/>
        <w:ind w:firstLine="600" w:firstLineChars="200"/>
        <w:rPr>
          <w:rFonts w:ascii="黑体" w:hAnsi="黑体" w:eastAsia="黑体"/>
          <w:b w:val="0"/>
          <w:sz w:val="30"/>
          <w:szCs w:val="30"/>
          <w:u w:val="none"/>
        </w:rPr>
      </w:pPr>
      <w:bookmarkStart w:id="26" w:name="_Toc3411"/>
      <w:r>
        <w:rPr>
          <w:rFonts w:hint="eastAsia" w:ascii="黑体" w:hAnsi="黑体" w:eastAsia="黑体"/>
          <w:b w:val="0"/>
          <w:sz w:val="30"/>
          <w:szCs w:val="30"/>
          <w:u w:val="none"/>
        </w:rPr>
        <w:t>十、</w:t>
      </w:r>
      <w:r>
        <w:rPr>
          <w:rFonts w:ascii="黑体" w:hAnsi="黑体" w:eastAsia="黑体"/>
          <w:b w:val="0"/>
          <w:sz w:val="30"/>
          <w:szCs w:val="30"/>
          <w:u w:val="none"/>
        </w:rPr>
        <w:t>机关运行经费</w:t>
      </w:r>
      <w:r>
        <w:rPr>
          <w:rFonts w:hint="eastAsia" w:ascii="黑体" w:hAnsi="黑体" w:eastAsia="黑体"/>
          <w:b w:val="0"/>
          <w:sz w:val="30"/>
          <w:szCs w:val="30"/>
          <w:u w:val="none"/>
        </w:rPr>
        <w:t>支出情况</w:t>
      </w:r>
      <w:r>
        <w:rPr>
          <w:rFonts w:hint="eastAsia" w:ascii="黑体" w:hAnsi="黑体" w:eastAsia="黑体"/>
          <w:b w:val="0"/>
          <w:bCs w:val="0"/>
          <w:sz w:val="30"/>
          <w:szCs w:val="30"/>
          <w:u w:val="none"/>
        </w:rPr>
        <w:t>说明</w:t>
      </w:r>
      <w:bookmarkEnd w:id="26"/>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天津市津南区海棠街道社区卫生服务中心2022年度无机关运行经费。</w:t>
      </w:r>
    </w:p>
    <w:p>
      <w:pPr>
        <w:pStyle w:val="3"/>
        <w:spacing w:before="0" w:after="0" w:line="600" w:lineRule="exact"/>
        <w:ind w:firstLine="600" w:firstLineChars="200"/>
        <w:rPr>
          <w:rFonts w:ascii="黑体" w:hAnsi="黑体" w:eastAsia="黑体"/>
          <w:b w:val="0"/>
          <w:sz w:val="30"/>
          <w:szCs w:val="30"/>
          <w:u w:val="none"/>
        </w:rPr>
      </w:pPr>
      <w:bookmarkStart w:id="27" w:name="_Toc31102"/>
      <w:r>
        <w:rPr>
          <w:rFonts w:hint="eastAsia" w:ascii="黑体" w:hAnsi="黑体" w:eastAsia="黑体"/>
          <w:b w:val="0"/>
          <w:sz w:val="30"/>
          <w:szCs w:val="30"/>
          <w:u w:val="none"/>
        </w:rPr>
        <w:t>十一、</w:t>
      </w:r>
      <w:r>
        <w:rPr>
          <w:rFonts w:ascii="黑体" w:hAnsi="黑体" w:eastAsia="黑体"/>
          <w:b w:val="0"/>
          <w:sz w:val="30"/>
          <w:szCs w:val="30"/>
          <w:u w:val="none"/>
        </w:rPr>
        <w:t>政府采购</w:t>
      </w:r>
      <w:r>
        <w:rPr>
          <w:rFonts w:hint="eastAsia" w:ascii="黑体" w:hAnsi="黑体" w:eastAsia="黑体"/>
          <w:b w:val="0"/>
          <w:sz w:val="30"/>
          <w:szCs w:val="30"/>
          <w:u w:val="none"/>
        </w:rPr>
        <w:t>支出</w:t>
      </w:r>
      <w:r>
        <w:rPr>
          <w:rFonts w:ascii="黑体" w:hAnsi="黑体" w:eastAsia="黑体"/>
          <w:b w:val="0"/>
          <w:sz w:val="30"/>
          <w:szCs w:val="30"/>
          <w:u w:val="none"/>
        </w:rPr>
        <w:t>情况</w:t>
      </w:r>
      <w:r>
        <w:rPr>
          <w:rFonts w:hint="eastAsia" w:ascii="黑体" w:hAnsi="黑体" w:eastAsia="黑体"/>
          <w:b w:val="0"/>
          <w:bCs w:val="0"/>
          <w:sz w:val="30"/>
          <w:szCs w:val="30"/>
          <w:u w:val="none"/>
        </w:rPr>
        <w:t>说明</w:t>
      </w:r>
      <w:bookmarkEnd w:id="27"/>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海棠街道社区卫生服务中心2022年政府采购支出总额2138258.00元，其中：政府采购货物支出2138258.00元、政府采购工程支出0.00元、政府采购服务支出0.00元。授予中小企业合同金额2138258.00元，占政府采购支出总额的100.00%，其中：授予小微企业合同金额2138258.00元，占政府采购支出总额的100.00%；货物采购授予中小企业合同金额占货物支出金额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u w:val="none"/>
        </w:rPr>
        <w:t>%，工程采购授予中小企业合同金额占工程支出金额的0.00%，服务采购授予中小企业合同金额占服务支出金额的0.00%。</w:t>
      </w:r>
    </w:p>
    <w:p>
      <w:pPr>
        <w:pStyle w:val="3"/>
        <w:spacing w:before="0" w:after="0" w:line="600" w:lineRule="exact"/>
        <w:ind w:firstLine="600" w:firstLineChars="200"/>
        <w:rPr>
          <w:rFonts w:ascii="黑体" w:hAnsi="黑体" w:eastAsia="黑体"/>
          <w:b w:val="0"/>
          <w:sz w:val="30"/>
          <w:szCs w:val="30"/>
          <w:u w:val="none"/>
        </w:rPr>
      </w:pPr>
      <w:bookmarkStart w:id="28" w:name="_Toc23709"/>
      <w:r>
        <w:rPr>
          <w:rFonts w:hint="eastAsia" w:ascii="黑体" w:hAnsi="黑体" w:eastAsia="黑体"/>
          <w:b w:val="0"/>
          <w:sz w:val="30"/>
          <w:szCs w:val="30"/>
          <w:u w:val="none"/>
        </w:rPr>
        <w:t>十二、国有资产占有使用情况</w:t>
      </w:r>
      <w:r>
        <w:rPr>
          <w:rFonts w:hint="eastAsia" w:ascii="黑体" w:hAnsi="黑体" w:eastAsia="黑体"/>
          <w:b w:val="0"/>
          <w:bCs w:val="0"/>
          <w:sz w:val="30"/>
          <w:szCs w:val="30"/>
          <w:u w:val="none"/>
        </w:rPr>
        <w:t>说明</w:t>
      </w:r>
      <w:bookmarkEnd w:id="28"/>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天津市津南区海棠街道社区卫生服务中心2022年度无国有资产占有使用情况。</w:t>
      </w:r>
    </w:p>
    <w:p>
      <w:pPr>
        <w:pStyle w:val="3"/>
        <w:spacing w:before="0" w:after="0" w:line="540" w:lineRule="exact"/>
        <w:ind w:firstLine="600" w:firstLineChars="200"/>
        <w:rPr>
          <w:rFonts w:ascii="黑体" w:hAnsi="黑体" w:eastAsia="黑体"/>
          <w:b w:val="0"/>
          <w:bCs w:val="0"/>
          <w:sz w:val="30"/>
          <w:szCs w:val="30"/>
          <w:u w:val="none"/>
        </w:rPr>
      </w:pPr>
      <w:bookmarkStart w:id="29" w:name="_Toc11467"/>
      <w:r>
        <w:rPr>
          <w:rFonts w:hint="eastAsia" w:ascii="黑体" w:hAnsi="黑体" w:eastAsia="黑体"/>
          <w:b w:val="0"/>
          <w:bCs w:val="0"/>
          <w:sz w:val="30"/>
          <w:szCs w:val="30"/>
          <w:u w:val="none"/>
        </w:rPr>
        <w:t>十三、预算绩效情况说明</w:t>
      </w:r>
      <w:bookmarkEnd w:id="29"/>
    </w:p>
    <w:p>
      <w:pPr>
        <w:spacing w:line="600" w:lineRule="exact"/>
        <w:ind w:firstLine="600" w:firstLineChars="200"/>
        <w:jc w:val="both"/>
        <w:rPr>
          <w:rFonts w:hint="eastAsia" w:eastAsia="仿宋_GB2312"/>
          <w:sz w:val="30"/>
          <w:szCs w:val="30"/>
          <w:u w:val="none"/>
          <w:lang w:eastAsia="zh-CN"/>
        </w:rPr>
      </w:pPr>
      <w:r>
        <w:rPr>
          <w:rFonts w:eastAsia="仿宋_GB2312"/>
          <w:sz w:val="30"/>
          <w:szCs w:val="30"/>
          <w:u w:val="none"/>
        </w:rPr>
        <w:t>根据预算绩效管理要求，</w:t>
      </w:r>
      <w:r>
        <w:rPr>
          <w:rFonts w:hint="eastAsia" w:ascii="仿宋_GB2312" w:eastAsia="仿宋_GB2312" w:cs="仿宋_GB2312"/>
          <w:sz w:val="30"/>
          <w:szCs w:val="30"/>
          <w:u w:val="none"/>
        </w:rPr>
        <w:t>天津市津南区海棠街道社区卫生服务中</w:t>
      </w:r>
      <w:r>
        <w:rPr>
          <w:rFonts w:hint="eastAsia" w:ascii="仿宋_GB2312" w:hAnsi="仿宋_GB2312" w:eastAsia="仿宋_GB2312" w:cs="仿宋_GB2312"/>
          <w:sz w:val="30"/>
          <w:szCs w:val="30"/>
          <w:u w:val="none"/>
        </w:rPr>
        <w:t>心2022年度已对</w:t>
      </w:r>
      <w:r>
        <w:rPr>
          <w:rFonts w:hint="eastAsia" w:ascii="仿宋_GB2312" w:hAnsi="仿宋_GB2312" w:eastAsia="仿宋_GB2312" w:cs="仿宋_GB2312"/>
          <w:sz w:val="30"/>
          <w:szCs w:val="30"/>
          <w:u w:val="none"/>
          <w:lang w:val="en-US" w:eastAsia="zh-CN"/>
        </w:rPr>
        <w:t>4</w:t>
      </w:r>
      <w:r>
        <w:rPr>
          <w:rFonts w:hint="eastAsia" w:ascii="仿宋_GB2312" w:hAnsi="仿宋_GB2312" w:eastAsia="仿宋_GB2312" w:cs="仿宋_GB2312"/>
          <w:sz w:val="30"/>
          <w:szCs w:val="30"/>
          <w:u w:val="none"/>
        </w:rPr>
        <w:t xml:space="preserve">个区级项目开展绩效自评，涉及金额 </w:t>
      </w:r>
      <w:r>
        <w:rPr>
          <w:rFonts w:hint="eastAsia" w:ascii="仿宋_GB2312" w:hAnsi="仿宋_GB2312" w:eastAsia="仿宋_GB2312" w:cs="仿宋_GB2312"/>
          <w:sz w:val="30"/>
          <w:szCs w:val="30"/>
          <w:u w:val="none"/>
          <w:lang w:val="en-US" w:eastAsia="zh-CN"/>
        </w:rPr>
        <w:t>495580</w:t>
      </w:r>
      <w:r>
        <w:rPr>
          <w:rFonts w:hint="eastAsia" w:ascii="仿宋_GB2312" w:hAnsi="仿宋_GB2312" w:eastAsia="仿宋_GB2312" w:cs="仿宋_GB2312"/>
          <w:sz w:val="30"/>
          <w:szCs w:val="30"/>
          <w:u w:val="none"/>
        </w:rPr>
        <w:t>元，自评结果已随部门决</w:t>
      </w:r>
      <w:r>
        <w:rPr>
          <w:rFonts w:hint="eastAsia" w:eastAsia="仿宋_GB2312"/>
          <w:sz w:val="30"/>
          <w:szCs w:val="30"/>
          <w:u w:val="none"/>
        </w:rPr>
        <w:t>算一并公开</w:t>
      </w:r>
      <w:r>
        <w:rPr>
          <w:rFonts w:hint="eastAsia" w:eastAsia="仿宋_GB2312"/>
          <w:sz w:val="30"/>
          <w:szCs w:val="30"/>
          <w:u w:val="none"/>
          <w:lang w:eastAsia="zh-CN"/>
        </w:rPr>
        <w:t>。</w:t>
      </w:r>
    </w:p>
    <w:p>
      <w:pPr>
        <w:pStyle w:val="3"/>
        <w:spacing w:before="0" w:after="0" w:line="600" w:lineRule="exact"/>
        <w:ind w:firstLine="600" w:firstLineChars="200"/>
        <w:rPr>
          <w:rFonts w:ascii="Times New Roman" w:hAnsi="Times New Roman" w:eastAsia="黑体"/>
          <w:b w:val="0"/>
          <w:sz w:val="30"/>
          <w:szCs w:val="30"/>
          <w:u w:val="none"/>
        </w:rPr>
      </w:pPr>
      <w:bookmarkStart w:id="30" w:name="_Toc15949"/>
      <w:r>
        <w:rPr>
          <w:rFonts w:hint="eastAsia" w:ascii="Times New Roman" w:hAnsi="Times New Roman" w:eastAsia="黑体"/>
          <w:b w:val="0"/>
          <w:sz w:val="30"/>
          <w:szCs w:val="30"/>
          <w:u w:val="none"/>
        </w:rPr>
        <w:t>十四、</w:t>
      </w:r>
      <w:r>
        <w:rPr>
          <w:rFonts w:ascii="Times New Roman" w:hAnsi="Times New Roman" w:eastAsia="黑体"/>
          <w:b w:val="0"/>
          <w:sz w:val="30"/>
          <w:szCs w:val="30"/>
          <w:u w:val="none"/>
        </w:rPr>
        <w:t>教育、医疗卫生、社会保障和就业、住房保障、涉农补贴等民生支出情况</w:t>
      </w:r>
      <w:r>
        <w:rPr>
          <w:rFonts w:hint="eastAsia" w:ascii="黑体" w:hAnsi="黑体" w:eastAsia="黑体"/>
          <w:b w:val="0"/>
          <w:bCs w:val="0"/>
          <w:sz w:val="30"/>
          <w:szCs w:val="30"/>
          <w:u w:val="none"/>
        </w:rPr>
        <w:t>说明</w:t>
      </w:r>
      <w:bookmarkEnd w:id="30"/>
    </w:p>
    <w:p>
      <w:pPr>
        <w:spacing w:line="600" w:lineRule="exact"/>
        <w:ind w:firstLine="645"/>
        <w:jc w:val="both"/>
        <w:rPr>
          <w:rFonts w:ascii="仿宋_GB2312" w:eastAsia="仿宋_GB2312" w:cs="仿宋_GB2312"/>
          <w:sz w:val="30"/>
          <w:szCs w:val="30"/>
          <w:u w:val="none"/>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u w:val="none"/>
        </w:rPr>
        <w:t>天津市津南区海棠街道社区卫生服务中心不属于乡、镇、街级单位，不涉及公开2022年度教育、医疗卫生、社会保障和就业、住房保障、涉农补贴等民生支出情况。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u w:val="none"/>
        </w:rPr>
      </w:pPr>
      <w:bookmarkStart w:id="31" w:name="_Toc30612"/>
      <w:r>
        <w:rPr>
          <w:rFonts w:hint="eastAsia" w:ascii="方正小标宋简体" w:hAnsi="方正小标宋简体" w:eastAsia="方正小标宋简体" w:cs="方正小标宋简体"/>
          <w:b w:val="0"/>
          <w:u w:val="none"/>
        </w:rPr>
        <w:t>第四部分  名词解释</w:t>
      </w:r>
      <w:bookmarkEnd w:id="31"/>
    </w:p>
    <w:p>
      <w:pPr>
        <w:spacing w:line="600" w:lineRule="exact"/>
        <w:ind w:firstLine="600" w:firstLineChars="200"/>
        <w:rPr>
          <w:rFonts w:ascii="仿宋_GB2312" w:eastAsia="仿宋_GB2312"/>
          <w:sz w:val="30"/>
          <w:szCs w:val="30"/>
          <w:u w:val="none"/>
        </w:rPr>
      </w:pPr>
    </w:p>
    <w:p>
      <w:pPr>
        <w:numPr>
          <w:ilvl w:val="0"/>
          <w:numId w:val="3"/>
        </w:numPr>
        <w:spacing w:line="600" w:lineRule="exact"/>
        <w:ind w:firstLine="600" w:firstLineChars="200"/>
        <w:rPr>
          <w:rFonts w:eastAsia="仿宋_GB2312"/>
          <w:sz w:val="30"/>
          <w:szCs w:val="30"/>
          <w:u w:val="none"/>
        </w:rPr>
      </w:pPr>
      <w:r>
        <w:rPr>
          <w:rFonts w:hint="eastAsia" w:eastAsia="仿宋_GB2312"/>
          <w:sz w:val="30"/>
          <w:szCs w:val="30"/>
          <w:u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u w:val="none"/>
        </w:rPr>
      </w:pPr>
      <w:r>
        <w:rPr>
          <w:rFonts w:hint="eastAsia" w:eastAsia="仿宋_GB2312"/>
          <w:sz w:val="30"/>
          <w:szCs w:val="30"/>
          <w:u w:val="none"/>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u w:val="none"/>
        </w:rPr>
      </w:pPr>
      <w:r>
        <w:rPr>
          <w:rFonts w:hint="eastAsia" w:eastAsia="仿宋_GB2312"/>
          <w:sz w:val="30"/>
          <w:szCs w:val="30"/>
          <w:u w:val="none"/>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0Mzk5MjkwYmQyNGJiMjhmY2FiYTQ4MjUyZDc3NmMifQ=="/>
  </w:docVars>
  <w:rsids>
    <w:rsidRoot w:val="00172A27"/>
    <w:rsid w:val="00015911"/>
    <w:rsid w:val="000423B8"/>
    <w:rsid w:val="00046E1C"/>
    <w:rsid w:val="00053901"/>
    <w:rsid w:val="000864BF"/>
    <w:rsid w:val="00092AB8"/>
    <w:rsid w:val="00095167"/>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3D76"/>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D92F4B"/>
    <w:rsid w:val="021D09AE"/>
    <w:rsid w:val="02317CA1"/>
    <w:rsid w:val="02C26D17"/>
    <w:rsid w:val="032B2B72"/>
    <w:rsid w:val="03633F1C"/>
    <w:rsid w:val="03877CF5"/>
    <w:rsid w:val="03971CD2"/>
    <w:rsid w:val="03997587"/>
    <w:rsid w:val="03A73B20"/>
    <w:rsid w:val="04D27C6A"/>
    <w:rsid w:val="04D4498B"/>
    <w:rsid w:val="04DA6E85"/>
    <w:rsid w:val="054E0E8D"/>
    <w:rsid w:val="05901C8F"/>
    <w:rsid w:val="059D199E"/>
    <w:rsid w:val="05ED0759"/>
    <w:rsid w:val="06516202"/>
    <w:rsid w:val="065A73D7"/>
    <w:rsid w:val="068D56CD"/>
    <w:rsid w:val="068F1656"/>
    <w:rsid w:val="06CE3C39"/>
    <w:rsid w:val="070745F4"/>
    <w:rsid w:val="0750320D"/>
    <w:rsid w:val="080C427F"/>
    <w:rsid w:val="08297A10"/>
    <w:rsid w:val="08496DC5"/>
    <w:rsid w:val="08601190"/>
    <w:rsid w:val="08610C17"/>
    <w:rsid w:val="08AB76E6"/>
    <w:rsid w:val="08B17C7F"/>
    <w:rsid w:val="09794F69"/>
    <w:rsid w:val="09AA3088"/>
    <w:rsid w:val="09BC7107"/>
    <w:rsid w:val="09C86481"/>
    <w:rsid w:val="09CD6F6A"/>
    <w:rsid w:val="0ABD2EA9"/>
    <w:rsid w:val="0AF02B7A"/>
    <w:rsid w:val="0B0C0657"/>
    <w:rsid w:val="0B2F7E6E"/>
    <w:rsid w:val="0B7057C8"/>
    <w:rsid w:val="0BF51CAC"/>
    <w:rsid w:val="0C327E5C"/>
    <w:rsid w:val="0D66464C"/>
    <w:rsid w:val="0DCA24E7"/>
    <w:rsid w:val="0DD00B0A"/>
    <w:rsid w:val="0E1905E8"/>
    <w:rsid w:val="0E6B081A"/>
    <w:rsid w:val="0E812A35"/>
    <w:rsid w:val="0F3A7BBE"/>
    <w:rsid w:val="0FB146BC"/>
    <w:rsid w:val="105B07D8"/>
    <w:rsid w:val="10D0376E"/>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A617C9"/>
    <w:rsid w:val="181D0AF6"/>
    <w:rsid w:val="18E12A26"/>
    <w:rsid w:val="1A2F34CF"/>
    <w:rsid w:val="1B0B6786"/>
    <w:rsid w:val="1BCC4E67"/>
    <w:rsid w:val="1BE24A05"/>
    <w:rsid w:val="1C12375B"/>
    <w:rsid w:val="1C2E1750"/>
    <w:rsid w:val="1C8A5079"/>
    <w:rsid w:val="1D520C3E"/>
    <w:rsid w:val="1DA340AC"/>
    <w:rsid w:val="1E2F4E67"/>
    <w:rsid w:val="1E506972"/>
    <w:rsid w:val="1E63121F"/>
    <w:rsid w:val="1E8146FC"/>
    <w:rsid w:val="1E9B145E"/>
    <w:rsid w:val="1EC8639D"/>
    <w:rsid w:val="1EC97805"/>
    <w:rsid w:val="1EFB07B0"/>
    <w:rsid w:val="1F130856"/>
    <w:rsid w:val="1F6101B7"/>
    <w:rsid w:val="1FABD71D"/>
    <w:rsid w:val="20505929"/>
    <w:rsid w:val="2093268B"/>
    <w:rsid w:val="20B030D5"/>
    <w:rsid w:val="228770CD"/>
    <w:rsid w:val="22A211C8"/>
    <w:rsid w:val="22F75B35"/>
    <w:rsid w:val="236906A5"/>
    <w:rsid w:val="23BA0D09"/>
    <w:rsid w:val="24593BF8"/>
    <w:rsid w:val="246B4C91"/>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330D0F"/>
    <w:rsid w:val="2C3B01C9"/>
    <w:rsid w:val="2CB024EC"/>
    <w:rsid w:val="2D2B1A30"/>
    <w:rsid w:val="2D5BB7F4"/>
    <w:rsid w:val="2DA87FE3"/>
    <w:rsid w:val="2DAB1C1C"/>
    <w:rsid w:val="2E6455AA"/>
    <w:rsid w:val="2E6E5875"/>
    <w:rsid w:val="2EA36042"/>
    <w:rsid w:val="2EAA1E45"/>
    <w:rsid w:val="2EBA2F30"/>
    <w:rsid w:val="2F8573F4"/>
    <w:rsid w:val="2FBB39E7"/>
    <w:rsid w:val="2FFC60D8"/>
    <w:rsid w:val="2FFD4B55"/>
    <w:rsid w:val="31447701"/>
    <w:rsid w:val="31F32BCC"/>
    <w:rsid w:val="322D5537"/>
    <w:rsid w:val="32500429"/>
    <w:rsid w:val="32B00783"/>
    <w:rsid w:val="33987EA4"/>
    <w:rsid w:val="33E55770"/>
    <w:rsid w:val="342060B3"/>
    <w:rsid w:val="343041E9"/>
    <w:rsid w:val="343E2C5A"/>
    <w:rsid w:val="34E404B6"/>
    <w:rsid w:val="3518051D"/>
    <w:rsid w:val="353874A5"/>
    <w:rsid w:val="356C4B0F"/>
    <w:rsid w:val="357756D0"/>
    <w:rsid w:val="35F83418"/>
    <w:rsid w:val="35FA3DA7"/>
    <w:rsid w:val="36433E0B"/>
    <w:rsid w:val="3685618C"/>
    <w:rsid w:val="369B027F"/>
    <w:rsid w:val="36DF7E92"/>
    <w:rsid w:val="37210A48"/>
    <w:rsid w:val="37C605ED"/>
    <w:rsid w:val="37EC07D4"/>
    <w:rsid w:val="38F44254"/>
    <w:rsid w:val="39054161"/>
    <w:rsid w:val="395157DA"/>
    <w:rsid w:val="39D81DB4"/>
    <w:rsid w:val="39DD1F63"/>
    <w:rsid w:val="3A875795"/>
    <w:rsid w:val="3B3A6848"/>
    <w:rsid w:val="3B5C22DF"/>
    <w:rsid w:val="3C7702D9"/>
    <w:rsid w:val="3C822FFF"/>
    <w:rsid w:val="3C987755"/>
    <w:rsid w:val="3D1712DB"/>
    <w:rsid w:val="3D6E4CFB"/>
    <w:rsid w:val="3DB948D9"/>
    <w:rsid w:val="3DED19CC"/>
    <w:rsid w:val="3E2F3E71"/>
    <w:rsid w:val="3E551C1D"/>
    <w:rsid w:val="3E6D1878"/>
    <w:rsid w:val="3EAA16DD"/>
    <w:rsid w:val="3EE7006C"/>
    <w:rsid w:val="3F043070"/>
    <w:rsid w:val="3F397145"/>
    <w:rsid w:val="419141BF"/>
    <w:rsid w:val="41C515FE"/>
    <w:rsid w:val="41F26234"/>
    <w:rsid w:val="420905A3"/>
    <w:rsid w:val="42955F29"/>
    <w:rsid w:val="42C52D12"/>
    <w:rsid w:val="42EA0B90"/>
    <w:rsid w:val="436E1D48"/>
    <w:rsid w:val="442221E6"/>
    <w:rsid w:val="44FC0AD9"/>
    <w:rsid w:val="459F58C6"/>
    <w:rsid w:val="45C66F5A"/>
    <w:rsid w:val="464311BD"/>
    <w:rsid w:val="46762869"/>
    <w:rsid w:val="46800ECA"/>
    <w:rsid w:val="46D65DFF"/>
    <w:rsid w:val="46ED43C8"/>
    <w:rsid w:val="47655748"/>
    <w:rsid w:val="481F5D29"/>
    <w:rsid w:val="485B08F6"/>
    <w:rsid w:val="48E65506"/>
    <w:rsid w:val="49A95325"/>
    <w:rsid w:val="49C60D15"/>
    <w:rsid w:val="49EE18E7"/>
    <w:rsid w:val="4C72500A"/>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4D72BF4"/>
    <w:rsid w:val="54F6709D"/>
    <w:rsid w:val="566138B1"/>
    <w:rsid w:val="56832AE6"/>
    <w:rsid w:val="56F540E8"/>
    <w:rsid w:val="576B6402"/>
    <w:rsid w:val="57814C22"/>
    <w:rsid w:val="579303E0"/>
    <w:rsid w:val="57BD125F"/>
    <w:rsid w:val="57DB4D69"/>
    <w:rsid w:val="58CB2B06"/>
    <w:rsid w:val="59005937"/>
    <w:rsid w:val="5926711F"/>
    <w:rsid w:val="596D5572"/>
    <w:rsid w:val="59DC23BD"/>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F74B4"/>
    <w:rsid w:val="607B68FE"/>
    <w:rsid w:val="617007B5"/>
    <w:rsid w:val="61E56E86"/>
    <w:rsid w:val="621870FC"/>
    <w:rsid w:val="62600C89"/>
    <w:rsid w:val="62DA2A3D"/>
    <w:rsid w:val="62DE1636"/>
    <w:rsid w:val="637B3A8F"/>
    <w:rsid w:val="63A65E89"/>
    <w:rsid w:val="65001203"/>
    <w:rsid w:val="65737FA2"/>
    <w:rsid w:val="65D920E1"/>
    <w:rsid w:val="65D9655D"/>
    <w:rsid w:val="6637149C"/>
    <w:rsid w:val="6656630C"/>
    <w:rsid w:val="667D7425"/>
    <w:rsid w:val="66EC0C69"/>
    <w:rsid w:val="67AD24B8"/>
    <w:rsid w:val="67CD7B51"/>
    <w:rsid w:val="67F5DAB5"/>
    <w:rsid w:val="68261741"/>
    <w:rsid w:val="693E2FAD"/>
    <w:rsid w:val="698062FC"/>
    <w:rsid w:val="69BD5EE8"/>
    <w:rsid w:val="6A740B43"/>
    <w:rsid w:val="6ABD46BF"/>
    <w:rsid w:val="6AF730BD"/>
    <w:rsid w:val="6B617BE2"/>
    <w:rsid w:val="6BA66029"/>
    <w:rsid w:val="6CA041B2"/>
    <w:rsid w:val="6DDD5EBF"/>
    <w:rsid w:val="6DE74955"/>
    <w:rsid w:val="6DFC4CD2"/>
    <w:rsid w:val="6E2E2D6D"/>
    <w:rsid w:val="6E3F51B6"/>
    <w:rsid w:val="6E460B96"/>
    <w:rsid w:val="6EA82131"/>
    <w:rsid w:val="6EB2683E"/>
    <w:rsid w:val="6F046708"/>
    <w:rsid w:val="6F68529E"/>
    <w:rsid w:val="6FB410D2"/>
    <w:rsid w:val="6FC54BEF"/>
    <w:rsid w:val="706921FA"/>
    <w:rsid w:val="70B22C23"/>
    <w:rsid w:val="71411B5D"/>
    <w:rsid w:val="719931E1"/>
    <w:rsid w:val="721E7AC8"/>
    <w:rsid w:val="7240055A"/>
    <w:rsid w:val="728E0BA0"/>
    <w:rsid w:val="73134A0E"/>
    <w:rsid w:val="736064A7"/>
    <w:rsid w:val="736159D6"/>
    <w:rsid w:val="73F71039"/>
    <w:rsid w:val="73F91498"/>
    <w:rsid w:val="74D5337C"/>
    <w:rsid w:val="74D975E2"/>
    <w:rsid w:val="756B7D6A"/>
    <w:rsid w:val="757C417D"/>
    <w:rsid w:val="759455DB"/>
    <w:rsid w:val="75A86778"/>
    <w:rsid w:val="75D160D9"/>
    <w:rsid w:val="762914BB"/>
    <w:rsid w:val="76685F07"/>
    <w:rsid w:val="773A73AB"/>
    <w:rsid w:val="775767BB"/>
    <w:rsid w:val="7779068F"/>
    <w:rsid w:val="77B92148"/>
    <w:rsid w:val="77FFE39F"/>
    <w:rsid w:val="781B1736"/>
    <w:rsid w:val="78F051A8"/>
    <w:rsid w:val="79EF18A6"/>
    <w:rsid w:val="7A903B21"/>
    <w:rsid w:val="7AC3080E"/>
    <w:rsid w:val="7CF2196B"/>
    <w:rsid w:val="7D2E7430"/>
    <w:rsid w:val="7D993EC8"/>
    <w:rsid w:val="7D9A013D"/>
    <w:rsid w:val="7E54438D"/>
    <w:rsid w:val="7E9160CF"/>
    <w:rsid w:val="7EC677D3"/>
    <w:rsid w:val="7FDC2489"/>
    <w:rsid w:val="7FFDEEFD"/>
    <w:rsid w:val="BBFEB28B"/>
    <w:rsid w:val="D74FDF30"/>
    <w:rsid w:val="DEAEE68D"/>
    <w:rsid w:val="EFFFA852"/>
    <w:rsid w:val="F7F97754"/>
    <w:rsid w:val="FB7FC3E7"/>
    <w:rsid w:val="FE387D44"/>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5071</Words>
  <Characters>6115</Characters>
  <Lines>52</Lines>
  <Paragraphs>14</Paragraphs>
  <TotalTime>0</TotalTime>
  <ScaleCrop>false</ScaleCrop>
  <LinksUpToDate>false</LinksUpToDate>
  <CharactersWithSpaces>6260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2019-07-29T02:37:00Z</dcterms:created>
  <dc:creator>Administrator</dc:creator>
  <cp:lastModifiedBy>猫不叹气</cp:lastModifiedBy>
  <cp:lastPrinted>2012-09-20T14:00:00Z</cp:lastPrinted>
  <dcterms:modified xsi:type="dcterms:W3CDTF">2023-09-26T02:40:07Z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90D74AD8847844C8B6B3F08FF3278CF3_13</vt:lpwstr>
  </property>
</Properties>
</file>