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天津市津南区疾病预防控制中心</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580" w:lineRule="exact"/>
        <w:ind w:firstLine="600" w:firstLineChars="200"/>
        <w:rPr>
          <w:rFonts w:ascii="仿宋_GB2312" w:eastAsia="仿宋_GB2312"/>
          <w:sz w:val="30"/>
          <w:szCs w:val="30"/>
          <w:highlight w:val="none"/>
          <w:u w:val="none"/>
        </w:rPr>
      </w:pPr>
      <w:r>
        <w:rPr>
          <w:rFonts w:hint="eastAsia" w:ascii="Calibri" w:hAnsi="Calibri" w:eastAsia="仿宋_GB2312"/>
          <w:sz w:val="30"/>
          <w:szCs w:val="30"/>
          <w:highlight w:val="none"/>
          <w:u w:val="none"/>
        </w:rPr>
        <w:t>天津市津南区疾病预防控制中心</w:t>
      </w:r>
      <w:r>
        <w:rPr>
          <w:rFonts w:hint="eastAsia" w:ascii="仿宋_GB2312" w:hAnsi="Calibri" w:eastAsia="仿宋_GB2312"/>
          <w:sz w:val="30"/>
          <w:szCs w:val="30"/>
          <w:highlight w:val="none"/>
          <w:u w:val="none"/>
        </w:rPr>
        <w:t>是预防干预各种疾病控制。其主要职责：疾病预防控制、免疫规划、突发公共卫生事件、职业卫生、水质监测等。</w:t>
      </w:r>
    </w:p>
    <w:p>
      <w:pPr>
        <w:spacing w:line="600" w:lineRule="exact"/>
        <w:ind w:firstLine="600" w:firstLineChars="200"/>
        <w:rPr>
          <w:rFonts w:ascii="仿宋_GB2312" w:eastAsia="仿宋_GB2312"/>
          <w:sz w:val="30"/>
          <w:szCs w:val="30"/>
        </w:rPr>
      </w:pPr>
    </w:p>
    <w:p>
      <w:pPr>
        <w:pStyle w:val="3"/>
        <w:spacing w:before="0" w:after="0" w:line="600" w:lineRule="exact"/>
        <w:ind w:firstLine="600" w:firstLineChars="200"/>
        <w:rPr>
          <w:rFonts w:ascii="黑体" w:hAnsi="黑体" w:eastAsia="黑体"/>
          <w:b w:val="0"/>
          <w:bCs w:val="0"/>
          <w:sz w:val="30"/>
          <w:szCs w:val="30"/>
        </w:rPr>
      </w:pPr>
      <w:bookmarkStart w:id="2" w:name="_Toc17388"/>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天津市津南区疾病预防控制中心部门</w:t>
      </w:r>
      <w:r>
        <w:rPr>
          <w:rFonts w:eastAsia="仿宋_GB2312"/>
          <w:sz w:val="30"/>
          <w:szCs w:val="30"/>
        </w:rPr>
        <w:t>内设</w:t>
      </w:r>
      <w:r>
        <w:rPr>
          <w:rFonts w:hint="eastAsia" w:eastAsia="仿宋_GB2312"/>
          <w:sz w:val="30"/>
          <w:szCs w:val="30"/>
          <w:u w:val="none"/>
          <w:lang w:val="en-US" w:eastAsia="zh-CN"/>
        </w:rPr>
        <w:t>15</w:t>
      </w:r>
      <w:r>
        <w:rPr>
          <w:rFonts w:eastAsia="仿宋_GB2312"/>
          <w:sz w:val="30"/>
          <w:szCs w:val="30"/>
        </w:rPr>
        <w:t>个职能处室</w:t>
      </w:r>
      <w:r>
        <w:rPr>
          <w:rFonts w:hint="eastAsia" w:ascii="仿宋_GB2312" w:eastAsia="仿宋_GB2312" w:cs="仿宋_GB2312"/>
          <w:sz w:val="30"/>
          <w:szCs w:val="30"/>
        </w:rPr>
        <w:t>。</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天津市津南区疾病预防控制中心2022年度政府性基金预算财政拨款收入支出决算表为空表。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天津市津南区疾病预防控制中心2022年度国有资本经营预算财政拨款收入支出决算表为空表。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u w:val="none"/>
        </w:rPr>
      </w:pPr>
      <w:r>
        <w:rPr>
          <w:rFonts w:hint="eastAsia" w:eastAsia="仿宋_GB2312"/>
          <w:sz w:val="30"/>
          <w:szCs w:val="30"/>
        </w:rPr>
        <w:t xml:space="preserve">    </w:t>
      </w:r>
      <w:r>
        <w:rPr>
          <w:rFonts w:hint="eastAsia" w:ascii="仿宋_GB2312" w:eastAsia="仿宋_GB2312" w:cs="仿宋_GB2312"/>
          <w:sz w:val="30"/>
          <w:szCs w:val="30"/>
        </w:rPr>
        <w:t>天津市津南区疾病预防</w:t>
      </w:r>
      <w:r>
        <w:rPr>
          <w:rFonts w:hint="eastAsia" w:ascii="仿宋_GB2312" w:hAnsi="仿宋_GB2312" w:eastAsia="仿宋_GB2312" w:cs="仿宋_GB2312"/>
          <w:sz w:val="30"/>
          <w:szCs w:val="30"/>
        </w:rPr>
        <w:t>控制中心2022年度收入、支出决算总计72699731.82元。与2021年度相比，收</w:t>
      </w:r>
      <w:r>
        <w:rPr>
          <w:rFonts w:hint="eastAsia" w:ascii="仿宋_GB2312" w:eastAsia="仿宋_GB2312" w:cs="仿宋_GB2312"/>
          <w:sz w:val="30"/>
          <w:szCs w:val="30"/>
        </w:rPr>
        <w:t>、支总计各增加23162920.24元，增长46.76%，主要原因是</w:t>
      </w:r>
      <w:r>
        <w:rPr>
          <w:rFonts w:hint="eastAsia" w:ascii="仿宋_GB2312" w:hAnsi="仿宋" w:eastAsia="仿宋_GB2312"/>
          <w:sz w:val="32"/>
          <w:szCs w:val="32"/>
          <w:u w:val="none"/>
          <w:lang w:eastAsia="zh-CN"/>
        </w:rPr>
        <w:t>突发新冠疫情，财政加大防控投入</w:t>
      </w:r>
      <w:r>
        <w:rPr>
          <w:rFonts w:hint="eastAsia" w:eastAsia="仿宋_GB2312"/>
          <w:sz w:val="30"/>
          <w:szCs w:val="30"/>
          <w:u w:val="none"/>
        </w:rPr>
        <w:t>。</w:t>
      </w:r>
      <w:bookmarkStart w:id="32" w:name="_GoBack"/>
      <w:bookmarkEnd w:id="32"/>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天津市津南区疾病预</w:t>
      </w:r>
      <w:r>
        <w:rPr>
          <w:rFonts w:hint="eastAsia" w:ascii="仿宋_GB2312" w:hAnsi="仿宋_GB2312" w:eastAsia="仿宋_GB2312" w:cs="仿宋_GB2312"/>
          <w:sz w:val="30"/>
          <w:szCs w:val="30"/>
        </w:rPr>
        <w:t>防控制中心2022年度本年收入合计68900140.84元，与2021年度相比增加2711677</w:t>
      </w:r>
      <w:r>
        <w:rPr>
          <w:rFonts w:hint="eastAsia" w:ascii="仿宋_GB2312" w:eastAsia="仿宋_GB2312" w:cs="仿宋_GB2312"/>
          <w:sz w:val="30"/>
          <w:szCs w:val="30"/>
        </w:rPr>
        <w:t>4.67元，主要原因是</w:t>
      </w:r>
      <w:r>
        <w:rPr>
          <w:rFonts w:hint="eastAsia" w:ascii="仿宋_GB2312" w:hAnsi="仿宋" w:eastAsia="仿宋_GB2312"/>
          <w:sz w:val="32"/>
          <w:szCs w:val="32"/>
          <w:lang w:eastAsia="zh-CN"/>
        </w:rPr>
        <w:t>突发新冠疫情，财政加大防控投入</w:t>
      </w:r>
      <w:r>
        <w:rPr>
          <w:rFonts w:hint="eastAsia" w:eastAsia="仿宋_GB2312"/>
          <w:sz w:val="30"/>
          <w:szCs w:val="30"/>
        </w:rPr>
        <w:t>。</w:t>
      </w:r>
      <w:r>
        <w:rPr>
          <w:rFonts w:hint="eastAsia" w:ascii="仿宋_GB2312" w:eastAsia="仿宋_GB2312" w:cs="仿宋_GB2312"/>
          <w:sz w:val="30"/>
          <w:szCs w:val="30"/>
        </w:rPr>
        <w:t>其中：一般公共预算财政拨款收入67977008.59元，占98.66%；其他收入923132.25元，占1.34%。</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天津市津南区疾病预防控制中</w:t>
      </w:r>
      <w:r>
        <w:rPr>
          <w:rFonts w:hint="eastAsia" w:ascii="仿宋_GB2312" w:hAnsi="仿宋_GB2312" w:eastAsia="仿宋_GB2312" w:cs="仿宋_GB2312"/>
          <w:sz w:val="30"/>
          <w:szCs w:val="30"/>
        </w:rPr>
        <w:t>心2022年度本年支出合计69163279.17元，与2021年度相比增加24976672.86元</w:t>
      </w:r>
      <w:r>
        <w:rPr>
          <w:rFonts w:hint="eastAsia" w:ascii="仿宋_GB2312" w:eastAsia="仿宋_GB2312" w:cs="仿宋_GB2312"/>
          <w:sz w:val="30"/>
          <w:szCs w:val="30"/>
        </w:rPr>
        <w:t>，主要原因是</w:t>
      </w:r>
      <w:r>
        <w:rPr>
          <w:rFonts w:hint="eastAsia" w:ascii="仿宋_GB2312" w:hAnsi="仿宋" w:eastAsia="仿宋_GB2312"/>
          <w:sz w:val="32"/>
          <w:szCs w:val="32"/>
          <w:u w:val="none"/>
          <w:lang w:eastAsia="zh-CN"/>
        </w:rPr>
        <w:t>突发新冠疫情，财政加大防控投入</w:t>
      </w:r>
      <w:r>
        <w:rPr>
          <w:rFonts w:hint="eastAsia" w:eastAsia="仿宋_GB2312"/>
          <w:sz w:val="30"/>
          <w:szCs w:val="30"/>
        </w:rPr>
        <w:t>。</w:t>
      </w:r>
      <w:r>
        <w:rPr>
          <w:rFonts w:hint="eastAsia" w:ascii="仿宋_GB2312" w:eastAsia="仿宋_GB2312" w:cs="仿宋_GB2312"/>
          <w:sz w:val="30"/>
          <w:szCs w:val="30"/>
        </w:rPr>
        <w:t>其中：基本支出23050939.45元，占33.33%；项目支出46112339.72元，占66.67%。</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u w:val="none"/>
        </w:rPr>
      </w:pPr>
      <w:r>
        <w:rPr>
          <w:rFonts w:hint="eastAsia" w:eastAsia="仿宋_GB2312"/>
          <w:sz w:val="30"/>
          <w:szCs w:val="30"/>
        </w:rPr>
        <w:t xml:space="preserve">    </w:t>
      </w:r>
      <w:r>
        <w:rPr>
          <w:rFonts w:hint="eastAsia" w:ascii="仿宋_GB2312" w:eastAsia="仿宋_GB2312" w:cs="仿宋_GB2312"/>
          <w:sz w:val="30"/>
          <w:szCs w:val="30"/>
        </w:rPr>
        <w:t>天津市津南区疾病预防控制</w:t>
      </w:r>
      <w:r>
        <w:rPr>
          <w:rFonts w:hint="eastAsia" w:ascii="仿宋_GB2312" w:hAnsi="仿宋_GB2312" w:eastAsia="仿宋_GB2312" w:cs="仿宋_GB2312"/>
          <w:sz w:val="30"/>
          <w:szCs w:val="30"/>
        </w:rPr>
        <w:t>中心2022年度财政拨款收入、支出决算总计68403212.87元。与2021年度相比，财政拨</w:t>
      </w:r>
      <w:r>
        <w:rPr>
          <w:rFonts w:hint="eastAsia" w:ascii="仿宋_GB2312" w:eastAsia="仿宋_GB2312" w:cs="仿宋_GB2312"/>
          <w:sz w:val="30"/>
          <w:szCs w:val="30"/>
        </w:rPr>
        <w:t>款收、支总计各增加24015434.11元，增长54.10%，主要原因是</w:t>
      </w:r>
      <w:r>
        <w:rPr>
          <w:rFonts w:hint="eastAsia" w:ascii="仿宋_GB2312" w:hAnsi="仿宋" w:eastAsia="仿宋_GB2312"/>
          <w:sz w:val="32"/>
          <w:szCs w:val="32"/>
          <w:u w:val="none"/>
          <w:lang w:eastAsia="zh-CN"/>
        </w:rPr>
        <w:t>突发新冠疫情，财政加大防控投入</w:t>
      </w:r>
      <w:r>
        <w:rPr>
          <w:rFonts w:hint="eastAsia" w:eastAsia="仿宋_GB2312"/>
          <w:sz w:val="30"/>
          <w:szCs w:val="30"/>
          <w:u w:val="none"/>
        </w:rPr>
        <w:t>。</w:t>
      </w:r>
    </w:p>
    <w:p>
      <w:pPr>
        <w:pStyle w:val="3"/>
        <w:spacing w:before="0" w:after="0" w:line="600" w:lineRule="exact"/>
        <w:ind w:firstLine="600" w:firstLineChars="200"/>
        <w:rPr>
          <w:rFonts w:ascii="黑体" w:hAnsi="黑体" w:eastAsia="黑体"/>
          <w:b w:val="0"/>
          <w:sz w:val="30"/>
          <w:szCs w:val="30"/>
          <w:u w:val="none"/>
        </w:rPr>
      </w:pPr>
      <w:bookmarkStart w:id="21" w:name="_Toc10091"/>
      <w:r>
        <w:rPr>
          <w:rFonts w:ascii="黑体" w:hAnsi="黑体" w:eastAsia="黑体"/>
          <w:b w:val="0"/>
          <w:sz w:val="30"/>
          <w:szCs w:val="30"/>
          <w:u w:val="none"/>
        </w:rPr>
        <w:t>五</w:t>
      </w:r>
      <w:r>
        <w:rPr>
          <w:rFonts w:hint="eastAsia" w:ascii="黑体" w:hAnsi="黑体" w:eastAsia="黑体"/>
          <w:b w:val="0"/>
          <w:sz w:val="30"/>
          <w:szCs w:val="30"/>
          <w:u w:val="none"/>
        </w:rPr>
        <w:t>、</w:t>
      </w:r>
      <w:r>
        <w:rPr>
          <w:rFonts w:ascii="黑体" w:hAnsi="黑体" w:eastAsia="黑体"/>
          <w:b w:val="0"/>
          <w:sz w:val="30"/>
          <w:szCs w:val="30"/>
          <w:u w:val="none"/>
        </w:rPr>
        <w:t>一般公共预算财政拨款支出决算情况</w:t>
      </w:r>
      <w:r>
        <w:rPr>
          <w:rFonts w:hint="eastAsia" w:ascii="黑体" w:hAnsi="黑体" w:eastAsia="黑体"/>
          <w:b w:val="0"/>
          <w:sz w:val="30"/>
          <w:szCs w:val="30"/>
          <w:u w:val="none"/>
        </w:rPr>
        <w:t>说明</w:t>
      </w:r>
      <w:bookmarkEnd w:id="21"/>
    </w:p>
    <w:p>
      <w:pPr>
        <w:spacing w:line="600" w:lineRule="exact"/>
        <w:ind w:left="480" w:leftChars="200"/>
        <w:rPr>
          <w:rFonts w:ascii="楷体" w:hAnsi="楷体" w:eastAsia="楷体" w:cs="仿宋_GB2312"/>
          <w:b/>
          <w:sz w:val="30"/>
          <w:szCs w:val="30"/>
          <w:u w:val="none"/>
        </w:rPr>
      </w:pPr>
      <w:r>
        <w:rPr>
          <w:rFonts w:hint="eastAsia" w:ascii="楷体" w:hAnsi="楷体" w:eastAsia="楷体" w:cs="仿宋_GB2312"/>
          <w:b/>
          <w:sz w:val="30"/>
          <w:szCs w:val="30"/>
          <w:u w:val="none"/>
        </w:rPr>
        <w:t>（一）总体情况</w:t>
      </w:r>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u w:val="none"/>
        </w:rPr>
        <w:t>天津</w:t>
      </w:r>
      <w:r>
        <w:rPr>
          <w:rFonts w:hint="eastAsia" w:ascii="仿宋_GB2312" w:hAnsi="仿宋_GB2312" w:eastAsia="仿宋_GB2312" w:cs="仿宋_GB2312"/>
          <w:sz w:val="30"/>
          <w:szCs w:val="30"/>
          <w:u w:val="none"/>
        </w:rPr>
        <w:t>市津南区疾病</w:t>
      </w:r>
      <w:r>
        <w:rPr>
          <w:rFonts w:hint="eastAsia" w:ascii="仿宋_GB2312" w:eastAsia="仿宋_GB2312" w:cs="仿宋_GB2312"/>
          <w:sz w:val="30"/>
          <w:szCs w:val="30"/>
          <w:u w:val="none"/>
        </w:rPr>
        <w:t>预防控制</w:t>
      </w:r>
      <w:r>
        <w:rPr>
          <w:rFonts w:hint="eastAsia" w:ascii="仿宋_GB2312" w:hAnsi="仿宋_GB2312" w:eastAsia="仿宋_GB2312" w:cs="仿宋_GB2312"/>
          <w:sz w:val="30"/>
          <w:szCs w:val="30"/>
          <w:u w:val="none"/>
        </w:rPr>
        <w:t>中心2022年度一般公共预算财政拨款支出合计68403212.87元，占本年支出合计</w:t>
      </w:r>
      <w:r>
        <w:rPr>
          <w:rFonts w:hint="eastAsia" w:ascii="仿宋_GB2312" w:eastAsia="仿宋_GB2312" w:cs="仿宋_GB2312"/>
          <w:sz w:val="30"/>
          <w:szCs w:val="30"/>
          <w:u w:val="none"/>
        </w:rPr>
        <w:t>的9</w:t>
      </w:r>
      <w:r>
        <w:rPr>
          <w:rFonts w:hint="default" w:ascii="仿宋_GB2312" w:eastAsia="仿宋_GB2312" w:cs="仿宋_GB2312"/>
          <w:sz w:val="30"/>
          <w:szCs w:val="30"/>
          <w:u w:val="none"/>
          <w:lang w:val="en"/>
        </w:rPr>
        <w:t>8.90</w:t>
      </w:r>
      <w:r>
        <w:rPr>
          <w:rFonts w:hint="eastAsia" w:ascii="仿宋_GB2312" w:eastAsia="仿宋_GB2312" w:cs="仿宋_GB2312"/>
          <w:sz w:val="30"/>
          <w:szCs w:val="30"/>
          <w:u w:val="none"/>
        </w:rPr>
        <w:t>%。与2021年度相比，一般公共预算财政拨款支出增加26689580.19元，增长63.98%，主要原因是</w:t>
      </w:r>
      <w:r>
        <w:rPr>
          <w:rFonts w:hint="eastAsia" w:ascii="仿宋_GB2312" w:hAnsi="仿宋" w:eastAsia="仿宋_GB2312"/>
          <w:sz w:val="32"/>
          <w:szCs w:val="32"/>
          <w:u w:val="none"/>
          <w:lang w:eastAsia="zh-CN"/>
        </w:rPr>
        <w:t>突发新冠疫情，财政加大防控投入</w:t>
      </w:r>
      <w:r>
        <w:rPr>
          <w:rFonts w:hint="eastAsia" w:eastAsia="仿宋_GB2312"/>
          <w:sz w:val="30"/>
          <w:szCs w:val="30"/>
          <w:u w:val="none"/>
        </w:rPr>
        <w:t>。</w:t>
      </w:r>
    </w:p>
    <w:p>
      <w:pPr>
        <w:spacing w:line="600" w:lineRule="exact"/>
        <w:ind w:firstLine="602" w:firstLineChars="200"/>
        <w:rPr>
          <w:rFonts w:ascii="楷体" w:hAnsi="楷体" w:eastAsia="楷体" w:cs="仿宋_GB2312"/>
          <w:b/>
          <w:sz w:val="30"/>
          <w:szCs w:val="30"/>
          <w:u w:val="none"/>
        </w:rPr>
      </w:pPr>
      <w:r>
        <w:rPr>
          <w:rFonts w:hint="eastAsia" w:ascii="楷体" w:hAnsi="楷体" w:eastAsia="楷体" w:cs="仿宋_GB2312"/>
          <w:b/>
          <w:sz w:val="30"/>
          <w:szCs w:val="30"/>
          <w:u w:val="none"/>
        </w:rPr>
        <w:t>（二）支出结构情况</w:t>
      </w:r>
    </w:p>
    <w:p>
      <w:pPr>
        <w:spacing w:line="600" w:lineRule="exact"/>
        <w:ind w:firstLine="645"/>
        <w:jc w:val="both"/>
        <w:rPr>
          <w:rFonts w:ascii="仿宋_GB2312" w:eastAsia="仿宋_GB2312" w:cs="仿宋_GB2312"/>
          <w:sz w:val="30"/>
          <w:szCs w:val="30"/>
          <w:u w:val="none"/>
        </w:rPr>
      </w:pPr>
      <w:r>
        <w:rPr>
          <w:rFonts w:hint="eastAsia" w:ascii="仿宋_GB2312" w:hAnsi="仿宋_GB2312" w:eastAsia="仿宋_GB2312" w:cs="仿宋_GB2312"/>
          <w:sz w:val="30"/>
          <w:szCs w:val="30"/>
          <w:u w:val="none"/>
        </w:rPr>
        <w:t>2022年度一般公共预算财政拨款支出68403212.87元，主要用于以下方面：</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社会保障和就业支出（类）支出2115319.37元，占3.09%；</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卫生健康支出（类）支出64913618.50元，占94.90%；</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住房保障支出（类）支出1374275.00元，占2.01%。</w:t>
      </w:r>
    </w:p>
    <w:p>
      <w:pPr>
        <w:numPr>
          <w:ilvl w:val="0"/>
          <w:numId w:val="2"/>
        </w:numPr>
        <w:spacing w:line="600" w:lineRule="exact"/>
        <w:ind w:firstLine="602" w:firstLineChars="200"/>
        <w:rPr>
          <w:rFonts w:ascii="楷体" w:hAnsi="楷体" w:eastAsia="楷体" w:cs="仿宋_GB2312"/>
          <w:b/>
          <w:sz w:val="30"/>
          <w:szCs w:val="30"/>
          <w:u w:val="none"/>
        </w:rPr>
      </w:pPr>
      <w:r>
        <w:rPr>
          <w:rFonts w:ascii="楷体" w:hAnsi="楷体" w:eastAsia="楷体" w:cs="仿宋_GB2312"/>
          <w:b/>
          <w:sz w:val="30"/>
          <w:szCs w:val="30"/>
          <w:u w:val="none"/>
        </w:rPr>
        <w:t>具体情况</w:t>
      </w:r>
    </w:p>
    <w:p>
      <w:pPr>
        <w:spacing w:line="600" w:lineRule="exact"/>
        <w:ind w:firstLine="600" w:firstLineChars="200"/>
        <w:rPr>
          <w:rFonts w:ascii="仿宋_GB2312" w:eastAsia="仿宋_GB2312" w:cs="仿宋_GB2312"/>
          <w:i w:val="0"/>
          <w:iCs w:val="0"/>
          <w:strike w:val="0"/>
          <w:dstrike w:val="0"/>
          <w:sz w:val="30"/>
          <w:szCs w:val="30"/>
          <w:u w:val="none"/>
        </w:rPr>
      </w:pPr>
      <w:r>
        <w:rPr>
          <w:rFonts w:hint="eastAsia" w:ascii="仿宋_GB2312" w:hAnsi="仿宋_GB2312" w:eastAsia="仿宋_GB2312" w:cs="仿宋_GB2312"/>
          <w:sz w:val="30"/>
          <w:szCs w:val="30"/>
          <w:u w:val="none"/>
        </w:rPr>
        <w:t>2022年度一般公共预算财政拨款支出年初预算为</w:t>
      </w:r>
      <w:r>
        <w:rPr>
          <w:rFonts w:hint="eastAsia" w:ascii="仿宋_GB2312" w:hAnsi="仿宋_GB2312" w:eastAsia="仿宋_GB2312" w:cs="仿宋_GB2312"/>
          <w:sz w:val="30"/>
          <w:szCs w:val="30"/>
          <w:u w:val="none"/>
          <w:lang w:val="en-US" w:eastAsia="zh-CN"/>
        </w:rPr>
        <w:t>30762524.06</w:t>
      </w:r>
      <w:r>
        <w:rPr>
          <w:rFonts w:hint="eastAsia" w:ascii="仿宋_GB2312" w:hAnsi="仿宋_GB2312" w:eastAsia="仿宋_GB2312" w:cs="仿宋_GB2312"/>
          <w:sz w:val="30"/>
          <w:szCs w:val="30"/>
          <w:u w:val="none"/>
        </w:rPr>
        <w:t>元，支出决算为68403212.87元，完成年初预算的</w:t>
      </w:r>
      <w:r>
        <w:rPr>
          <w:rFonts w:hint="eastAsia" w:ascii="仿宋_GB2312" w:hAnsi="仿宋_GB2312" w:eastAsia="仿宋_GB2312" w:cs="仿宋_GB2312"/>
          <w:sz w:val="30"/>
          <w:szCs w:val="30"/>
          <w:u w:val="none"/>
          <w:lang w:val="en-US" w:eastAsia="zh-CN"/>
        </w:rPr>
        <w:t>222.36</w:t>
      </w:r>
      <w:r>
        <w:rPr>
          <w:rFonts w:hint="eastAsia" w:ascii="仿宋_GB2312" w:hAnsi="仿宋_GB2312" w:eastAsia="仿宋_GB2312" w:cs="仿宋_GB2312"/>
          <w:sz w:val="30"/>
          <w:szCs w:val="30"/>
          <w:u w:val="none"/>
        </w:rPr>
        <w:t>%。其中：</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社会保障和就业支出（类）行政事业单位养老支出（款）机关事业单位基本养老保险缴费支出（项）年初预算为</w:t>
      </w:r>
      <w:r>
        <w:rPr>
          <w:rFonts w:hint="eastAsia" w:ascii="仿宋_GB2312" w:eastAsia="仿宋_GB2312" w:cs="仿宋_GB2312"/>
          <w:sz w:val="30"/>
          <w:szCs w:val="30"/>
          <w:u w:val="none"/>
          <w:lang w:val="en-US" w:eastAsia="zh-CN"/>
        </w:rPr>
        <w:t>1403199.36</w:t>
      </w:r>
      <w:r>
        <w:rPr>
          <w:rFonts w:hint="eastAsia" w:ascii="仿宋_GB2312" w:eastAsia="仿宋_GB2312" w:cs="仿宋_GB2312"/>
          <w:sz w:val="30"/>
          <w:szCs w:val="30"/>
          <w:u w:val="none"/>
        </w:rPr>
        <w:t>元，支出决算为1410701.93元，完成年初预算数的</w:t>
      </w:r>
      <w:r>
        <w:rPr>
          <w:rFonts w:hint="eastAsia" w:ascii="仿宋_GB2312" w:eastAsia="仿宋_GB2312" w:cs="仿宋_GB2312"/>
          <w:sz w:val="30"/>
          <w:szCs w:val="30"/>
          <w:u w:val="none"/>
          <w:lang w:val="en-US" w:eastAsia="zh-CN"/>
        </w:rPr>
        <w:t>100.53</w:t>
      </w:r>
      <w:r>
        <w:rPr>
          <w:rFonts w:hint="eastAsia" w:ascii="仿宋_GB2312" w:eastAsia="仿宋_GB2312" w:cs="仿宋_GB2312"/>
          <w:sz w:val="30"/>
          <w:szCs w:val="30"/>
          <w:u w:val="none"/>
        </w:rPr>
        <w:t>%，决算数大于年初预算数的主要原因是</w:t>
      </w:r>
      <w:r>
        <w:rPr>
          <w:rFonts w:hint="eastAsia" w:ascii="仿宋_GB2312" w:eastAsia="仿宋_GB2312" w:cs="仿宋_GB2312"/>
          <w:sz w:val="30"/>
          <w:szCs w:val="30"/>
          <w:u w:val="none"/>
          <w:lang w:eastAsia="zh-CN"/>
        </w:rPr>
        <w:t>基本养老保险缴费基数调增</w:t>
      </w:r>
      <w:r>
        <w:rPr>
          <w:rFonts w:hint="eastAsia" w:ascii="仿宋_GB2312" w:eastAsia="仿宋_GB2312" w:cs="仿宋_GB2312"/>
          <w:sz w:val="30"/>
          <w:szCs w:val="30"/>
          <w:u w:val="none"/>
        </w:rPr>
        <w:t>。</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社会保障和就业支出（类）行政事业单位养老支出（款</w:t>
      </w:r>
      <w:r>
        <w:rPr>
          <w:rFonts w:hint="eastAsia" w:ascii="仿宋_GB2312" w:eastAsia="仿宋_GB2312" w:cs="仿宋_GB2312"/>
          <w:sz w:val="30"/>
          <w:szCs w:val="30"/>
        </w:rPr>
        <w:t>）机</w:t>
      </w:r>
      <w:r>
        <w:rPr>
          <w:rFonts w:hint="eastAsia" w:ascii="仿宋_GB2312" w:eastAsia="仿宋_GB2312" w:cs="仿宋_GB2312"/>
          <w:i w:val="0"/>
          <w:iCs w:val="0"/>
          <w:strike w:val="0"/>
          <w:dstrike w:val="0"/>
          <w:sz w:val="30"/>
          <w:szCs w:val="30"/>
          <w:u w:val="none"/>
        </w:rPr>
        <w:t>关事业单位职业年金缴费支出（项）年初预算为</w:t>
      </w:r>
      <w:r>
        <w:rPr>
          <w:rFonts w:hint="eastAsia" w:ascii="仿宋_GB2312" w:eastAsia="仿宋_GB2312" w:cs="仿宋_GB2312"/>
          <w:i w:val="0"/>
          <w:iCs w:val="0"/>
          <w:strike w:val="0"/>
          <w:dstrike w:val="0"/>
          <w:sz w:val="30"/>
          <w:szCs w:val="30"/>
          <w:u w:val="none"/>
          <w:lang w:val="en-US" w:eastAsia="zh-CN"/>
        </w:rPr>
        <w:t>701599.68</w:t>
      </w:r>
      <w:r>
        <w:rPr>
          <w:rFonts w:hint="eastAsia" w:ascii="仿宋_GB2312" w:eastAsia="仿宋_GB2312" w:cs="仿宋_GB2312"/>
          <w:i w:val="0"/>
          <w:iCs w:val="0"/>
          <w:strike w:val="0"/>
          <w:dstrike w:val="0"/>
          <w:sz w:val="30"/>
          <w:szCs w:val="30"/>
          <w:u w:val="none"/>
        </w:rPr>
        <w:t>元，支出决算为704617.44元，完成年初预算数的</w:t>
      </w:r>
      <w:r>
        <w:rPr>
          <w:rFonts w:hint="eastAsia" w:ascii="仿宋_GB2312" w:eastAsia="仿宋_GB2312" w:cs="仿宋_GB2312"/>
          <w:i w:val="0"/>
          <w:iCs w:val="0"/>
          <w:strike w:val="0"/>
          <w:dstrike w:val="0"/>
          <w:sz w:val="30"/>
          <w:szCs w:val="30"/>
          <w:u w:val="none"/>
          <w:lang w:val="en-US" w:eastAsia="zh-CN"/>
        </w:rPr>
        <w:t>100.43</w:t>
      </w:r>
      <w:r>
        <w:rPr>
          <w:rFonts w:hint="eastAsia" w:ascii="仿宋_GB2312" w:eastAsia="仿宋_GB2312" w:cs="仿宋_GB2312"/>
          <w:i w:val="0"/>
          <w:iCs w:val="0"/>
          <w:strike w:val="0"/>
          <w:dstrike w:val="0"/>
          <w:sz w:val="30"/>
          <w:szCs w:val="30"/>
          <w:u w:val="none"/>
        </w:rPr>
        <w:t>%，决算数大于年初预算数的主要原因是</w:t>
      </w:r>
      <w:r>
        <w:rPr>
          <w:rFonts w:hint="eastAsia" w:ascii="仿宋_GB2312" w:eastAsia="仿宋_GB2312" w:cs="仿宋_GB2312"/>
          <w:i w:val="0"/>
          <w:iCs w:val="0"/>
          <w:strike w:val="0"/>
          <w:dstrike w:val="0"/>
          <w:sz w:val="30"/>
          <w:szCs w:val="30"/>
          <w:u w:val="none"/>
          <w:lang w:eastAsia="zh-CN"/>
        </w:rPr>
        <w:t>职业年金缴费基数调增</w:t>
      </w:r>
      <w:r>
        <w:rPr>
          <w:rFonts w:hint="eastAsia" w:ascii="仿宋_GB2312" w:eastAsia="仿宋_GB2312" w:cs="仿宋_GB2312"/>
          <w:i w:val="0"/>
          <w:iCs w:val="0"/>
          <w:strike w:val="0"/>
          <w:dstrike w:val="0"/>
          <w:sz w:val="30"/>
          <w:szCs w:val="30"/>
          <w:u w:val="none"/>
        </w:rPr>
        <w:t>。</w:t>
      </w:r>
      <w:r>
        <w:rPr>
          <w:rFonts w:hint="eastAsia" w:ascii="仿宋_GB2312" w:eastAsia="仿宋_GB2312" w:cs="仿宋_GB2312"/>
          <w:i w:val="0"/>
          <w:iCs w:val="0"/>
          <w:strike w:val="0"/>
          <w:dstrike w:val="0"/>
          <w:sz w:val="30"/>
          <w:szCs w:val="30"/>
          <w:u w:val="none"/>
        </w:rPr>
        <w:br w:type="textWrapping"/>
      </w:r>
      <w:r>
        <w:rPr>
          <w:rFonts w:hint="eastAsia" w:ascii="仿宋_GB2312" w:eastAsia="仿宋_GB2312" w:cs="仿宋_GB2312"/>
          <w:i w:val="0"/>
          <w:iCs w:val="0"/>
          <w:strike w:val="0"/>
          <w:dstrike w:val="0"/>
          <w:sz w:val="30"/>
          <w:szCs w:val="30"/>
          <w:u w:val="none"/>
        </w:rPr>
        <w:t xml:space="preserve">    卫生健康支出（类）公共卫生（款）疾病预防控制机构（项）年初预算为</w:t>
      </w:r>
      <w:r>
        <w:rPr>
          <w:rFonts w:hint="eastAsia" w:ascii="仿宋_GB2312" w:eastAsia="仿宋_GB2312" w:cs="仿宋_GB2312"/>
          <w:i w:val="0"/>
          <w:iCs w:val="0"/>
          <w:strike w:val="0"/>
          <w:dstrike w:val="0"/>
          <w:sz w:val="30"/>
          <w:szCs w:val="30"/>
          <w:u w:val="none"/>
          <w:lang w:val="en-US" w:eastAsia="zh-CN"/>
        </w:rPr>
        <w:t>24006274.88</w:t>
      </w:r>
      <w:r>
        <w:rPr>
          <w:rFonts w:hint="eastAsia" w:ascii="仿宋_GB2312" w:eastAsia="仿宋_GB2312" w:cs="仿宋_GB2312"/>
          <w:i w:val="0"/>
          <w:iCs w:val="0"/>
          <w:strike w:val="0"/>
          <w:dstrike w:val="0"/>
          <w:sz w:val="30"/>
          <w:szCs w:val="30"/>
          <w:u w:val="none"/>
        </w:rPr>
        <w:t>元，支出决算为31657116.19元，完成年初预算数的</w:t>
      </w:r>
      <w:r>
        <w:rPr>
          <w:rFonts w:hint="eastAsia" w:ascii="仿宋_GB2312" w:eastAsia="仿宋_GB2312" w:cs="仿宋_GB2312"/>
          <w:i w:val="0"/>
          <w:iCs w:val="0"/>
          <w:strike w:val="0"/>
          <w:dstrike w:val="0"/>
          <w:sz w:val="30"/>
          <w:szCs w:val="30"/>
          <w:u w:val="none"/>
          <w:lang w:val="en-US" w:eastAsia="zh-CN"/>
        </w:rPr>
        <w:t>131.87</w:t>
      </w:r>
      <w:r>
        <w:rPr>
          <w:rFonts w:hint="eastAsia" w:ascii="仿宋_GB2312" w:eastAsia="仿宋_GB2312" w:cs="仿宋_GB2312"/>
          <w:i w:val="0"/>
          <w:iCs w:val="0"/>
          <w:strike w:val="0"/>
          <w:dstrike w:val="0"/>
          <w:sz w:val="30"/>
          <w:szCs w:val="30"/>
          <w:u w:val="none"/>
        </w:rPr>
        <w:t>%，决算数大于年初预算数的主要原因是疾病预防控制中心综合实验楼建设工程</w:t>
      </w:r>
      <w:r>
        <w:rPr>
          <w:rFonts w:hint="eastAsia" w:ascii="仿宋_GB2312" w:eastAsia="仿宋_GB2312" w:cs="仿宋_GB2312"/>
          <w:i w:val="0"/>
          <w:iCs w:val="0"/>
          <w:strike w:val="0"/>
          <w:dstrike w:val="0"/>
          <w:sz w:val="30"/>
          <w:szCs w:val="30"/>
          <w:u w:val="none"/>
          <w:lang w:eastAsia="zh-CN"/>
        </w:rPr>
        <w:t>款增加</w:t>
      </w:r>
      <w:r>
        <w:rPr>
          <w:rFonts w:hint="eastAsia" w:ascii="仿宋_GB2312" w:eastAsia="仿宋_GB2312" w:cs="仿宋_GB2312"/>
          <w:i w:val="0"/>
          <w:iCs w:val="0"/>
          <w:strike w:val="0"/>
          <w:dstrike w:val="0"/>
          <w:sz w:val="30"/>
          <w:szCs w:val="30"/>
          <w:u w:val="none"/>
        </w:rPr>
        <w:t>。</w:t>
      </w:r>
      <w:r>
        <w:rPr>
          <w:rFonts w:hint="eastAsia" w:ascii="仿宋_GB2312" w:eastAsia="仿宋_GB2312" w:cs="仿宋_GB2312"/>
          <w:i w:val="0"/>
          <w:iCs w:val="0"/>
          <w:strike w:val="0"/>
          <w:dstrike w:val="0"/>
          <w:sz w:val="30"/>
          <w:szCs w:val="30"/>
          <w:u w:val="none"/>
        </w:rPr>
        <w:br w:type="textWrapping"/>
      </w:r>
      <w:r>
        <w:rPr>
          <w:rFonts w:hint="eastAsia" w:ascii="仿宋_GB2312" w:eastAsia="仿宋_GB2312" w:cs="仿宋_GB2312"/>
          <w:i w:val="0"/>
          <w:iCs w:val="0"/>
          <w:strike w:val="0"/>
          <w:dstrike w:val="0"/>
          <w:sz w:val="30"/>
          <w:szCs w:val="30"/>
          <w:u w:val="none"/>
        </w:rPr>
        <w:t xml:space="preserve">    卫生健康支出（类）公共卫生（款）基本公共卫生服务（项）年初预算为</w:t>
      </w:r>
      <w:r>
        <w:rPr>
          <w:rFonts w:hint="eastAsia" w:ascii="仿宋_GB2312" w:eastAsia="仿宋_GB2312" w:cs="仿宋_GB2312"/>
          <w:i w:val="0"/>
          <w:iCs w:val="0"/>
          <w:strike w:val="0"/>
          <w:dstrike w:val="0"/>
          <w:sz w:val="30"/>
          <w:szCs w:val="30"/>
          <w:u w:val="none"/>
          <w:lang w:val="en-US" w:eastAsia="zh-CN"/>
        </w:rPr>
        <w:t>212293.54</w:t>
      </w:r>
      <w:r>
        <w:rPr>
          <w:rFonts w:hint="eastAsia" w:ascii="仿宋_GB2312" w:eastAsia="仿宋_GB2312" w:cs="仿宋_GB2312"/>
          <w:i w:val="0"/>
          <w:iCs w:val="0"/>
          <w:strike w:val="0"/>
          <w:dstrike w:val="0"/>
          <w:sz w:val="30"/>
          <w:szCs w:val="30"/>
          <w:u w:val="none"/>
        </w:rPr>
        <w:t>元，支出决算为783482.97元，完成年初预算数的</w:t>
      </w:r>
      <w:r>
        <w:rPr>
          <w:rFonts w:hint="eastAsia" w:ascii="仿宋_GB2312" w:eastAsia="仿宋_GB2312" w:cs="仿宋_GB2312"/>
          <w:i w:val="0"/>
          <w:iCs w:val="0"/>
          <w:strike w:val="0"/>
          <w:dstrike w:val="0"/>
          <w:sz w:val="30"/>
          <w:szCs w:val="30"/>
          <w:u w:val="none"/>
          <w:lang w:val="en-US" w:eastAsia="zh-CN"/>
        </w:rPr>
        <w:t>369.06</w:t>
      </w:r>
      <w:r>
        <w:rPr>
          <w:rFonts w:hint="eastAsia" w:ascii="仿宋_GB2312" w:eastAsia="仿宋_GB2312" w:cs="仿宋_GB2312"/>
          <w:i w:val="0"/>
          <w:iCs w:val="0"/>
          <w:strike w:val="0"/>
          <w:dstrike w:val="0"/>
          <w:sz w:val="30"/>
          <w:szCs w:val="30"/>
          <w:u w:val="none"/>
        </w:rPr>
        <w:t>%，决算数大于年初预算数的主要原因是</w:t>
      </w:r>
      <w:r>
        <w:rPr>
          <w:rFonts w:hint="eastAsia" w:ascii="仿宋_GB2312" w:eastAsia="仿宋_GB2312" w:cs="仿宋_GB2312"/>
          <w:i w:val="0"/>
          <w:iCs w:val="0"/>
          <w:strike w:val="0"/>
          <w:dstrike w:val="0"/>
          <w:sz w:val="30"/>
          <w:szCs w:val="30"/>
          <w:u w:val="none"/>
          <w:lang w:eastAsia="zh-CN"/>
        </w:rPr>
        <w:t>基本公共卫生服务（中央直达）资金追加</w:t>
      </w:r>
      <w:r>
        <w:rPr>
          <w:rFonts w:hint="eastAsia" w:ascii="仿宋_GB2312" w:eastAsia="仿宋_GB2312" w:cs="仿宋_GB2312"/>
          <w:i w:val="0"/>
          <w:iCs w:val="0"/>
          <w:strike w:val="0"/>
          <w:dstrike w:val="0"/>
          <w:sz w:val="30"/>
          <w:szCs w:val="30"/>
          <w:u w:val="none"/>
        </w:rPr>
        <w:t>。</w:t>
      </w:r>
      <w:r>
        <w:rPr>
          <w:rFonts w:hint="eastAsia" w:ascii="仿宋_GB2312" w:eastAsia="仿宋_GB2312" w:cs="仿宋_GB2312"/>
          <w:i w:val="0"/>
          <w:iCs w:val="0"/>
          <w:strike w:val="0"/>
          <w:dstrike w:val="0"/>
          <w:sz w:val="30"/>
          <w:szCs w:val="30"/>
          <w:u w:val="none"/>
        </w:rPr>
        <w:br w:type="textWrapping"/>
      </w:r>
      <w:r>
        <w:rPr>
          <w:rFonts w:hint="eastAsia" w:ascii="仿宋_GB2312" w:eastAsia="仿宋_GB2312" w:cs="仿宋_GB2312"/>
          <w:i w:val="0"/>
          <w:iCs w:val="0"/>
          <w:strike w:val="0"/>
          <w:dstrike w:val="0"/>
          <w:sz w:val="30"/>
          <w:szCs w:val="30"/>
          <w:u w:val="none"/>
        </w:rPr>
        <w:t xml:space="preserve">    卫生健康支出（类）公共卫生（款）重大公共卫生服务（项）年初预算为</w:t>
      </w:r>
      <w:r>
        <w:rPr>
          <w:rFonts w:hint="eastAsia" w:ascii="仿宋_GB2312" w:eastAsia="仿宋_GB2312" w:cs="仿宋_GB2312"/>
          <w:i w:val="0"/>
          <w:iCs w:val="0"/>
          <w:strike w:val="0"/>
          <w:dstrike w:val="0"/>
          <w:sz w:val="30"/>
          <w:szCs w:val="30"/>
          <w:u w:val="none"/>
          <w:lang w:val="en-US" w:eastAsia="zh-CN"/>
        </w:rPr>
        <w:t>1979069</w:t>
      </w:r>
      <w:r>
        <w:rPr>
          <w:rFonts w:hint="eastAsia" w:ascii="仿宋_GB2312" w:eastAsia="仿宋_GB2312" w:cs="仿宋_GB2312"/>
          <w:i w:val="0"/>
          <w:iCs w:val="0"/>
          <w:strike w:val="0"/>
          <w:dstrike w:val="0"/>
          <w:sz w:val="30"/>
          <w:szCs w:val="30"/>
          <w:u w:val="none"/>
        </w:rPr>
        <w:t>元，支出决算为550707.20元，完成年初预算数的</w:t>
      </w:r>
      <w:r>
        <w:rPr>
          <w:rFonts w:hint="eastAsia" w:ascii="仿宋_GB2312" w:eastAsia="仿宋_GB2312" w:cs="仿宋_GB2312"/>
          <w:i w:val="0"/>
          <w:iCs w:val="0"/>
          <w:strike w:val="0"/>
          <w:dstrike w:val="0"/>
          <w:sz w:val="30"/>
          <w:szCs w:val="30"/>
          <w:u w:val="none"/>
          <w:lang w:val="en-US" w:eastAsia="zh-CN"/>
        </w:rPr>
        <w:t>27.83</w:t>
      </w:r>
      <w:r>
        <w:rPr>
          <w:rFonts w:hint="eastAsia" w:ascii="仿宋_GB2312" w:eastAsia="仿宋_GB2312" w:cs="仿宋_GB2312"/>
          <w:i w:val="0"/>
          <w:iCs w:val="0"/>
          <w:strike w:val="0"/>
          <w:dstrike w:val="0"/>
          <w:sz w:val="30"/>
          <w:szCs w:val="30"/>
          <w:u w:val="none"/>
        </w:rPr>
        <w:t>%，决算数小于年初预算数的主要原因是_</w:t>
      </w:r>
      <w:r>
        <w:rPr>
          <w:rFonts w:hint="eastAsia" w:ascii="仿宋_GB2312" w:eastAsia="仿宋_GB2312" w:cs="仿宋_GB2312"/>
          <w:i w:val="0"/>
          <w:iCs w:val="0"/>
          <w:strike w:val="0"/>
          <w:dstrike w:val="0"/>
          <w:sz w:val="30"/>
          <w:szCs w:val="30"/>
          <w:u w:val="none"/>
          <w:lang w:eastAsia="zh-CN"/>
        </w:rPr>
        <w:t>财政资金不足未完成支付</w:t>
      </w:r>
      <w:r>
        <w:rPr>
          <w:rFonts w:hint="eastAsia" w:ascii="仿宋_GB2312" w:eastAsia="仿宋_GB2312" w:cs="仿宋_GB2312"/>
          <w:i w:val="0"/>
          <w:iCs w:val="0"/>
          <w:strike w:val="0"/>
          <w:dstrike w:val="0"/>
          <w:sz w:val="30"/>
          <w:szCs w:val="30"/>
          <w:u w:val="none"/>
        </w:rPr>
        <w:t>。</w:t>
      </w:r>
      <w:r>
        <w:rPr>
          <w:rFonts w:hint="eastAsia" w:ascii="仿宋_GB2312" w:eastAsia="仿宋_GB2312" w:cs="仿宋_GB2312"/>
          <w:i w:val="0"/>
          <w:iCs w:val="0"/>
          <w:strike w:val="0"/>
          <w:dstrike w:val="0"/>
          <w:sz w:val="30"/>
          <w:szCs w:val="30"/>
          <w:u w:val="none"/>
        </w:rPr>
        <w:br w:type="textWrapping"/>
      </w:r>
      <w:r>
        <w:rPr>
          <w:rFonts w:hint="eastAsia" w:ascii="仿宋_GB2312" w:eastAsia="仿宋_GB2312" w:cs="仿宋_GB2312"/>
          <w:i w:val="0"/>
          <w:iCs w:val="0"/>
          <w:strike w:val="0"/>
          <w:dstrike w:val="0"/>
          <w:sz w:val="30"/>
          <w:szCs w:val="30"/>
          <w:u w:val="none"/>
        </w:rPr>
        <w:t xml:space="preserve">    卫生健康支出（类）公共卫生（款）突发公共卫生事件应急处理（项）年初预算为</w:t>
      </w:r>
      <w:r>
        <w:rPr>
          <w:rFonts w:hint="eastAsia" w:ascii="仿宋_GB2312" w:eastAsia="仿宋_GB2312" w:cs="仿宋_GB2312"/>
          <w:i w:val="0"/>
          <w:iCs w:val="0"/>
          <w:strike w:val="0"/>
          <w:dstrike w:val="0"/>
          <w:sz w:val="30"/>
          <w:szCs w:val="30"/>
          <w:u w:val="none"/>
          <w:lang w:val="en-US" w:eastAsia="zh-CN"/>
        </w:rPr>
        <w:t>0</w:t>
      </w:r>
      <w:r>
        <w:rPr>
          <w:rFonts w:hint="eastAsia" w:ascii="仿宋_GB2312" w:eastAsia="仿宋_GB2312" w:cs="仿宋_GB2312"/>
          <w:i w:val="0"/>
          <w:iCs w:val="0"/>
          <w:strike w:val="0"/>
          <w:dstrike w:val="0"/>
          <w:sz w:val="30"/>
          <w:szCs w:val="30"/>
          <w:u w:val="none"/>
        </w:rPr>
        <w:t>元，支出决算为30881000.00元，决算数大于年初预算数的主要原因是</w:t>
      </w:r>
      <w:r>
        <w:rPr>
          <w:rFonts w:hint="eastAsia" w:ascii="仿宋_GB2312" w:hAnsi="仿宋" w:eastAsia="仿宋_GB2312"/>
          <w:i w:val="0"/>
          <w:iCs w:val="0"/>
          <w:strike w:val="0"/>
          <w:dstrike w:val="0"/>
          <w:sz w:val="32"/>
          <w:szCs w:val="32"/>
          <w:u w:val="none"/>
          <w:lang w:eastAsia="zh-CN"/>
        </w:rPr>
        <w:t>突发新冠疫情，财政加大防控投入</w:t>
      </w:r>
      <w:r>
        <w:rPr>
          <w:rFonts w:hint="eastAsia" w:eastAsia="仿宋_GB2312"/>
          <w:i w:val="0"/>
          <w:iCs w:val="0"/>
          <w:strike w:val="0"/>
          <w:dstrike w:val="0"/>
          <w:sz w:val="30"/>
          <w:szCs w:val="30"/>
          <w:u w:val="none"/>
        </w:rPr>
        <w:t>。</w:t>
      </w:r>
      <w:r>
        <w:rPr>
          <w:rFonts w:hint="eastAsia" w:ascii="仿宋_GB2312" w:eastAsia="仿宋_GB2312" w:cs="仿宋_GB2312"/>
          <w:i w:val="0"/>
          <w:iCs w:val="0"/>
          <w:strike w:val="0"/>
          <w:dstrike w:val="0"/>
          <w:sz w:val="30"/>
          <w:szCs w:val="30"/>
          <w:u w:val="none"/>
        </w:rPr>
        <w:br w:type="textWrapping"/>
      </w:r>
      <w:r>
        <w:rPr>
          <w:rFonts w:hint="eastAsia" w:ascii="仿宋_GB2312" w:eastAsia="仿宋_GB2312" w:cs="仿宋_GB2312"/>
          <w:i w:val="0"/>
          <w:iCs w:val="0"/>
          <w:strike w:val="0"/>
          <w:dstrike w:val="0"/>
          <w:sz w:val="30"/>
          <w:szCs w:val="30"/>
          <w:u w:val="none"/>
        </w:rPr>
        <w:t xml:space="preserve">    卫生健康支出（类）行政事业单位医疗（款）事业单位医疗（项）年初预算为</w:t>
      </w:r>
      <w:r>
        <w:rPr>
          <w:rFonts w:hint="eastAsia" w:ascii="仿宋_GB2312" w:eastAsia="仿宋_GB2312" w:cs="仿宋_GB2312"/>
          <w:i w:val="0"/>
          <w:iCs w:val="0"/>
          <w:strike w:val="0"/>
          <w:dstrike w:val="0"/>
          <w:sz w:val="30"/>
          <w:szCs w:val="30"/>
          <w:u w:val="none"/>
          <w:lang w:val="en-US" w:eastAsia="zh-CN"/>
        </w:rPr>
        <w:t>876999.6</w:t>
      </w:r>
      <w:r>
        <w:rPr>
          <w:rFonts w:hint="eastAsia" w:ascii="仿宋_GB2312" w:eastAsia="仿宋_GB2312" w:cs="仿宋_GB2312"/>
          <w:i w:val="0"/>
          <w:iCs w:val="0"/>
          <w:strike w:val="0"/>
          <w:dstrike w:val="0"/>
          <w:sz w:val="30"/>
          <w:szCs w:val="30"/>
          <w:u w:val="none"/>
        </w:rPr>
        <w:t>元，支出决算为881462.14元，完成年初预算数的</w:t>
      </w:r>
      <w:r>
        <w:rPr>
          <w:rFonts w:hint="eastAsia" w:ascii="仿宋_GB2312" w:eastAsia="仿宋_GB2312" w:cs="仿宋_GB2312"/>
          <w:i w:val="0"/>
          <w:iCs w:val="0"/>
          <w:strike w:val="0"/>
          <w:dstrike w:val="0"/>
          <w:sz w:val="30"/>
          <w:szCs w:val="30"/>
          <w:u w:val="none"/>
          <w:lang w:val="en-US" w:eastAsia="zh-CN"/>
        </w:rPr>
        <w:t>100.51</w:t>
      </w:r>
      <w:r>
        <w:rPr>
          <w:rFonts w:hint="eastAsia" w:ascii="仿宋_GB2312" w:eastAsia="仿宋_GB2312" w:cs="仿宋_GB2312"/>
          <w:i w:val="0"/>
          <w:iCs w:val="0"/>
          <w:strike w:val="0"/>
          <w:dstrike w:val="0"/>
          <w:sz w:val="30"/>
          <w:szCs w:val="30"/>
          <w:u w:val="none"/>
        </w:rPr>
        <w:t>%，决算数大于年初预算数的主要原因是</w:t>
      </w:r>
      <w:r>
        <w:rPr>
          <w:rFonts w:hint="eastAsia" w:ascii="仿宋_GB2312" w:eastAsia="仿宋_GB2312" w:cs="仿宋_GB2312"/>
          <w:i w:val="0"/>
          <w:iCs w:val="0"/>
          <w:strike w:val="0"/>
          <w:dstrike w:val="0"/>
          <w:sz w:val="30"/>
          <w:szCs w:val="30"/>
          <w:u w:val="none"/>
          <w:lang w:eastAsia="zh-CN"/>
        </w:rPr>
        <w:t>事业单位医疗缴费基数调增</w:t>
      </w:r>
      <w:r>
        <w:rPr>
          <w:rFonts w:hint="eastAsia" w:ascii="仿宋_GB2312" w:eastAsia="仿宋_GB2312" w:cs="仿宋_GB2312"/>
          <w:i w:val="0"/>
          <w:iCs w:val="0"/>
          <w:strike w:val="0"/>
          <w:dstrike w:val="0"/>
          <w:sz w:val="30"/>
          <w:szCs w:val="30"/>
          <w:u w:val="none"/>
        </w:rPr>
        <w:t>。</w:t>
      </w:r>
      <w:r>
        <w:rPr>
          <w:rFonts w:hint="eastAsia" w:ascii="仿宋_GB2312" w:eastAsia="仿宋_GB2312" w:cs="仿宋_GB2312"/>
          <w:i w:val="0"/>
          <w:iCs w:val="0"/>
          <w:strike w:val="0"/>
          <w:dstrike w:val="0"/>
          <w:sz w:val="30"/>
          <w:szCs w:val="30"/>
          <w:u w:val="none"/>
        </w:rPr>
        <w:br w:type="textWrapping"/>
      </w:r>
      <w:r>
        <w:rPr>
          <w:rFonts w:hint="eastAsia" w:ascii="仿宋_GB2312" w:eastAsia="仿宋_GB2312" w:cs="仿宋_GB2312"/>
          <w:i w:val="0"/>
          <w:iCs w:val="0"/>
          <w:strike w:val="0"/>
          <w:dstrike w:val="0"/>
          <w:sz w:val="30"/>
          <w:szCs w:val="30"/>
          <w:u w:val="none"/>
        </w:rPr>
        <w:t xml:space="preserve">    卫生健康支出（类）行政事业单位医疗（款）其他行政事业单位医疗支出（项）年初预算为</w:t>
      </w:r>
      <w:r>
        <w:rPr>
          <w:rFonts w:hint="eastAsia" w:ascii="仿宋_GB2312" w:eastAsia="仿宋_GB2312" w:cs="仿宋_GB2312"/>
          <w:i w:val="0"/>
          <w:iCs w:val="0"/>
          <w:strike w:val="0"/>
          <w:dstrike w:val="0"/>
          <w:sz w:val="30"/>
          <w:szCs w:val="30"/>
          <w:u w:val="none"/>
          <w:lang w:val="en-US" w:eastAsia="zh-CN"/>
        </w:rPr>
        <w:t>168000</w:t>
      </w:r>
      <w:r>
        <w:rPr>
          <w:rFonts w:hint="eastAsia" w:ascii="仿宋_GB2312" w:eastAsia="仿宋_GB2312" w:cs="仿宋_GB2312"/>
          <w:i w:val="0"/>
          <w:iCs w:val="0"/>
          <w:strike w:val="0"/>
          <w:dstrike w:val="0"/>
          <w:sz w:val="30"/>
          <w:szCs w:val="30"/>
          <w:u w:val="none"/>
        </w:rPr>
        <w:t>元，支出决算为159850.00元，完成年初预算数的</w:t>
      </w:r>
      <w:r>
        <w:rPr>
          <w:rFonts w:hint="eastAsia" w:ascii="仿宋_GB2312" w:eastAsia="仿宋_GB2312" w:cs="仿宋_GB2312"/>
          <w:i w:val="0"/>
          <w:iCs w:val="0"/>
          <w:strike w:val="0"/>
          <w:dstrike w:val="0"/>
          <w:sz w:val="30"/>
          <w:szCs w:val="30"/>
          <w:u w:val="none"/>
          <w:lang w:val="en-US" w:eastAsia="zh-CN"/>
        </w:rPr>
        <w:t>95.15</w:t>
      </w:r>
      <w:r>
        <w:rPr>
          <w:rFonts w:hint="eastAsia" w:ascii="仿宋_GB2312" w:eastAsia="仿宋_GB2312" w:cs="仿宋_GB2312"/>
          <w:i w:val="0"/>
          <w:iCs w:val="0"/>
          <w:strike w:val="0"/>
          <w:dstrike w:val="0"/>
          <w:sz w:val="30"/>
          <w:szCs w:val="30"/>
          <w:u w:val="none"/>
        </w:rPr>
        <w:t>%，决算数小于年初预算数的主要原因是其他行政事业单位医疗</w:t>
      </w:r>
      <w:r>
        <w:rPr>
          <w:rFonts w:hint="eastAsia" w:ascii="仿宋_GB2312" w:eastAsia="仿宋_GB2312" w:cs="仿宋_GB2312"/>
          <w:i w:val="0"/>
          <w:iCs w:val="0"/>
          <w:strike w:val="0"/>
          <w:dstrike w:val="0"/>
          <w:sz w:val="30"/>
          <w:szCs w:val="30"/>
          <w:u w:val="none"/>
          <w:lang w:eastAsia="zh-CN"/>
        </w:rPr>
        <w:t>基数调减</w:t>
      </w:r>
      <w:r>
        <w:rPr>
          <w:rFonts w:hint="eastAsia" w:ascii="仿宋_GB2312" w:eastAsia="仿宋_GB2312" w:cs="仿宋_GB2312"/>
          <w:i w:val="0"/>
          <w:iCs w:val="0"/>
          <w:strike w:val="0"/>
          <w:dstrike w:val="0"/>
          <w:sz w:val="30"/>
          <w:szCs w:val="30"/>
          <w:u w:val="none"/>
        </w:rPr>
        <w:t>。</w:t>
      </w:r>
      <w:r>
        <w:rPr>
          <w:rFonts w:hint="eastAsia" w:ascii="仿宋_GB2312" w:eastAsia="仿宋_GB2312" w:cs="仿宋_GB2312"/>
          <w:i w:val="0"/>
          <w:iCs w:val="0"/>
          <w:strike w:val="0"/>
          <w:dstrike w:val="0"/>
          <w:sz w:val="30"/>
          <w:szCs w:val="30"/>
          <w:u w:val="none"/>
        </w:rPr>
        <w:br w:type="textWrapping"/>
      </w:r>
      <w:r>
        <w:rPr>
          <w:rFonts w:hint="eastAsia" w:ascii="仿宋_GB2312" w:eastAsia="仿宋_GB2312" w:cs="仿宋_GB2312"/>
          <w:i w:val="0"/>
          <w:iCs w:val="0"/>
          <w:strike w:val="0"/>
          <w:dstrike w:val="0"/>
          <w:sz w:val="30"/>
          <w:szCs w:val="30"/>
          <w:u w:val="none"/>
        </w:rPr>
        <w:t xml:space="preserve">    住房保障支出（类）住房改革支出（款）住房公积金（项）年初预算为</w:t>
      </w:r>
      <w:r>
        <w:rPr>
          <w:rFonts w:hint="eastAsia" w:ascii="仿宋_GB2312" w:eastAsia="仿宋_GB2312" w:cs="仿宋_GB2312"/>
          <w:i w:val="0"/>
          <w:iCs w:val="0"/>
          <w:strike w:val="0"/>
          <w:dstrike w:val="0"/>
          <w:sz w:val="30"/>
          <w:szCs w:val="30"/>
          <w:u w:val="none"/>
          <w:lang w:val="en-US" w:eastAsia="zh-CN"/>
        </w:rPr>
        <w:t>1415088</w:t>
      </w:r>
      <w:r>
        <w:rPr>
          <w:rFonts w:hint="eastAsia" w:ascii="仿宋_GB2312" w:eastAsia="仿宋_GB2312" w:cs="仿宋_GB2312"/>
          <w:i w:val="0"/>
          <w:iCs w:val="0"/>
          <w:strike w:val="0"/>
          <w:dstrike w:val="0"/>
          <w:sz w:val="30"/>
          <w:szCs w:val="30"/>
          <w:u w:val="none"/>
        </w:rPr>
        <w:t>元，支出决算为1374275.00元，完成年初预算数的</w:t>
      </w:r>
      <w:r>
        <w:rPr>
          <w:rFonts w:hint="eastAsia" w:ascii="仿宋_GB2312" w:eastAsia="仿宋_GB2312" w:cs="仿宋_GB2312"/>
          <w:i w:val="0"/>
          <w:iCs w:val="0"/>
          <w:strike w:val="0"/>
          <w:dstrike w:val="0"/>
          <w:sz w:val="30"/>
          <w:szCs w:val="30"/>
          <w:u w:val="none"/>
          <w:lang w:val="en-US" w:eastAsia="zh-CN"/>
        </w:rPr>
        <w:t>97.12</w:t>
      </w:r>
      <w:r>
        <w:rPr>
          <w:rFonts w:hint="eastAsia" w:ascii="仿宋_GB2312" w:eastAsia="仿宋_GB2312" w:cs="仿宋_GB2312"/>
          <w:i w:val="0"/>
          <w:iCs w:val="0"/>
          <w:strike w:val="0"/>
          <w:dstrike w:val="0"/>
          <w:sz w:val="30"/>
          <w:szCs w:val="30"/>
          <w:u w:val="none"/>
        </w:rPr>
        <w:t>%，决算数小于年初预算数的主要原因是</w:t>
      </w:r>
      <w:r>
        <w:rPr>
          <w:rFonts w:hint="eastAsia" w:ascii="仿宋_GB2312" w:eastAsia="仿宋_GB2312" w:cs="仿宋_GB2312"/>
          <w:i w:val="0"/>
          <w:iCs w:val="0"/>
          <w:strike w:val="0"/>
          <w:dstrike w:val="0"/>
          <w:sz w:val="30"/>
          <w:szCs w:val="30"/>
          <w:u w:val="none"/>
          <w:lang w:eastAsia="zh-CN"/>
        </w:rPr>
        <w:t>公积金基数调减</w:t>
      </w:r>
      <w:r>
        <w:rPr>
          <w:rFonts w:hint="eastAsia" w:ascii="仿宋_GB2312" w:eastAsia="仿宋_GB2312" w:cs="仿宋_GB2312"/>
          <w:i w:val="0"/>
          <w:iCs w:val="0"/>
          <w:strike w:val="0"/>
          <w:dstrike w:val="0"/>
          <w:sz w:val="30"/>
          <w:szCs w:val="30"/>
          <w:u w:val="none"/>
        </w:rPr>
        <w:t>。</w:t>
      </w:r>
    </w:p>
    <w:p>
      <w:pPr>
        <w:pStyle w:val="3"/>
        <w:spacing w:before="0" w:after="0" w:line="600" w:lineRule="exact"/>
        <w:ind w:firstLine="600" w:firstLineChars="200"/>
        <w:rPr>
          <w:rFonts w:ascii="黑体" w:hAnsi="黑体" w:eastAsia="黑体"/>
          <w:b w:val="0"/>
          <w:i w:val="0"/>
          <w:iCs w:val="0"/>
          <w:strike w:val="0"/>
          <w:dstrike w:val="0"/>
          <w:sz w:val="30"/>
          <w:szCs w:val="30"/>
          <w:u w:val="none"/>
        </w:rPr>
      </w:pPr>
      <w:bookmarkStart w:id="22" w:name="_Toc10721"/>
      <w:r>
        <w:rPr>
          <w:rFonts w:ascii="黑体" w:hAnsi="黑体" w:eastAsia="黑体"/>
          <w:b w:val="0"/>
          <w:i w:val="0"/>
          <w:iCs w:val="0"/>
          <w:strike w:val="0"/>
          <w:dstrike w:val="0"/>
          <w:sz w:val="30"/>
          <w:szCs w:val="30"/>
          <w:u w:val="none"/>
        </w:rPr>
        <w:t>六、一般公共预算财政拨款基本支出决算情况</w:t>
      </w:r>
      <w:r>
        <w:rPr>
          <w:rFonts w:hint="eastAsia" w:ascii="黑体" w:hAnsi="黑体" w:eastAsia="黑体"/>
          <w:b w:val="0"/>
          <w:i w:val="0"/>
          <w:iCs w:val="0"/>
          <w:strike w:val="0"/>
          <w:dstrike w:val="0"/>
          <w:sz w:val="30"/>
          <w:szCs w:val="30"/>
          <w:u w:val="none"/>
        </w:rPr>
        <w:t>说明</w:t>
      </w:r>
      <w:bookmarkEnd w:id="22"/>
    </w:p>
    <w:p>
      <w:pPr>
        <w:spacing w:line="600" w:lineRule="exact"/>
        <w:ind w:firstLine="645"/>
        <w:jc w:val="both"/>
        <w:rPr>
          <w:rFonts w:ascii="仿宋_GB2312" w:eastAsia="仿宋_GB2312" w:cs="仿宋_GB2312"/>
          <w:i w:val="0"/>
          <w:iCs w:val="0"/>
          <w:strike w:val="0"/>
          <w:dstrike w:val="0"/>
          <w:sz w:val="30"/>
          <w:szCs w:val="30"/>
          <w:u w:val="none"/>
        </w:rPr>
      </w:pPr>
      <w:r>
        <w:rPr>
          <w:rFonts w:hint="eastAsia" w:ascii="仿宋_GB2312" w:eastAsia="仿宋_GB2312" w:cs="仿宋_GB2312"/>
          <w:i w:val="0"/>
          <w:iCs w:val="0"/>
          <w:strike w:val="0"/>
          <w:dstrike w:val="0"/>
          <w:sz w:val="30"/>
          <w:szCs w:val="30"/>
          <w:u w:val="none"/>
        </w:rPr>
        <w:t>天津市津南区疾病预防控制中心</w:t>
      </w:r>
      <w:r>
        <w:rPr>
          <w:rFonts w:hint="eastAsia" w:eastAsia="楷体"/>
          <w:i w:val="0"/>
          <w:iCs w:val="0"/>
          <w:strike w:val="0"/>
          <w:dstrike w:val="0"/>
          <w:sz w:val="30"/>
          <w:szCs w:val="30"/>
          <w:u w:val="none"/>
        </w:rPr>
        <w:t>2022</w:t>
      </w:r>
      <w:r>
        <w:rPr>
          <w:rFonts w:hint="eastAsia" w:ascii="仿宋_GB2312" w:eastAsia="仿宋_GB2312" w:cs="仿宋_GB2312"/>
          <w:i w:val="0"/>
          <w:iCs w:val="0"/>
          <w:strike w:val="0"/>
          <w:dstrike w:val="0"/>
          <w:sz w:val="30"/>
          <w:szCs w:val="30"/>
          <w:u w:val="none"/>
        </w:rPr>
        <w:t xml:space="preserve">年度一般公共预算财政拨款基本支出合计23047585.95元，与2021年度相比增加3926729.95元，主要原因是 </w:t>
      </w:r>
      <w:r>
        <w:rPr>
          <w:rFonts w:hint="eastAsia" w:ascii="仿宋_GB2312" w:eastAsia="仿宋_GB2312" w:cs="仿宋_GB2312"/>
          <w:i w:val="0"/>
          <w:iCs w:val="0"/>
          <w:strike w:val="0"/>
          <w:dstrike w:val="0"/>
          <w:sz w:val="30"/>
          <w:szCs w:val="30"/>
          <w:u w:val="none"/>
          <w:lang w:eastAsia="zh-CN"/>
        </w:rPr>
        <w:t>增加新入职人员</w:t>
      </w:r>
      <w:r>
        <w:rPr>
          <w:rFonts w:hint="eastAsia" w:ascii="仿宋_GB2312" w:eastAsia="仿宋_GB2312" w:cs="仿宋_GB2312"/>
          <w:i w:val="0"/>
          <w:iCs w:val="0"/>
          <w:strike w:val="0"/>
          <w:dstrike w:val="0"/>
          <w:sz w:val="30"/>
          <w:szCs w:val="30"/>
          <w:u w:val="none"/>
          <w:lang w:val="en-US" w:eastAsia="zh-CN"/>
        </w:rPr>
        <w:t>21人</w:t>
      </w:r>
      <w:r>
        <w:rPr>
          <w:rFonts w:hint="eastAsia" w:ascii="仿宋_GB2312" w:eastAsia="仿宋_GB2312" w:cs="仿宋_GB2312"/>
          <w:i w:val="0"/>
          <w:iCs w:val="0"/>
          <w:strike w:val="0"/>
          <w:dstrike w:val="0"/>
          <w:sz w:val="30"/>
          <w:szCs w:val="30"/>
          <w:u w:val="none"/>
        </w:rPr>
        <w:t xml:space="preserve"> 其中：</w:t>
      </w:r>
      <w:r>
        <w:rPr>
          <w:rFonts w:hint="eastAsia" w:ascii="仿宋_GB2312" w:eastAsia="仿宋_GB2312" w:cs="仿宋_GB2312"/>
          <w:i w:val="0"/>
          <w:iCs w:val="0"/>
          <w:strike w:val="0"/>
          <w:dstrike w:val="0"/>
          <w:sz w:val="30"/>
          <w:szCs w:val="30"/>
          <w:u w:val="none"/>
        </w:rPr>
        <w:br w:type="textWrapping"/>
      </w:r>
      <w:r>
        <w:rPr>
          <w:rFonts w:hint="eastAsia" w:ascii="仿宋_GB2312" w:eastAsia="仿宋_GB2312" w:cs="仿宋_GB2312"/>
          <w:i w:val="0"/>
          <w:iCs w:val="0"/>
          <w:strike w:val="0"/>
          <w:dstrike w:val="0"/>
          <w:sz w:val="30"/>
          <w:szCs w:val="30"/>
          <w:u w:val="none"/>
        </w:rPr>
        <w:t>　　人员经费20257576.25元，主要包括基本工资、津贴补贴、奖金、绩效工资、机关事业单位养老保险缴费、职业年金缴费、职工基本医疗保险缴费、其他社会保障缴费、住房公积金、医疗费、其他工资福利支出、退休费、其他对个人和家庭补助；</w:t>
      </w:r>
      <w:r>
        <w:rPr>
          <w:rFonts w:hint="eastAsia" w:ascii="仿宋_GB2312" w:eastAsia="仿宋_GB2312" w:cs="仿宋_GB2312"/>
          <w:i w:val="0"/>
          <w:iCs w:val="0"/>
          <w:strike w:val="0"/>
          <w:dstrike w:val="0"/>
          <w:sz w:val="30"/>
          <w:szCs w:val="30"/>
          <w:u w:val="none"/>
        </w:rPr>
        <w:br w:type="textWrapping"/>
      </w:r>
      <w:r>
        <w:rPr>
          <w:rFonts w:hint="eastAsia" w:ascii="仿宋_GB2312" w:eastAsia="仿宋_GB2312" w:cs="仿宋_GB2312"/>
          <w:i w:val="0"/>
          <w:iCs w:val="0"/>
          <w:strike w:val="0"/>
          <w:dstrike w:val="0"/>
          <w:sz w:val="30"/>
          <w:szCs w:val="30"/>
          <w:u w:val="none"/>
        </w:rPr>
        <w:t>　　公用经费2790009.70元，主要包括办公费、水费、电费、邮电费、取暖费、物业管理费、维修（护）费、培训费、劳务费、工会经费、福利费、公务用车运行维护费、其他商品和服务支出、办公设备购置。</w:t>
      </w:r>
    </w:p>
    <w:p>
      <w:pPr>
        <w:pStyle w:val="3"/>
        <w:spacing w:before="0" w:after="0" w:line="600" w:lineRule="exact"/>
        <w:ind w:firstLine="600" w:firstLineChars="200"/>
        <w:rPr>
          <w:rFonts w:ascii="楷体" w:hAnsi="楷体" w:eastAsia="楷体" w:cs="仿宋_GB2312"/>
          <w:b w:val="0"/>
          <w:i w:val="0"/>
          <w:iCs w:val="0"/>
          <w:strike w:val="0"/>
          <w:dstrike w:val="0"/>
          <w:sz w:val="30"/>
          <w:szCs w:val="30"/>
          <w:u w:val="none"/>
        </w:rPr>
      </w:pPr>
      <w:bookmarkStart w:id="23" w:name="_Toc17918"/>
      <w:r>
        <w:rPr>
          <w:rFonts w:hint="eastAsia" w:ascii="黑体" w:hAnsi="黑体" w:eastAsia="黑体"/>
          <w:b w:val="0"/>
          <w:i w:val="0"/>
          <w:iCs w:val="0"/>
          <w:strike w:val="0"/>
          <w:dstrike w:val="0"/>
          <w:sz w:val="30"/>
          <w:szCs w:val="30"/>
          <w:u w:val="none"/>
        </w:rPr>
        <w:t>七</w:t>
      </w:r>
      <w:r>
        <w:rPr>
          <w:rFonts w:ascii="黑体" w:hAnsi="黑体" w:eastAsia="黑体"/>
          <w:b w:val="0"/>
          <w:i w:val="0"/>
          <w:iCs w:val="0"/>
          <w:strike w:val="0"/>
          <w:dstrike w:val="0"/>
          <w:sz w:val="30"/>
          <w:szCs w:val="30"/>
          <w:u w:val="none"/>
        </w:rPr>
        <w:t>、政府性基金预算财政拨款</w:t>
      </w:r>
      <w:r>
        <w:rPr>
          <w:rFonts w:hint="eastAsia" w:ascii="黑体" w:hAnsi="黑体" w:eastAsia="黑体"/>
          <w:b w:val="0"/>
          <w:i w:val="0"/>
          <w:iCs w:val="0"/>
          <w:strike w:val="0"/>
          <w:dstrike w:val="0"/>
          <w:sz w:val="30"/>
          <w:szCs w:val="30"/>
          <w:u w:val="none"/>
        </w:rPr>
        <w:t>收支决算</w:t>
      </w:r>
      <w:r>
        <w:rPr>
          <w:rFonts w:ascii="黑体" w:hAnsi="黑体" w:eastAsia="黑体"/>
          <w:b w:val="0"/>
          <w:i w:val="0"/>
          <w:iCs w:val="0"/>
          <w:strike w:val="0"/>
          <w:dstrike w:val="0"/>
          <w:sz w:val="30"/>
          <w:szCs w:val="30"/>
          <w:u w:val="none"/>
        </w:rPr>
        <w:t>情况</w:t>
      </w:r>
      <w:r>
        <w:rPr>
          <w:rFonts w:hint="eastAsia" w:ascii="黑体" w:hAnsi="黑体" w:eastAsia="黑体"/>
          <w:b w:val="0"/>
          <w:bCs w:val="0"/>
          <w:i w:val="0"/>
          <w:iCs w:val="0"/>
          <w:strike w:val="0"/>
          <w:dstrike w:val="0"/>
          <w:sz w:val="30"/>
          <w:szCs w:val="30"/>
          <w:u w:val="none"/>
        </w:rPr>
        <w:t>说明</w:t>
      </w:r>
      <w:bookmarkEnd w:id="23"/>
    </w:p>
    <w:p>
      <w:pPr>
        <w:spacing w:line="600" w:lineRule="exact"/>
        <w:ind w:firstLine="645"/>
        <w:jc w:val="both"/>
        <w:rPr>
          <w:rFonts w:ascii="仿宋_GB2312" w:eastAsia="仿宋_GB2312" w:cs="仿宋_GB2312"/>
          <w:i w:val="0"/>
          <w:iCs w:val="0"/>
          <w:strike w:val="0"/>
          <w:dstrike w:val="0"/>
          <w:sz w:val="30"/>
          <w:szCs w:val="30"/>
          <w:u w:val="none"/>
        </w:rPr>
      </w:pPr>
      <w:r>
        <w:rPr>
          <w:rFonts w:hint="eastAsia" w:ascii="仿宋_GB2312" w:eastAsia="仿宋_GB2312" w:cs="仿宋_GB2312"/>
          <w:i w:val="0"/>
          <w:iCs w:val="0"/>
          <w:strike w:val="0"/>
          <w:dstrike w:val="0"/>
          <w:sz w:val="30"/>
          <w:szCs w:val="30"/>
          <w:u w:val="none"/>
        </w:rPr>
        <w:t>天津市津南区疾病预防控制中心2022年度无政府性基金预算财政拨款收入、支出和结转结余。</w:t>
      </w:r>
    </w:p>
    <w:p>
      <w:pPr>
        <w:pStyle w:val="3"/>
        <w:spacing w:before="0" w:after="0" w:line="600" w:lineRule="exact"/>
        <w:ind w:firstLine="600" w:firstLineChars="200"/>
        <w:rPr>
          <w:rFonts w:eastAsia="黑体"/>
          <w:b w:val="0"/>
          <w:i w:val="0"/>
          <w:iCs w:val="0"/>
          <w:strike w:val="0"/>
          <w:dstrike w:val="0"/>
          <w:sz w:val="30"/>
          <w:szCs w:val="30"/>
          <w:u w:val="none"/>
        </w:rPr>
      </w:pPr>
      <w:bookmarkStart w:id="24" w:name="_Toc23897"/>
      <w:r>
        <w:rPr>
          <w:rFonts w:hint="eastAsia" w:eastAsia="黑体"/>
          <w:b w:val="0"/>
          <w:i w:val="0"/>
          <w:iCs w:val="0"/>
          <w:strike w:val="0"/>
          <w:dstrike w:val="0"/>
          <w:sz w:val="30"/>
          <w:szCs w:val="30"/>
          <w:u w:val="none"/>
        </w:rPr>
        <w:t>八、国有资本经营预算财政拨款收支决算情况</w:t>
      </w:r>
      <w:r>
        <w:rPr>
          <w:rFonts w:hint="eastAsia" w:ascii="黑体" w:hAnsi="黑体" w:eastAsia="黑体"/>
          <w:b w:val="0"/>
          <w:bCs w:val="0"/>
          <w:i w:val="0"/>
          <w:iCs w:val="0"/>
          <w:strike w:val="0"/>
          <w:dstrike w:val="0"/>
          <w:sz w:val="30"/>
          <w:szCs w:val="30"/>
          <w:u w:val="none"/>
        </w:rPr>
        <w:t>说明</w:t>
      </w:r>
      <w:bookmarkEnd w:id="24"/>
    </w:p>
    <w:p>
      <w:pPr>
        <w:spacing w:line="600" w:lineRule="exact"/>
        <w:ind w:firstLine="645"/>
        <w:jc w:val="both"/>
        <w:rPr>
          <w:rFonts w:ascii="仿宋_GB2312" w:eastAsia="仿宋_GB2312" w:cs="仿宋_GB2312"/>
          <w:i w:val="0"/>
          <w:iCs w:val="0"/>
          <w:strike w:val="0"/>
          <w:dstrike w:val="0"/>
          <w:sz w:val="30"/>
          <w:szCs w:val="30"/>
          <w:u w:val="none"/>
        </w:rPr>
      </w:pPr>
      <w:r>
        <w:rPr>
          <w:rFonts w:hint="eastAsia" w:ascii="仿宋_GB2312" w:eastAsia="仿宋_GB2312" w:cs="仿宋_GB2312"/>
          <w:i w:val="0"/>
          <w:iCs w:val="0"/>
          <w:strike w:val="0"/>
          <w:dstrike w:val="0"/>
          <w:sz w:val="30"/>
          <w:szCs w:val="30"/>
          <w:u w:val="none"/>
        </w:rPr>
        <w:t>天津市津南区疾病预防控制中心2022年度无国有资本经营预算财政拨款收入、支出和结转结余。</w:t>
      </w:r>
    </w:p>
    <w:p>
      <w:pPr>
        <w:pStyle w:val="3"/>
        <w:spacing w:before="0" w:after="0" w:line="600" w:lineRule="exact"/>
        <w:ind w:firstLine="600" w:firstLineChars="200"/>
        <w:rPr>
          <w:rFonts w:ascii="黑体" w:hAnsi="黑体" w:eastAsia="黑体"/>
          <w:b w:val="0"/>
          <w:i w:val="0"/>
          <w:iCs w:val="0"/>
          <w:strike w:val="0"/>
          <w:dstrike w:val="0"/>
          <w:sz w:val="30"/>
          <w:szCs w:val="30"/>
          <w:u w:val="none"/>
        </w:rPr>
      </w:pPr>
      <w:bookmarkStart w:id="25" w:name="_Toc4518"/>
      <w:r>
        <w:rPr>
          <w:rFonts w:hint="eastAsia" w:ascii="黑体" w:hAnsi="黑体" w:eastAsia="黑体"/>
          <w:b w:val="0"/>
          <w:i w:val="0"/>
          <w:iCs w:val="0"/>
          <w:strike w:val="0"/>
          <w:dstrike w:val="0"/>
          <w:sz w:val="30"/>
          <w:szCs w:val="30"/>
          <w:u w:val="none"/>
        </w:rPr>
        <w:t>九、</w:t>
      </w:r>
      <w:r>
        <w:rPr>
          <w:rFonts w:ascii="黑体" w:hAnsi="黑体" w:eastAsia="黑体"/>
          <w:b w:val="0"/>
          <w:i w:val="0"/>
          <w:iCs w:val="0"/>
          <w:strike w:val="0"/>
          <w:dstrike w:val="0"/>
          <w:sz w:val="30"/>
          <w:szCs w:val="30"/>
          <w:u w:val="none"/>
        </w:rPr>
        <w:t>一般公共预算财政拨款“三公”经费</w:t>
      </w:r>
      <w:r>
        <w:rPr>
          <w:rFonts w:hint="eastAsia" w:ascii="黑体" w:hAnsi="黑体" w:eastAsia="黑体"/>
          <w:b w:val="0"/>
          <w:i w:val="0"/>
          <w:iCs w:val="0"/>
          <w:strike w:val="0"/>
          <w:dstrike w:val="0"/>
          <w:sz w:val="30"/>
          <w:szCs w:val="30"/>
          <w:u w:val="none"/>
        </w:rPr>
        <w:t>支出决算</w:t>
      </w:r>
      <w:r>
        <w:rPr>
          <w:rFonts w:ascii="黑体" w:hAnsi="黑体" w:eastAsia="黑体"/>
          <w:b w:val="0"/>
          <w:i w:val="0"/>
          <w:iCs w:val="0"/>
          <w:strike w:val="0"/>
          <w:dstrike w:val="0"/>
          <w:sz w:val="30"/>
          <w:szCs w:val="30"/>
          <w:u w:val="none"/>
        </w:rPr>
        <w:t>情况</w:t>
      </w:r>
      <w:r>
        <w:rPr>
          <w:rFonts w:hint="eastAsia" w:ascii="黑体" w:hAnsi="黑体" w:eastAsia="黑体"/>
          <w:b w:val="0"/>
          <w:bCs w:val="0"/>
          <w:i w:val="0"/>
          <w:iCs w:val="0"/>
          <w:strike w:val="0"/>
          <w:dstrike w:val="0"/>
          <w:sz w:val="30"/>
          <w:szCs w:val="30"/>
          <w:u w:val="none"/>
        </w:rPr>
        <w:t>说明</w:t>
      </w:r>
      <w:bookmarkEnd w:id="25"/>
    </w:p>
    <w:p>
      <w:pPr>
        <w:spacing w:line="600" w:lineRule="exact"/>
        <w:ind w:firstLine="602" w:firstLineChars="200"/>
        <w:jc w:val="both"/>
        <w:rPr>
          <w:rFonts w:ascii="楷体" w:hAnsi="楷体" w:eastAsia="楷体" w:cs="楷体"/>
          <w:b/>
          <w:bCs/>
          <w:i w:val="0"/>
          <w:iCs w:val="0"/>
          <w:strike w:val="0"/>
          <w:dstrike w:val="0"/>
          <w:sz w:val="30"/>
          <w:szCs w:val="30"/>
          <w:u w:val="none"/>
        </w:rPr>
      </w:pPr>
      <w:r>
        <w:rPr>
          <w:rFonts w:hint="eastAsia" w:ascii="楷体" w:hAnsi="楷体" w:eastAsia="楷体" w:cs="楷体"/>
          <w:b/>
          <w:bCs/>
          <w:i w:val="0"/>
          <w:iCs w:val="0"/>
          <w:strike w:val="0"/>
          <w:dstrike w:val="0"/>
          <w:sz w:val="30"/>
          <w:szCs w:val="30"/>
          <w:u w:val="none"/>
        </w:rPr>
        <w:t>（一）总体情况</w:t>
      </w:r>
    </w:p>
    <w:p>
      <w:pPr>
        <w:spacing w:line="600" w:lineRule="exact"/>
        <w:ind w:firstLine="645"/>
        <w:jc w:val="both"/>
        <w:rPr>
          <w:rFonts w:hint="eastAsia" w:ascii="仿宋_GB2312" w:hAnsi="仿宋_GB2312" w:eastAsia="仿宋_GB2312" w:cs="仿宋_GB2312"/>
          <w:i w:val="0"/>
          <w:iCs w:val="0"/>
          <w:strike w:val="0"/>
          <w:dstrike w:val="0"/>
          <w:sz w:val="30"/>
          <w:szCs w:val="30"/>
          <w:u w:val="none"/>
        </w:rPr>
      </w:pPr>
      <w:r>
        <w:rPr>
          <w:rFonts w:hint="eastAsia" w:ascii="仿宋_GB2312" w:hAnsi="仿宋_GB2312" w:eastAsia="仿宋_GB2312" w:cs="仿宋_GB2312"/>
          <w:i w:val="0"/>
          <w:iCs w:val="0"/>
          <w:strike w:val="0"/>
          <w:dstrike w:val="0"/>
          <w:sz w:val="30"/>
          <w:szCs w:val="30"/>
          <w:u w:val="none"/>
        </w:rPr>
        <w:t>2022年一般公共预算财政拨款“三公”经费预算500000.00元，支出决算122011.02元（去年同期90471.33元），支出决算与2022年预算相比减少377988.98元,完成预算的24.40%；支出决算较上年增加31539.69元，增长34.86%。决算数小于预算数的主要原因是</w:t>
      </w:r>
      <w:r>
        <w:rPr>
          <w:rFonts w:hint="eastAsia" w:ascii="仿宋_GB2312" w:hAnsi="仿宋_GB2312" w:eastAsia="仿宋_GB2312" w:cs="仿宋_GB2312"/>
          <w:i w:val="0"/>
          <w:iCs w:val="0"/>
          <w:strike w:val="0"/>
          <w:dstrike w:val="0"/>
          <w:sz w:val="30"/>
          <w:szCs w:val="30"/>
          <w:u w:val="none"/>
          <w:lang w:eastAsia="zh-CN"/>
        </w:rPr>
        <w:t>受疫情影响，公务用车购置计划延期</w:t>
      </w:r>
      <w:r>
        <w:rPr>
          <w:rFonts w:hint="eastAsia" w:ascii="仿宋_GB2312" w:hAnsi="仿宋_GB2312" w:eastAsia="仿宋_GB2312" w:cs="仿宋_GB2312"/>
          <w:i w:val="0"/>
          <w:iCs w:val="0"/>
          <w:strike w:val="0"/>
          <w:dstrike w:val="0"/>
          <w:sz w:val="30"/>
          <w:szCs w:val="30"/>
          <w:u w:val="none"/>
        </w:rPr>
        <w:t>。决算数较上年增加的主要原因是</w:t>
      </w:r>
      <w:r>
        <w:rPr>
          <w:rFonts w:hint="eastAsia" w:ascii="仿宋_GB2312" w:hAnsi="仿宋_GB2312" w:eastAsia="仿宋_GB2312" w:cs="仿宋_GB2312"/>
          <w:i w:val="0"/>
          <w:iCs w:val="0"/>
          <w:strike w:val="0"/>
          <w:dstrike w:val="0"/>
          <w:sz w:val="30"/>
          <w:szCs w:val="30"/>
          <w:u w:val="none"/>
          <w:lang w:eastAsia="zh-CN"/>
        </w:rPr>
        <w:t>受新冠疫情影响，公务用车运行维护费支出增加</w:t>
      </w:r>
      <w:r>
        <w:rPr>
          <w:rFonts w:hint="eastAsia" w:ascii="仿宋_GB2312" w:hAnsi="仿宋_GB2312" w:eastAsia="仿宋_GB2312" w:cs="仿宋_GB2312"/>
          <w:i w:val="0"/>
          <w:iCs w:val="0"/>
          <w:strike w:val="0"/>
          <w:dstrike w:val="0"/>
          <w:sz w:val="30"/>
          <w:szCs w:val="30"/>
          <w:u w:val="none"/>
        </w:rPr>
        <w:t>。</w:t>
      </w:r>
    </w:p>
    <w:p>
      <w:pPr>
        <w:spacing w:line="600" w:lineRule="exact"/>
        <w:ind w:firstLine="602" w:firstLineChars="200"/>
        <w:jc w:val="both"/>
        <w:rPr>
          <w:rFonts w:ascii="楷体" w:hAnsi="楷体" w:eastAsia="楷体" w:cs="楷体"/>
          <w:b/>
          <w:bCs/>
          <w:i w:val="0"/>
          <w:iCs w:val="0"/>
          <w:strike w:val="0"/>
          <w:dstrike w:val="0"/>
          <w:sz w:val="30"/>
          <w:szCs w:val="30"/>
          <w:u w:val="none"/>
        </w:rPr>
      </w:pPr>
      <w:r>
        <w:rPr>
          <w:rFonts w:hint="eastAsia" w:ascii="楷体" w:hAnsi="楷体" w:eastAsia="楷体" w:cs="楷体"/>
          <w:b/>
          <w:bCs/>
          <w:i w:val="0"/>
          <w:iCs w:val="0"/>
          <w:strike w:val="0"/>
          <w:dstrike w:val="0"/>
          <w:sz w:val="30"/>
          <w:szCs w:val="30"/>
          <w:u w:val="none"/>
        </w:rPr>
        <w:t>（二）具体情况</w:t>
      </w:r>
    </w:p>
    <w:p>
      <w:pPr>
        <w:spacing w:line="600" w:lineRule="exact"/>
        <w:ind w:firstLine="600" w:firstLineChars="200"/>
        <w:jc w:val="both"/>
        <w:rPr>
          <w:rFonts w:eastAsia="仿宋_GB2312"/>
          <w:i w:val="0"/>
          <w:iCs w:val="0"/>
          <w:strike w:val="0"/>
          <w:dstrike w:val="0"/>
          <w:sz w:val="30"/>
          <w:szCs w:val="30"/>
          <w:u w:val="none"/>
        </w:rPr>
      </w:pPr>
      <w:r>
        <w:rPr>
          <w:rFonts w:hint="eastAsia" w:eastAsia="仿宋_GB2312"/>
          <w:i w:val="0"/>
          <w:iCs w:val="0"/>
          <w:strike w:val="0"/>
          <w:dstrike w:val="0"/>
          <w:sz w:val="30"/>
          <w:szCs w:val="30"/>
          <w:u w:val="none"/>
        </w:rPr>
        <w:t>1.</w:t>
      </w:r>
      <w:r>
        <w:rPr>
          <w:rFonts w:hint="eastAsia" w:ascii="仿宋_GB2312" w:eastAsia="仿宋_GB2312" w:cs="仿宋_GB2312"/>
          <w:i w:val="0"/>
          <w:iCs w:val="0"/>
          <w:strike w:val="0"/>
          <w:dstrike w:val="0"/>
          <w:sz w:val="30"/>
          <w:szCs w:val="30"/>
          <w:u w:val="none"/>
        </w:rPr>
        <w:t>因公出国（境）费预算0.00元，支出决算0.00元（去年同期0.00元），支出决算与预算相比持平；支出决算较上年持平。</w:t>
      </w:r>
      <w:r>
        <w:rPr>
          <w:rFonts w:ascii="仿宋_GB2312" w:eastAsia="仿宋_GB2312" w:cs="仿宋_GB2312"/>
          <w:i w:val="0"/>
          <w:iCs w:val="0"/>
          <w:strike w:val="0"/>
          <w:dstrike w:val="0"/>
          <w:sz w:val="30"/>
          <w:szCs w:val="30"/>
          <w:u w:val="none"/>
        </w:rPr>
        <w:t>因本年及去年同期均未使用一般公共预算财政拨款列支“因公出国（境）”经费，故本年支出决算与本年预算、上年支出决算均持平为0。2022</w:t>
      </w:r>
      <w:r>
        <w:rPr>
          <w:rFonts w:hint="eastAsia" w:ascii="仿宋_GB2312" w:eastAsia="仿宋_GB2312" w:cs="仿宋_GB2312"/>
          <w:i w:val="0"/>
          <w:iCs w:val="0"/>
          <w:strike w:val="0"/>
          <w:dstrike w:val="0"/>
          <w:sz w:val="30"/>
          <w:szCs w:val="30"/>
          <w:u w:val="none"/>
        </w:rPr>
        <w:t>年本单位组织的出国团组0个，出国0人次。</w:t>
      </w:r>
    </w:p>
    <w:p>
      <w:pPr>
        <w:spacing w:line="600" w:lineRule="exact"/>
        <w:ind w:firstLine="600" w:firstLineChars="200"/>
        <w:jc w:val="both"/>
        <w:rPr>
          <w:rFonts w:eastAsia="仿宋_GB2312"/>
          <w:i w:val="0"/>
          <w:iCs w:val="0"/>
          <w:strike w:val="0"/>
          <w:dstrike w:val="0"/>
          <w:sz w:val="30"/>
          <w:szCs w:val="30"/>
          <w:u w:val="none"/>
        </w:rPr>
      </w:pPr>
      <w:r>
        <w:rPr>
          <w:rFonts w:hint="eastAsia" w:eastAsia="仿宋_GB2312"/>
          <w:i w:val="0"/>
          <w:iCs w:val="0"/>
          <w:strike w:val="0"/>
          <w:dstrike w:val="0"/>
          <w:sz w:val="30"/>
          <w:szCs w:val="30"/>
          <w:u w:val="none"/>
        </w:rPr>
        <w:t>2.</w:t>
      </w:r>
      <w:r>
        <w:rPr>
          <w:rFonts w:hint="eastAsia" w:ascii="仿宋_GB2312" w:eastAsia="仿宋_GB2312" w:cs="仿宋_GB2312"/>
          <w:i w:val="0"/>
          <w:iCs w:val="0"/>
          <w:strike w:val="0"/>
          <w:dstrike w:val="0"/>
          <w:sz w:val="30"/>
          <w:szCs w:val="30"/>
          <w:u w:val="none"/>
        </w:rPr>
        <w:t>公务用车购置及运行维护费预算500000.00元，支出决算122011.02元（去年同期90471.33元），支出决算与预算相比减少377988.98元,完成预算的24.40%；支出决算较上年增加31539.69元，增长34.86%。其中：</w:t>
      </w:r>
    </w:p>
    <w:p>
      <w:pPr>
        <w:spacing w:line="600" w:lineRule="exact"/>
        <w:ind w:firstLine="600" w:firstLineChars="200"/>
        <w:jc w:val="both"/>
        <w:rPr>
          <w:rFonts w:eastAsia="仿宋_GB2312"/>
          <w:i w:val="0"/>
          <w:iCs w:val="0"/>
          <w:strike w:val="0"/>
          <w:dstrike w:val="0"/>
          <w:sz w:val="30"/>
          <w:szCs w:val="30"/>
          <w:u w:val="none"/>
        </w:rPr>
      </w:pPr>
      <w:r>
        <w:rPr>
          <w:rFonts w:hint="eastAsia" w:ascii="仿宋_GB2312" w:eastAsia="仿宋_GB2312" w:cs="仿宋_GB2312"/>
          <w:i w:val="0"/>
          <w:iCs w:val="0"/>
          <w:strike w:val="0"/>
          <w:dstrike w:val="0"/>
          <w:sz w:val="30"/>
          <w:szCs w:val="30"/>
          <w:u w:val="none"/>
        </w:rPr>
        <w:t>公务用车运行维护费预算</w:t>
      </w:r>
      <w:r>
        <w:rPr>
          <w:rFonts w:hint="eastAsia" w:ascii="仿宋_GB2312" w:eastAsia="仿宋_GB2312" w:cs="仿宋_GB2312"/>
          <w:i w:val="0"/>
          <w:iCs w:val="0"/>
          <w:strike w:val="0"/>
          <w:dstrike w:val="0"/>
          <w:sz w:val="30"/>
          <w:szCs w:val="30"/>
          <w:u w:val="none"/>
          <w:lang w:val="en-US" w:eastAsia="zh-CN"/>
        </w:rPr>
        <w:t>200000</w:t>
      </w:r>
      <w:r>
        <w:rPr>
          <w:rFonts w:hint="eastAsia" w:ascii="仿宋_GB2312" w:eastAsia="仿宋_GB2312" w:cs="仿宋_GB2312"/>
          <w:i w:val="0"/>
          <w:iCs w:val="0"/>
          <w:strike w:val="0"/>
          <w:dstrike w:val="0"/>
          <w:sz w:val="30"/>
          <w:szCs w:val="30"/>
          <w:u w:val="none"/>
        </w:rPr>
        <w:t>元，支出决算122011.02元（去年同期90471.33元），支出决算与预算相比减少77988.98元,完成预算的61.01%；支出决算较上年增加31539.69元，增长34.86%。决算数小于预算数的主要原因是</w:t>
      </w:r>
      <w:r>
        <w:rPr>
          <w:rFonts w:hint="eastAsia" w:ascii="仿宋_GB2312" w:eastAsia="仿宋_GB2312" w:cs="仿宋_GB2312"/>
          <w:i w:val="0"/>
          <w:iCs w:val="0"/>
          <w:strike w:val="0"/>
          <w:dstrike w:val="0"/>
          <w:sz w:val="30"/>
          <w:szCs w:val="30"/>
          <w:u w:val="none"/>
          <w:lang w:eastAsia="zh-CN"/>
        </w:rPr>
        <w:t>报废</w:t>
      </w:r>
      <w:r>
        <w:rPr>
          <w:rFonts w:hint="eastAsia" w:ascii="仿宋_GB2312" w:eastAsia="仿宋_GB2312" w:cs="仿宋_GB2312"/>
          <w:i w:val="0"/>
          <w:iCs w:val="0"/>
          <w:strike w:val="0"/>
          <w:dstrike w:val="0"/>
          <w:sz w:val="30"/>
          <w:szCs w:val="30"/>
          <w:u w:val="none"/>
          <w:lang w:val="en-US" w:eastAsia="zh-CN"/>
        </w:rPr>
        <w:t>2辆公务用车，公务用车保有量减少</w:t>
      </w:r>
      <w:r>
        <w:rPr>
          <w:rFonts w:hint="eastAsia" w:ascii="仿宋_GB2312" w:eastAsia="仿宋_GB2312" w:cs="仿宋_GB2312"/>
          <w:i w:val="0"/>
          <w:iCs w:val="0"/>
          <w:strike w:val="0"/>
          <w:dstrike w:val="0"/>
          <w:sz w:val="30"/>
          <w:szCs w:val="30"/>
          <w:u w:val="none"/>
        </w:rPr>
        <w:t>。决算数较上年增加的主要原因是</w:t>
      </w:r>
      <w:r>
        <w:rPr>
          <w:rFonts w:hint="eastAsia" w:ascii="仿宋_GB2312" w:eastAsia="仿宋_GB2312" w:cs="仿宋_GB2312"/>
          <w:i w:val="0"/>
          <w:iCs w:val="0"/>
          <w:strike w:val="0"/>
          <w:dstrike w:val="0"/>
          <w:sz w:val="30"/>
          <w:szCs w:val="30"/>
          <w:u w:val="none"/>
          <w:lang w:eastAsia="zh-CN"/>
        </w:rPr>
        <w:t>受新冠疫情影响，公务用车运行维护费支出增加</w:t>
      </w:r>
      <w:r>
        <w:rPr>
          <w:rFonts w:hint="eastAsia" w:ascii="仿宋_GB2312" w:eastAsia="仿宋_GB2312" w:cs="仿宋_GB2312"/>
          <w:i w:val="0"/>
          <w:iCs w:val="0"/>
          <w:strike w:val="0"/>
          <w:dstrike w:val="0"/>
          <w:sz w:val="30"/>
          <w:szCs w:val="30"/>
          <w:u w:val="none"/>
        </w:rPr>
        <w:t>。截至2022年12月31日，使用</w:t>
      </w:r>
      <w:r>
        <w:rPr>
          <w:rFonts w:hint="eastAsia" w:eastAsia="仿宋_GB2312"/>
          <w:i w:val="0"/>
          <w:iCs w:val="0"/>
          <w:strike w:val="0"/>
          <w:dstrike w:val="0"/>
          <w:sz w:val="30"/>
          <w:szCs w:val="30"/>
          <w:u w:val="none"/>
        </w:rPr>
        <w:t>一般公共预算</w:t>
      </w:r>
      <w:r>
        <w:rPr>
          <w:rFonts w:hint="eastAsia" w:ascii="仿宋_GB2312" w:eastAsia="仿宋_GB2312" w:cs="仿宋_GB2312"/>
          <w:i w:val="0"/>
          <w:iCs w:val="0"/>
          <w:strike w:val="0"/>
          <w:dstrike w:val="0"/>
          <w:sz w:val="30"/>
          <w:szCs w:val="30"/>
          <w:u w:val="none"/>
        </w:rPr>
        <w:t>财政拨款开支运行维护费的公务用车保有量为5辆。</w:t>
      </w:r>
    </w:p>
    <w:p>
      <w:pPr>
        <w:spacing w:line="600" w:lineRule="exact"/>
        <w:ind w:firstLine="600" w:firstLineChars="200"/>
        <w:jc w:val="both"/>
        <w:rPr>
          <w:rFonts w:eastAsia="仿宋_GB2312"/>
          <w:i w:val="0"/>
          <w:iCs w:val="0"/>
          <w:strike w:val="0"/>
          <w:dstrike w:val="0"/>
          <w:sz w:val="30"/>
          <w:szCs w:val="30"/>
          <w:u w:val="none"/>
        </w:rPr>
      </w:pPr>
      <w:r>
        <w:rPr>
          <w:rFonts w:hint="eastAsia" w:ascii="仿宋_GB2312" w:eastAsia="仿宋_GB2312" w:cs="仿宋_GB2312"/>
          <w:i w:val="0"/>
          <w:iCs w:val="0"/>
          <w:strike w:val="0"/>
          <w:dstrike w:val="0"/>
          <w:sz w:val="30"/>
          <w:szCs w:val="30"/>
          <w:u w:val="none"/>
        </w:rPr>
        <w:t>公务用车购置费预算300000.00元，支出决算0.00元（去年同期7.00元），支出决算与预算相比减少300000.00元,完成预算的0.00%；支出决算较上年持平。决算数小于预算数的主要原因是</w:t>
      </w:r>
      <w:r>
        <w:rPr>
          <w:rFonts w:hint="eastAsia" w:ascii="仿宋_GB2312" w:eastAsia="仿宋_GB2312" w:cs="仿宋_GB2312"/>
          <w:i w:val="0"/>
          <w:iCs w:val="0"/>
          <w:strike w:val="0"/>
          <w:dstrike w:val="0"/>
          <w:sz w:val="30"/>
          <w:szCs w:val="30"/>
          <w:u w:val="none"/>
          <w:lang w:eastAsia="zh-CN"/>
        </w:rPr>
        <w:t>受疫情影响，公务用车购置计划延期</w:t>
      </w:r>
      <w:r>
        <w:rPr>
          <w:rFonts w:hint="eastAsia" w:ascii="仿宋_GB2312" w:eastAsia="仿宋_GB2312" w:cs="仿宋_GB2312"/>
          <w:i w:val="0"/>
          <w:iCs w:val="0"/>
          <w:strike w:val="0"/>
          <w:dstrike w:val="0"/>
          <w:sz w:val="30"/>
          <w:szCs w:val="30"/>
          <w:u w:val="none"/>
        </w:rPr>
        <w:t>。决算数较上年持平的主要原因是本年度未用一般公共预算列支“公务用车购置”经费。2022年购置公务用车0辆。</w:t>
      </w:r>
    </w:p>
    <w:p>
      <w:pPr>
        <w:spacing w:line="600" w:lineRule="exact"/>
        <w:ind w:firstLine="645"/>
        <w:jc w:val="both"/>
        <w:rPr>
          <w:rFonts w:eastAsia="仿宋_GB2312" w:cs="仿宋_GB2312"/>
          <w:i w:val="0"/>
          <w:iCs w:val="0"/>
          <w:strike w:val="0"/>
          <w:dstrike w:val="0"/>
          <w:sz w:val="30"/>
          <w:szCs w:val="30"/>
          <w:u w:val="none"/>
        </w:rPr>
      </w:pPr>
      <w:r>
        <w:rPr>
          <w:rFonts w:hint="eastAsia" w:eastAsia="仿宋_GB2312"/>
          <w:i w:val="0"/>
          <w:iCs w:val="0"/>
          <w:strike w:val="0"/>
          <w:dstrike w:val="0"/>
          <w:sz w:val="30"/>
          <w:szCs w:val="30"/>
          <w:u w:val="none"/>
        </w:rPr>
        <w:t>3.</w:t>
      </w:r>
      <w:r>
        <w:rPr>
          <w:rFonts w:hint="eastAsia" w:ascii="仿宋_GB2312" w:eastAsia="仿宋_GB2312" w:cs="仿宋_GB2312"/>
          <w:i w:val="0"/>
          <w:iCs w:val="0"/>
          <w:strike w:val="0"/>
          <w:dstrike w:val="0"/>
          <w:sz w:val="30"/>
          <w:szCs w:val="30"/>
          <w:u w:val="none"/>
        </w:rPr>
        <w:t>公务接待费预算0.00元，支出决算0.00元（去年同期0.00元），支出决算与预算相比持平；支出决算较上年持平。</w:t>
      </w:r>
      <w:r>
        <w:rPr>
          <w:rFonts w:ascii="仿宋_GB2312" w:eastAsia="仿宋_GB2312" w:cs="仿宋_GB2312"/>
          <w:i w:val="0"/>
          <w:iCs w:val="0"/>
          <w:strike w:val="0"/>
          <w:dstrike w:val="0"/>
          <w:sz w:val="30"/>
          <w:szCs w:val="30"/>
          <w:u w:val="none"/>
        </w:rPr>
        <w:t>因本年及去年同期均未使用一般公共预算财政拨款列支“公务接待”经费，故本年支出决算与本年预算、上年支出决算均持平为0。2022</w:t>
      </w:r>
      <w:r>
        <w:rPr>
          <w:rFonts w:hint="eastAsia" w:ascii="仿宋_GB2312" w:eastAsia="仿宋_GB2312" w:cs="仿宋_GB2312"/>
          <w:i w:val="0"/>
          <w:iCs w:val="0"/>
          <w:strike w:val="0"/>
          <w:dstrike w:val="0"/>
          <w:sz w:val="30"/>
          <w:szCs w:val="30"/>
          <w:u w:val="none"/>
        </w:rPr>
        <w:t>年本单位国内公务接待0批</w:t>
      </w:r>
      <w:r>
        <w:rPr>
          <w:rFonts w:hint="eastAsia" w:eastAsia="仿宋_GB2312" w:cs="仿宋_GB2312"/>
          <w:i w:val="0"/>
          <w:iCs w:val="0"/>
          <w:strike w:val="0"/>
          <w:dstrike w:val="0"/>
          <w:sz w:val="30"/>
          <w:szCs w:val="30"/>
          <w:u w:val="none"/>
        </w:rPr>
        <w:t>次，</w:t>
      </w:r>
      <w:r>
        <w:rPr>
          <w:rFonts w:hint="eastAsia" w:ascii="仿宋_GB2312" w:eastAsia="仿宋_GB2312" w:cs="仿宋_GB2312"/>
          <w:i w:val="0"/>
          <w:iCs w:val="0"/>
          <w:strike w:val="0"/>
          <w:dstrike w:val="0"/>
          <w:sz w:val="30"/>
          <w:szCs w:val="30"/>
          <w:u w:val="none"/>
        </w:rPr>
        <w:t>0</w:t>
      </w:r>
      <w:r>
        <w:rPr>
          <w:rFonts w:hint="eastAsia" w:eastAsia="仿宋_GB2312" w:cs="仿宋_GB2312"/>
          <w:i w:val="0"/>
          <w:iCs w:val="0"/>
          <w:strike w:val="0"/>
          <w:dstrike w:val="0"/>
          <w:sz w:val="30"/>
          <w:szCs w:val="30"/>
          <w:u w:val="none"/>
        </w:rPr>
        <w:t>人次；其中，外事接待</w:t>
      </w:r>
      <w:r>
        <w:rPr>
          <w:rFonts w:hint="eastAsia" w:ascii="仿宋_GB2312" w:eastAsia="仿宋_GB2312" w:cs="仿宋_GB2312"/>
          <w:i w:val="0"/>
          <w:iCs w:val="0"/>
          <w:strike w:val="0"/>
          <w:dstrike w:val="0"/>
          <w:sz w:val="30"/>
          <w:szCs w:val="30"/>
          <w:u w:val="none"/>
        </w:rPr>
        <w:t>0</w:t>
      </w:r>
      <w:r>
        <w:rPr>
          <w:rFonts w:hint="eastAsia" w:eastAsia="仿宋_GB2312" w:cs="仿宋_GB2312"/>
          <w:i w:val="0"/>
          <w:iCs w:val="0"/>
          <w:strike w:val="0"/>
          <w:dstrike w:val="0"/>
          <w:sz w:val="30"/>
          <w:szCs w:val="30"/>
          <w:u w:val="none"/>
        </w:rPr>
        <w:t>批次，</w:t>
      </w:r>
      <w:r>
        <w:rPr>
          <w:rFonts w:hint="eastAsia" w:ascii="仿宋_GB2312" w:eastAsia="仿宋_GB2312" w:cs="仿宋_GB2312"/>
          <w:i w:val="0"/>
          <w:iCs w:val="0"/>
          <w:strike w:val="0"/>
          <w:dstrike w:val="0"/>
          <w:sz w:val="30"/>
          <w:szCs w:val="30"/>
          <w:u w:val="none"/>
        </w:rPr>
        <w:t>0</w:t>
      </w:r>
      <w:r>
        <w:rPr>
          <w:rFonts w:hint="eastAsia" w:eastAsia="仿宋_GB2312" w:cs="仿宋_GB2312"/>
          <w:i w:val="0"/>
          <w:iCs w:val="0"/>
          <w:strike w:val="0"/>
          <w:dstrike w:val="0"/>
          <w:sz w:val="30"/>
          <w:szCs w:val="30"/>
          <w:u w:val="none"/>
        </w:rPr>
        <w:t>人次。</w:t>
      </w:r>
    </w:p>
    <w:p>
      <w:pPr>
        <w:pStyle w:val="3"/>
        <w:spacing w:before="0" w:after="0" w:line="600" w:lineRule="exact"/>
        <w:ind w:firstLine="600" w:firstLineChars="200"/>
        <w:rPr>
          <w:rFonts w:ascii="黑体" w:hAnsi="黑体" w:eastAsia="黑体"/>
          <w:b w:val="0"/>
          <w:i w:val="0"/>
          <w:iCs w:val="0"/>
          <w:strike w:val="0"/>
          <w:dstrike w:val="0"/>
          <w:sz w:val="30"/>
          <w:szCs w:val="30"/>
          <w:u w:val="none"/>
        </w:rPr>
      </w:pPr>
      <w:bookmarkStart w:id="26" w:name="_Toc3411"/>
      <w:r>
        <w:rPr>
          <w:rFonts w:hint="eastAsia" w:ascii="黑体" w:hAnsi="黑体" w:eastAsia="黑体"/>
          <w:b w:val="0"/>
          <w:i w:val="0"/>
          <w:iCs w:val="0"/>
          <w:strike w:val="0"/>
          <w:dstrike w:val="0"/>
          <w:sz w:val="30"/>
          <w:szCs w:val="30"/>
          <w:u w:val="none"/>
        </w:rPr>
        <w:t>十、</w:t>
      </w:r>
      <w:r>
        <w:rPr>
          <w:rFonts w:ascii="黑体" w:hAnsi="黑体" w:eastAsia="黑体"/>
          <w:b w:val="0"/>
          <w:i w:val="0"/>
          <w:iCs w:val="0"/>
          <w:strike w:val="0"/>
          <w:dstrike w:val="0"/>
          <w:sz w:val="30"/>
          <w:szCs w:val="30"/>
          <w:u w:val="none"/>
        </w:rPr>
        <w:t>机关运行经费</w:t>
      </w:r>
      <w:r>
        <w:rPr>
          <w:rFonts w:hint="eastAsia" w:ascii="黑体" w:hAnsi="黑体" w:eastAsia="黑体"/>
          <w:b w:val="0"/>
          <w:i w:val="0"/>
          <w:iCs w:val="0"/>
          <w:strike w:val="0"/>
          <w:dstrike w:val="0"/>
          <w:sz w:val="30"/>
          <w:szCs w:val="30"/>
          <w:u w:val="none"/>
        </w:rPr>
        <w:t>支出情况</w:t>
      </w:r>
      <w:r>
        <w:rPr>
          <w:rFonts w:hint="eastAsia" w:ascii="黑体" w:hAnsi="黑体" w:eastAsia="黑体"/>
          <w:b w:val="0"/>
          <w:bCs w:val="0"/>
          <w:i w:val="0"/>
          <w:iCs w:val="0"/>
          <w:strike w:val="0"/>
          <w:dstrike w:val="0"/>
          <w:sz w:val="30"/>
          <w:szCs w:val="30"/>
          <w:u w:val="none"/>
        </w:rPr>
        <w:t>说明</w:t>
      </w:r>
      <w:bookmarkEnd w:id="26"/>
    </w:p>
    <w:p>
      <w:pPr>
        <w:spacing w:line="600" w:lineRule="exact"/>
        <w:ind w:firstLine="645"/>
        <w:jc w:val="both"/>
        <w:rPr>
          <w:rFonts w:ascii="仿宋_GB2312" w:eastAsia="仿宋_GB2312" w:cs="仿宋_GB2312"/>
          <w:i w:val="0"/>
          <w:iCs w:val="0"/>
          <w:strike w:val="0"/>
          <w:dstrike w:val="0"/>
          <w:sz w:val="30"/>
          <w:szCs w:val="30"/>
          <w:u w:val="none"/>
        </w:rPr>
      </w:pPr>
      <w:r>
        <w:rPr>
          <w:rFonts w:hint="eastAsia" w:ascii="仿宋_GB2312" w:eastAsia="仿宋_GB2312" w:cs="仿宋_GB2312"/>
          <w:i w:val="0"/>
          <w:iCs w:val="0"/>
          <w:strike w:val="0"/>
          <w:dstrike w:val="0"/>
          <w:sz w:val="30"/>
          <w:szCs w:val="30"/>
          <w:u w:val="none"/>
        </w:rPr>
        <w:t>天津市津南区疾病预防控制中心2022年度无机关运行经费。</w:t>
      </w:r>
    </w:p>
    <w:p>
      <w:pPr>
        <w:pStyle w:val="3"/>
        <w:spacing w:before="0" w:after="0" w:line="600" w:lineRule="exact"/>
        <w:ind w:firstLine="600" w:firstLineChars="200"/>
        <w:rPr>
          <w:rFonts w:ascii="黑体" w:hAnsi="黑体" w:eastAsia="黑体"/>
          <w:b w:val="0"/>
          <w:i w:val="0"/>
          <w:iCs w:val="0"/>
          <w:strike w:val="0"/>
          <w:dstrike w:val="0"/>
          <w:sz w:val="30"/>
          <w:szCs w:val="30"/>
          <w:u w:val="none"/>
        </w:rPr>
      </w:pPr>
      <w:bookmarkStart w:id="27" w:name="_Toc31102"/>
      <w:r>
        <w:rPr>
          <w:rFonts w:hint="eastAsia" w:ascii="黑体" w:hAnsi="黑体" w:eastAsia="黑体"/>
          <w:b w:val="0"/>
          <w:i w:val="0"/>
          <w:iCs w:val="0"/>
          <w:strike w:val="0"/>
          <w:dstrike w:val="0"/>
          <w:sz w:val="30"/>
          <w:szCs w:val="30"/>
          <w:u w:val="none"/>
        </w:rPr>
        <w:t>十一、</w:t>
      </w:r>
      <w:r>
        <w:rPr>
          <w:rFonts w:ascii="黑体" w:hAnsi="黑体" w:eastAsia="黑体"/>
          <w:b w:val="0"/>
          <w:i w:val="0"/>
          <w:iCs w:val="0"/>
          <w:strike w:val="0"/>
          <w:dstrike w:val="0"/>
          <w:sz w:val="30"/>
          <w:szCs w:val="30"/>
          <w:u w:val="none"/>
        </w:rPr>
        <w:t>政府采购</w:t>
      </w:r>
      <w:r>
        <w:rPr>
          <w:rFonts w:hint="eastAsia" w:ascii="黑体" w:hAnsi="黑体" w:eastAsia="黑体"/>
          <w:b w:val="0"/>
          <w:i w:val="0"/>
          <w:iCs w:val="0"/>
          <w:strike w:val="0"/>
          <w:dstrike w:val="0"/>
          <w:sz w:val="30"/>
          <w:szCs w:val="30"/>
          <w:u w:val="none"/>
        </w:rPr>
        <w:t>支出</w:t>
      </w:r>
      <w:r>
        <w:rPr>
          <w:rFonts w:ascii="黑体" w:hAnsi="黑体" w:eastAsia="黑体"/>
          <w:b w:val="0"/>
          <w:i w:val="0"/>
          <w:iCs w:val="0"/>
          <w:strike w:val="0"/>
          <w:dstrike w:val="0"/>
          <w:sz w:val="30"/>
          <w:szCs w:val="30"/>
          <w:u w:val="none"/>
        </w:rPr>
        <w:t>情况</w:t>
      </w:r>
      <w:r>
        <w:rPr>
          <w:rFonts w:hint="eastAsia" w:ascii="黑体" w:hAnsi="黑体" w:eastAsia="黑体"/>
          <w:b w:val="0"/>
          <w:bCs w:val="0"/>
          <w:i w:val="0"/>
          <w:iCs w:val="0"/>
          <w:strike w:val="0"/>
          <w:dstrike w:val="0"/>
          <w:sz w:val="30"/>
          <w:szCs w:val="30"/>
          <w:u w:val="none"/>
        </w:rPr>
        <w:t>说明</w:t>
      </w:r>
      <w:bookmarkEnd w:id="27"/>
    </w:p>
    <w:p>
      <w:pPr>
        <w:spacing w:line="600" w:lineRule="exact"/>
        <w:ind w:firstLine="645"/>
        <w:jc w:val="both"/>
        <w:rPr>
          <w:rFonts w:ascii="仿宋_GB2312" w:eastAsia="仿宋_GB2312" w:cs="仿宋_GB2312"/>
          <w:i w:val="0"/>
          <w:iCs w:val="0"/>
          <w:strike w:val="0"/>
          <w:dstrike w:val="0"/>
          <w:sz w:val="30"/>
          <w:szCs w:val="30"/>
          <w:u w:val="none"/>
        </w:rPr>
      </w:pPr>
      <w:r>
        <w:rPr>
          <w:rFonts w:hint="eastAsia" w:ascii="仿宋_GB2312" w:eastAsia="仿宋_GB2312" w:cs="仿宋_GB2312"/>
          <w:i w:val="0"/>
          <w:iCs w:val="0"/>
          <w:strike w:val="0"/>
          <w:dstrike w:val="0"/>
          <w:sz w:val="30"/>
          <w:szCs w:val="30"/>
          <w:u w:val="none"/>
        </w:rPr>
        <w:t>天津市津南区疾病预防控制中心2022年政府采购支出总额203914.00元，其中：政府采购货物支出203914.00元、政府采购工程支出0.00元、政府采购服务支出0.00元。授予中小企业合同金额203914.00元，占政府采购支出总额的100.00%，其中：授予小微企业合同金额203914.00元，占政府采购支出总额的100.00%；货物采购授予中小企业合同金额占货物支出金额的</w:t>
      </w:r>
      <w:r>
        <w:rPr>
          <w:rFonts w:hint="eastAsia" w:ascii="仿宋_GB2312" w:eastAsia="仿宋_GB2312" w:cs="仿宋_GB2312"/>
          <w:i w:val="0"/>
          <w:iCs w:val="0"/>
          <w:strike w:val="0"/>
          <w:dstrike w:val="0"/>
          <w:sz w:val="30"/>
          <w:szCs w:val="30"/>
          <w:u w:val="none"/>
          <w:lang w:val="en-US" w:eastAsia="zh-CN"/>
        </w:rPr>
        <w:t>100.00</w:t>
      </w:r>
      <w:r>
        <w:rPr>
          <w:rFonts w:hint="eastAsia" w:ascii="仿宋_GB2312" w:eastAsia="仿宋_GB2312" w:cs="仿宋_GB2312"/>
          <w:i w:val="0"/>
          <w:iCs w:val="0"/>
          <w:strike w:val="0"/>
          <w:dstrike w:val="0"/>
          <w:sz w:val="30"/>
          <w:szCs w:val="30"/>
          <w:u w:val="none"/>
        </w:rPr>
        <w:t>%，工程采购授予中小企业合同金额占工程支出金额的0.00%，服务采购授予中小企业合同金额占服务支出金额的0.00%。</w:t>
      </w:r>
    </w:p>
    <w:p>
      <w:pPr>
        <w:pStyle w:val="3"/>
        <w:spacing w:before="0" w:after="0" w:line="600" w:lineRule="exact"/>
        <w:ind w:firstLine="600" w:firstLineChars="200"/>
        <w:rPr>
          <w:rFonts w:ascii="黑体" w:hAnsi="黑体" w:eastAsia="黑体"/>
          <w:b w:val="0"/>
          <w:i w:val="0"/>
          <w:iCs w:val="0"/>
          <w:strike w:val="0"/>
          <w:dstrike w:val="0"/>
          <w:sz w:val="30"/>
          <w:szCs w:val="30"/>
          <w:u w:val="none"/>
        </w:rPr>
      </w:pPr>
      <w:bookmarkStart w:id="28" w:name="_Toc23709"/>
      <w:r>
        <w:rPr>
          <w:rFonts w:hint="eastAsia" w:ascii="黑体" w:hAnsi="黑体" w:eastAsia="黑体"/>
          <w:b w:val="0"/>
          <w:i w:val="0"/>
          <w:iCs w:val="0"/>
          <w:strike w:val="0"/>
          <w:dstrike w:val="0"/>
          <w:sz w:val="30"/>
          <w:szCs w:val="30"/>
          <w:u w:val="none"/>
        </w:rPr>
        <w:t>十二、国有资产占有使用情况</w:t>
      </w:r>
      <w:r>
        <w:rPr>
          <w:rFonts w:hint="eastAsia" w:ascii="黑体" w:hAnsi="黑体" w:eastAsia="黑体"/>
          <w:b w:val="0"/>
          <w:bCs w:val="0"/>
          <w:i w:val="0"/>
          <w:iCs w:val="0"/>
          <w:strike w:val="0"/>
          <w:dstrike w:val="0"/>
          <w:sz w:val="30"/>
          <w:szCs w:val="30"/>
          <w:u w:val="none"/>
        </w:rPr>
        <w:t>说明</w:t>
      </w:r>
      <w:bookmarkEnd w:id="28"/>
    </w:p>
    <w:p>
      <w:pPr>
        <w:spacing w:line="600" w:lineRule="exact"/>
        <w:ind w:firstLine="645"/>
        <w:jc w:val="both"/>
        <w:rPr>
          <w:rFonts w:ascii="仿宋_GB2312" w:eastAsia="仿宋_GB2312" w:cs="仿宋_GB2312"/>
          <w:i w:val="0"/>
          <w:iCs w:val="0"/>
          <w:strike w:val="0"/>
          <w:dstrike w:val="0"/>
          <w:sz w:val="30"/>
          <w:szCs w:val="30"/>
          <w:u w:val="none"/>
        </w:rPr>
      </w:pPr>
      <w:r>
        <w:rPr>
          <w:rFonts w:hint="eastAsia" w:ascii="仿宋_GB2312" w:eastAsia="仿宋_GB2312" w:cs="仿宋_GB2312"/>
          <w:i w:val="0"/>
          <w:iCs w:val="0"/>
          <w:strike w:val="0"/>
          <w:dstrike w:val="0"/>
          <w:sz w:val="30"/>
          <w:szCs w:val="30"/>
          <w:u w:val="none"/>
        </w:rPr>
        <w:t>截至2022年12月31日，天津市津南区疾病预防控制中心共有车辆5辆，其中：副部（省）级及以上领导用车</w:t>
      </w:r>
      <w:r>
        <w:rPr>
          <w:rFonts w:hint="eastAsia" w:ascii="仿宋_GB2312" w:eastAsia="仿宋_GB2312" w:cs="仿宋_GB2312"/>
          <w:i w:val="0"/>
          <w:iCs w:val="0"/>
          <w:strike w:val="0"/>
          <w:dstrike w:val="0"/>
          <w:sz w:val="30"/>
          <w:szCs w:val="30"/>
          <w:u w:val="none"/>
          <w:lang w:val="en-US" w:eastAsia="zh-CN"/>
        </w:rPr>
        <w:t>0</w:t>
      </w:r>
      <w:r>
        <w:rPr>
          <w:rFonts w:hint="eastAsia" w:ascii="仿宋_GB2312" w:eastAsia="仿宋_GB2312" w:cs="仿宋_GB2312"/>
          <w:i w:val="0"/>
          <w:iCs w:val="0"/>
          <w:strike w:val="0"/>
          <w:dstrike w:val="0"/>
          <w:sz w:val="30"/>
          <w:szCs w:val="30"/>
          <w:u w:val="none"/>
        </w:rPr>
        <w:t>辆、主要领导干部用车0辆、机要通信车0辆、应急保障用车0辆、执法执勤用车0辆、特种专业技术用车0辆、离退休干部用车0辆、其他用车5辆，其他用车主要包括</w:t>
      </w:r>
      <w:r>
        <w:rPr>
          <w:rFonts w:hint="eastAsia" w:ascii="仿宋_GB2312" w:eastAsia="仿宋_GB2312" w:cs="仿宋_GB2312"/>
          <w:i w:val="0"/>
          <w:iCs w:val="0"/>
          <w:strike w:val="0"/>
          <w:dstrike w:val="0"/>
          <w:sz w:val="30"/>
          <w:szCs w:val="30"/>
          <w:u w:val="none"/>
          <w:lang w:eastAsia="zh-CN"/>
        </w:rPr>
        <w:t>业务用车</w:t>
      </w:r>
      <w:r>
        <w:rPr>
          <w:rFonts w:hint="eastAsia" w:ascii="仿宋_GB2312" w:eastAsia="仿宋_GB2312" w:cs="仿宋_GB2312"/>
          <w:i w:val="0"/>
          <w:iCs w:val="0"/>
          <w:strike w:val="0"/>
          <w:dstrike w:val="0"/>
          <w:sz w:val="30"/>
          <w:szCs w:val="30"/>
          <w:u w:val="none"/>
        </w:rPr>
        <w:t>。单价100万元以上的专用设备3台（套）。</w:t>
      </w:r>
    </w:p>
    <w:p>
      <w:pPr>
        <w:pStyle w:val="3"/>
        <w:spacing w:before="0" w:after="0" w:line="540" w:lineRule="exact"/>
        <w:ind w:firstLine="600" w:firstLineChars="200"/>
        <w:rPr>
          <w:rFonts w:ascii="黑体" w:hAnsi="黑体" w:eastAsia="黑体"/>
          <w:b w:val="0"/>
          <w:bCs w:val="0"/>
          <w:i w:val="0"/>
          <w:iCs w:val="0"/>
          <w:strike w:val="0"/>
          <w:dstrike w:val="0"/>
          <w:sz w:val="30"/>
          <w:szCs w:val="30"/>
          <w:u w:val="none"/>
        </w:rPr>
      </w:pPr>
      <w:bookmarkStart w:id="29" w:name="_Toc11467"/>
      <w:r>
        <w:rPr>
          <w:rFonts w:hint="eastAsia" w:ascii="黑体" w:hAnsi="黑体" w:eastAsia="黑体"/>
          <w:b w:val="0"/>
          <w:bCs w:val="0"/>
          <w:i w:val="0"/>
          <w:iCs w:val="0"/>
          <w:strike w:val="0"/>
          <w:dstrike w:val="0"/>
          <w:sz w:val="30"/>
          <w:szCs w:val="30"/>
          <w:u w:val="none"/>
        </w:rPr>
        <w:t>十三、预算绩效情况说明</w:t>
      </w:r>
      <w:bookmarkEnd w:id="29"/>
    </w:p>
    <w:p>
      <w:pPr>
        <w:spacing w:line="600" w:lineRule="exact"/>
        <w:ind w:firstLine="600" w:firstLineChars="200"/>
        <w:jc w:val="both"/>
        <w:rPr>
          <w:rFonts w:hint="eastAsia" w:ascii="仿宋_GB2312" w:hAnsi="仿宋_GB2312" w:eastAsia="仿宋_GB2312" w:cs="仿宋_GB2312"/>
          <w:i w:val="0"/>
          <w:iCs w:val="0"/>
          <w:strike w:val="0"/>
          <w:dstrike w:val="0"/>
          <w:sz w:val="30"/>
          <w:szCs w:val="30"/>
          <w:u w:val="none"/>
        </w:rPr>
      </w:pPr>
      <w:r>
        <w:rPr>
          <w:rFonts w:hint="eastAsia" w:ascii="仿宋_GB2312" w:hAnsi="仿宋_GB2312" w:eastAsia="仿宋_GB2312" w:cs="仿宋_GB2312"/>
          <w:i w:val="0"/>
          <w:iCs w:val="0"/>
          <w:strike w:val="0"/>
          <w:dstrike w:val="0"/>
          <w:sz w:val="30"/>
          <w:szCs w:val="30"/>
          <w:u w:val="none"/>
        </w:rPr>
        <w:t>根据预算绩效管理要求，天津市津南区疾病预防控制中心2022年度已对</w:t>
      </w:r>
      <w:r>
        <w:rPr>
          <w:rFonts w:hint="eastAsia" w:ascii="仿宋_GB2312" w:hAnsi="仿宋_GB2312" w:eastAsia="仿宋_GB2312" w:cs="仿宋_GB2312"/>
          <w:i w:val="0"/>
          <w:iCs w:val="0"/>
          <w:strike w:val="0"/>
          <w:dstrike w:val="0"/>
          <w:sz w:val="30"/>
          <w:szCs w:val="30"/>
          <w:u w:val="none"/>
          <w:lang w:val="en"/>
        </w:rPr>
        <w:t>7</w:t>
      </w:r>
      <w:r>
        <w:rPr>
          <w:rFonts w:hint="eastAsia" w:ascii="仿宋_GB2312" w:hAnsi="仿宋_GB2312" w:eastAsia="仿宋_GB2312" w:cs="仿宋_GB2312"/>
          <w:i w:val="0"/>
          <w:iCs w:val="0"/>
          <w:strike w:val="0"/>
          <w:dstrike w:val="0"/>
          <w:sz w:val="30"/>
          <w:szCs w:val="30"/>
          <w:u w:val="none"/>
        </w:rPr>
        <w:t>个区级项目开展绩效自评，涉及金额</w:t>
      </w:r>
      <w:r>
        <w:rPr>
          <w:rFonts w:hint="eastAsia" w:ascii="仿宋_GB2312" w:hAnsi="仿宋_GB2312" w:eastAsia="仿宋_GB2312" w:cs="仿宋_GB2312"/>
          <w:i w:val="0"/>
          <w:iCs w:val="0"/>
          <w:strike w:val="0"/>
          <w:dstrike w:val="0"/>
          <w:sz w:val="30"/>
          <w:szCs w:val="30"/>
          <w:u w:val="none"/>
          <w:lang w:val="en-US" w:eastAsia="zh-CN"/>
        </w:rPr>
        <w:t>40472600</w:t>
      </w:r>
      <w:r>
        <w:rPr>
          <w:rFonts w:hint="eastAsia" w:ascii="仿宋_GB2312" w:hAnsi="仿宋_GB2312" w:eastAsia="仿宋_GB2312" w:cs="仿宋_GB2312"/>
          <w:i w:val="0"/>
          <w:iCs w:val="0"/>
          <w:strike w:val="0"/>
          <w:dstrike w:val="0"/>
          <w:sz w:val="30"/>
          <w:szCs w:val="30"/>
          <w:u w:val="none"/>
        </w:rPr>
        <w:t>元，自评结果已随部门决算一并公开。</w:t>
      </w:r>
    </w:p>
    <w:p>
      <w:pPr>
        <w:pStyle w:val="3"/>
        <w:spacing w:before="0" w:after="0" w:line="600" w:lineRule="exact"/>
        <w:ind w:firstLine="600" w:firstLineChars="200"/>
        <w:rPr>
          <w:rFonts w:ascii="Times New Roman" w:hAnsi="Times New Roman" w:eastAsia="黑体"/>
          <w:b w:val="0"/>
          <w:i w:val="0"/>
          <w:iCs w:val="0"/>
          <w:strike w:val="0"/>
          <w:dstrike w:val="0"/>
          <w:sz w:val="30"/>
          <w:szCs w:val="30"/>
          <w:u w:val="none"/>
        </w:rPr>
      </w:pPr>
      <w:bookmarkStart w:id="30" w:name="_Toc15949"/>
      <w:r>
        <w:rPr>
          <w:rFonts w:hint="eastAsia" w:ascii="Times New Roman" w:hAnsi="Times New Roman" w:eastAsia="黑体"/>
          <w:b w:val="0"/>
          <w:i w:val="0"/>
          <w:iCs w:val="0"/>
          <w:strike w:val="0"/>
          <w:dstrike w:val="0"/>
          <w:sz w:val="30"/>
          <w:szCs w:val="30"/>
          <w:u w:val="none"/>
        </w:rPr>
        <w:t>十四、</w:t>
      </w:r>
      <w:r>
        <w:rPr>
          <w:rFonts w:ascii="Times New Roman" w:hAnsi="Times New Roman" w:eastAsia="黑体"/>
          <w:b w:val="0"/>
          <w:i w:val="0"/>
          <w:iCs w:val="0"/>
          <w:strike w:val="0"/>
          <w:dstrike w:val="0"/>
          <w:sz w:val="30"/>
          <w:szCs w:val="30"/>
          <w:u w:val="none"/>
        </w:rPr>
        <w:t>教育、医疗卫生、社会保障和就业、住房保障、涉农补贴等民生支出情况</w:t>
      </w:r>
      <w:r>
        <w:rPr>
          <w:rFonts w:hint="eastAsia" w:ascii="黑体" w:hAnsi="黑体" w:eastAsia="黑体"/>
          <w:b w:val="0"/>
          <w:bCs w:val="0"/>
          <w:i w:val="0"/>
          <w:iCs w:val="0"/>
          <w:strike w:val="0"/>
          <w:dstrike w:val="0"/>
          <w:sz w:val="30"/>
          <w:szCs w:val="30"/>
          <w:u w:val="none"/>
        </w:rPr>
        <w:t>说明</w:t>
      </w:r>
      <w:bookmarkEnd w:id="30"/>
    </w:p>
    <w:p>
      <w:pPr>
        <w:spacing w:line="600" w:lineRule="exact"/>
        <w:ind w:firstLine="645"/>
        <w:jc w:val="both"/>
        <w:rPr>
          <w:rFonts w:ascii="仿宋_GB2312" w:eastAsia="仿宋_GB2312" w:cs="仿宋_GB2312"/>
          <w:i w:val="0"/>
          <w:iCs w:val="0"/>
          <w:strike w:val="0"/>
          <w:dstrike w:val="0"/>
          <w:sz w:val="30"/>
          <w:szCs w:val="30"/>
          <w:u w:val="none"/>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i w:val="0"/>
          <w:iCs w:val="0"/>
          <w:strike w:val="0"/>
          <w:dstrike w:val="0"/>
          <w:sz w:val="30"/>
          <w:szCs w:val="30"/>
          <w:u w:val="none"/>
        </w:rPr>
        <w:t>天津市津南区疾病预防控制中心不属于乡、镇、街级单位，不涉及公开2022年度教育、医疗卫生、社会保障和就业、住房保障、涉农补贴等民生支出情况。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CAZkJBYCAAAZBAAADgAAAAAAAAABACAAAAA1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MgtGFA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LEyC0YUAgAAGQQAAA4AAAAAAAAAAQAgAAAANQEAAGRycy9lMm9Eb2MueG1sUEsFBgAAAAAGAAYA&#10;WQEAALs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xMTM1OWM0OTNhZDFiZGY4YTJiZjNjNGMzYWJjNmM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2A1C"/>
    <w:rsid w:val="00464079"/>
    <w:rsid w:val="00465602"/>
    <w:rsid w:val="004918AD"/>
    <w:rsid w:val="004A1361"/>
    <w:rsid w:val="0050332F"/>
    <w:rsid w:val="00532C4C"/>
    <w:rsid w:val="005429F9"/>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21D09AE"/>
    <w:rsid w:val="02317CA1"/>
    <w:rsid w:val="02C26D17"/>
    <w:rsid w:val="02FE5403"/>
    <w:rsid w:val="032B2B72"/>
    <w:rsid w:val="03633F1C"/>
    <w:rsid w:val="03877CF5"/>
    <w:rsid w:val="03971CD2"/>
    <w:rsid w:val="03997587"/>
    <w:rsid w:val="03A73B20"/>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011BA1"/>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1D0AF6"/>
    <w:rsid w:val="18E12A26"/>
    <w:rsid w:val="1A2F34CF"/>
    <w:rsid w:val="1B0B6786"/>
    <w:rsid w:val="1B5573F6"/>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C3B01C9"/>
    <w:rsid w:val="2CB024EC"/>
    <w:rsid w:val="2D2B1A30"/>
    <w:rsid w:val="2D5BB7F4"/>
    <w:rsid w:val="2DA87FE3"/>
    <w:rsid w:val="2DAB1C1C"/>
    <w:rsid w:val="2E0C36F2"/>
    <w:rsid w:val="2E6455AA"/>
    <w:rsid w:val="2E6E5875"/>
    <w:rsid w:val="2EAA1E45"/>
    <w:rsid w:val="2EBA2F30"/>
    <w:rsid w:val="2F8573F4"/>
    <w:rsid w:val="2FFC60D8"/>
    <w:rsid w:val="2FFD4B55"/>
    <w:rsid w:val="31F32BCC"/>
    <w:rsid w:val="322D5537"/>
    <w:rsid w:val="32500429"/>
    <w:rsid w:val="32B00783"/>
    <w:rsid w:val="33987EA4"/>
    <w:rsid w:val="33E55770"/>
    <w:rsid w:val="342060B3"/>
    <w:rsid w:val="343041E9"/>
    <w:rsid w:val="343E2C5A"/>
    <w:rsid w:val="34E404B6"/>
    <w:rsid w:val="353874A5"/>
    <w:rsid w:val="356C4B0F"/>
    <w:rsid w:val="357756D0"/>
    <w:rsid w:val="35F83418"/>
    <w:rsid w:val="35FA3DA7"/>
    <w:rsid w:val="36433E0B"/>
    <w:rsid w:val="3685618C"/>
    <w:rsid w:val="369B027F"/>
    <w:rsid w:val="36DF7E92"/>
    <w:rsid w:val="37210A48"/>
    <w:rsid w:val="37C605ED"/>
    <w:rsid w:val="37EC07D4"/>
    <w:rsid w:val="39054161"/>
    <w:rsid w:val="395157DA"/>
    <w:rsid w:val="39D81DB4"/>
    <w:rsid w:val="39DD1F63"/>
    <w:rsid w:val="3A875795"/>
    <w:rsid w:val="3B3A6848"/>
    <w:rsid w:val="3B5C22DF"/>
    <w:rsid w:val="3BFF430A"/>
    <w:rsid w:val="3C7702D9"/>
    <w:rsid w:val="3C822FFF"/>
    <w:rsid w:val="3C987755"/>
    <w:rsid w:val="3D1712DB"/>
    <w:rsid w:val="3D6E4CFB"/>
    <w:rsid w:val="3DB948D9"/>
    <w:rsid w:val="3DED19CC"/>
    <w:rsid w:val="3E551C1D"/>
    <w:rsid w:val="3E6D1878"/>
    <w:rsid w:val="3EAA16DD"/>
    <w:rsid w:val="3EE7006C"/>
    <w:rsid w:val="3F043070"/>
    <w:rsid w:val="3F397145"/>
    <w:rsid w:val="419141BF"/>
    <w:rsid w:val="41C515FE"/>
    <w:rsid w:val="41F26234"/>
    <w:rsid w:val="42955F29"/>
    <w:rsid w:val="42C52D12"/>
    <w:rsid w:val="42EA0B90"/>
    <w:rsid w:val="436E1D48"/>
    <w:rsid w:val="442221E6"/>
    <w:rsid w:val="44FC0AD9"/>
    <w:rsid w:val="45C66F5A"/>
    <w:rsid w:val="464311BD"/>
    <w:rsid w:val="46762869"/>
    <w:rsid w:val="46800ECA"/>
    <w:rsid w:val="46D65DFF"/>
    <w:rsid w:val="46ED43C8"/>
    <w:rsid w:val="47655748"/>
    <w:rsid w:val="481F5D29"/>
    <w:rsid w:val="485B08F6"/>
    <w:rsid w:val="48E65506"/>
    <w:rsid w:val="49A95325"/>
    <w:rsid w:val="49C60D15"/>
    <w:rsid w:val="49EE18E7"/>
    <w:rsid w:val="4C72500A"/>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D72BF4"/>
    <w:rsid w:val="54F6709D"/>
    <w:rsid w:val="566138B1"/>
    <w:rsid w:val="56832AE6"/>
    <w:rsid w:val="56F540E8"/>
    <w:rsid w:val="576B6402"/>
    <w:rsid w:val="57814C22"/>
    <w:rsid w:val="579303E0"/>
    <w:rsid w:val="57BD125F"/>
    <w:rsid w:val="57DB4D69"/>
    <w:rsid w:val="58CB2B06"/>
    <w:rsid w:val="59005937"/>
    <w:rsid w:val="596D5572"/>
    <w:rsid w:val="59DC23BD"/>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E56E86"/>
    <w:rsid w:val="621870FC"/>
    <w:rsid w:val="62DA2A3D"/>
    <w:rsid w:val="637B3A8F"/>
    <w:rsid w:val="63A65E89"/>
    <w:rsid w:val="65001203"/>
    <w:rsid w:val="65737FA2"/>
    <w:rsid w:val="65D920E1"/>
    <w:rsid w:val="65D9655D"/>
    <w:rsid w:val="6637149C"/>
    <w:rsid w:val="6656630C"/>
    <w:rsid w:val="66EC0C69"/>
    <w:rsid w:val="67AD24B8"/>
    <w:rsid w:val="67F5DAB5"/>
    <w:rsid w:val="67FB8E19"/>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9931E1"/>
    <w:rsid w:val="7240055A"/>
    <w:rsid w:val="728E0BA0"/>
    <w:rsid w:val="73134A0E"/>
    <w:rsid w:val="736064A7"/>
    <w:rsid w:val="736159D6"/>
    <w:rsid w:val="73F71039"/>
    <w:rsid w:val="73F91498"/>
    <w:rsid w:val="74D5337C"/>
    <w:rsid w:val="74D975E2"/>
    <w:rsid w:val="756B7D6A"/>
    <w:rsid w:val="757C417D"/>
    <w:rsid w:val="759455DB"/>
    <w:rsid w:val="75D160D9"/>
    <w:rsid w:val="762914BB"/>
    <w:rsid w:val="76685F07"/>
    <w:rsid w:val="773A73AB"/>
    <w:rsid w:val="775767BB"/>
    <w:rsid w:val="7779068F"/>
    <w:rsid w:val="77B92148"/>
    <w:rsid w:val="77FFE39F"/>
    <w:rsid w:val="781B1736"/>
    <w:rsid w:val="78F051A8"/>
    <w:rsid w:val="79EF18A6"/>
    <w:rsid w:val="7A903B21"/>
    <w:rsid w:val="7AC3080E"/>
    <w:rsid w:val="7CF2196B"/>
    <w:rsid w:val="7D2E7430"/>
    <w:rsid w:val="7D993EC8"/>
    <w:rsid w:val="7D9A013D"/>
    <w:rsid w:val="7E9160CF"/>
    <w:rsid w:val="7EC677D3"/>
    <w:rsid w:val="7FDC2489"/>
    <w:rsid w:val="7FFDEEFD"/>
    <w:rsid w:val="B05F77AA"/>
    <w:rsid w:val="BBFEB28B"/>
    <w:rsid w:val="D74FDF30"/>
    <w:rsid w:val="DEAEE68D"/>
    <w:rsid w:val="DFFF24A8"/>
    <w:rsid w:val="F7F97754"/>
    <w:rsid w:val="FB7FC3E7"/>
    <w:rsid w:val="FDEE6F10"/>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4942</Words>
  <Characters>5804</Characters>
  <Lines>54</Lines>
  <Paragraphs>15</Paragraphs>
  <TotalTime>5</TotalTime>
  <ScaleCrop>false</ScaleCrop>
  <LinksUpToDate>false</LinksUpToDate>
  <CharactersWithSpaces>5942</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2019-07-29T18:37:00Z</dcterms:created>
  <dc:creator>Administrator</dc:creator>
  <cp:lastModifiedBy>greatwall</cp:lastModifiedBy>
  <cp:lastPrinted>2012-09-21T06:00:00Z</cp:lastPrinted>
  <dcterms:modified xsi:type="dcterms:W3CDTF">2023-08-29T10:52:26Z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90D74AD8847844C8B6B3F08FF3278CF3_13</vt:lpwstr>
  </property>
</Properties>
</file>