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天津市津南区双港镇卫生院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pStyle w:val="3"/>
        <w:spacing w:line="600" w:lineRule="exact"/>
        <w:ind w:firstLine="600" w:firstLineChars="200"/>
        <w:rPr>
          <w:rFonts w:hint="eastAsia" w:ascii="仿宋_GB2312" w:hAnsi="仿宋_GB2312" w:eastAsia="仿宋_GB2312"/>
          <w:b w:val="0"/>
          <w:bCs w:val="0"/>
          <w:color w:val="auto"/>
          <w:sz w:val="30"/>
          <w:szCs w:val="24"/>
          <w:lang w:val="en-US" w:eastAsia="zh-CN"/>
        </w:rPr>
      </w:pPr>
      <w:bookmarkStart w:id="2" w:name="_Toc17388"/>
      <w:r>
        <w:rPr>
          <w:rFonts w:hint="eastAsia" w:ascii="仿宋_GB2312" w:hAnsi="仿宋_GB2312" w:eastAsia="仿宋_GB2312"/>
          <w:b w:val="0"/>
          <w:bCs w:val="0"/>
          <w:color w:val="auto"/>
          <w:sz w:val="30"/>
          <w:szCs w:val="24"/>
          <w:lang w:val="zh-CN"/>
        </w:rPr>
        <w:t>天津市津南区</w:t>
      </w:r>
      <w:r>
        <w:rPr>
          <w:rFonts w:hint="eastAsia" w:ascii="仿宋_GB2312" w:hAnsi="仿宋_GB2312" w:eastAsia="仿宋_GB2312"/>
          <w:b w:val="0"/>
          <w:bCs w:val="0"/>
          <w:color w:val="auto"/>
          <w:sz w:val="30"/>
          <w:szCs w:val="24"/>
          <w:lang w:val="en-US" w:eastAsia="zh-CN"/>
        </w:rPr>
        <w:t>双港镇卫生院的主要职责是为人民身体健康提供医疗与预防保健服务。</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天津市津南区双港镇卫生院部门</w:t>
      </w:r>
      <w:r>
        <w:rPr>
          <w:rFonts w:eastAsia="仿宋_GB2312"/>
          <w:sz w:val="30"/>
          <w:szCs w:val="30"/>
        </w:rPr>
        <w:t>内设</w:t>
      </w:r>
      <w:r>
        <w:rPr>
          <w:rFonts w:hint="eastAsia" w:eastAsia="仿宋_GB2312"/>
          <w:sz w:val="30"/>
          <w:szCs w:val="30"/>
          <w:u w:val="none"/>
          <w:lang w:val="en-US" w:eastAsia="zh-CN"/>
        </w:rPr>
        <w:t>28</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天津市津南区双港镇卫生院2022年度政府性基金预算财政拨款收入支出决算表为空表。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天津市津南区双港镇卫生院2022年度国有资本经营预算财政拨款收入支出决算表为空表。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天津市津南区双港镇卫生院2022年度一般公共预算财政拨款“三公”经费支出决算表为空表。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天津市津南区双港镇卫生院</w:t>
      </w:r>
      <w:r>
        <w:rPr>
          <w:rFonts w:hint="eastAsia" w:eastAsia="楷体"/>
          <w:sz w:val="30"/>
          <w:szCs w:val="30"/>
        </w:rPr>
        <w:t>2022</w:t>
      </w:r>
      <w:r>
        <w:rPr>
          <w:rFonts w:hint="eastAsia" w:ascii="仿宋_GB2312" w:eastAsia="仿宋_GB2312" w:cs="仿宋_GB2312"/>
          <w:sz w:val="30"/>
          <w:szCs w:val="30"/>
        </w:rPr>
        <w:t>年度收入、支出决算总计55122784.97元。与2021年度相比，收、支总计各减少8494370.26元，下降13.35%，主要原因是</w:t>
      </w:r>
      <w:r>
        <w:rPr>
          <w:rFonts w:hint="eastAsia" w:eastAsia="仿宋_GB2312"/>
          <w:sz w:val="30"/>
          <w:szCs w:val="30"/>
          <w:u w:val="none"/>
          <w:lang w:val="en-US" w:eastAsia="zh-CN"/>
        </w:rPr>
        <w:t>2022年因受新冠疫情影响，我单位承担了全镇百余次的大筛任务，因人员不足遇大筛需大部分科室停诊，因此医疗收入与支出收到了影响，进而影响了全年总体的收入与支出</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天津市津南区双港镇卫生院</w:t>
      </w:r>
      <w:r>
        <w:rPr>
          <w:rFonts w:hint="eastAsia" w:eastAsia="楷体"/>
          <w:sz w:val="30"/>
          <w:szCs w:val="30"/>
        </w:rPr>
        <w:t>2022</w:t>
      </w:r>
      <w:r>
        <w:rPr>
          <w:rFonts w:hint="eastAsia" w:ascii="仿宋_GB2312" w:eastAsia="仿宋_GB2312" w:cs="仿宋_GB2312"/>
          <w:sz w:val="30"/>
          <w:szCs w:val="30"/>
        </w:rPr>
        <w:t>年度本年收入合计55122784.97元，与2021年度相比减少8454503.09元，主要原因是</w:t>
      </w:r>
      <w:r>
        <w:rPr>
          <w:rFonts w:hint="eastAsia" w:eastAsia="仿宋_GB2312"/>
          <w:sz w:val="30"/>
          <w:szCs w:val="30"/>
          <w:u w:val="none"/>
          <w:lang w:val="en-US" w:eastAsia="zh-CN"/>
        </w:rPr>
        <w:t>2022年因受新冠疫情影响，我单位承担了全镇百余次的大筛任务，因人员不足遇大筛需大部分科室停诊，因此医疗收入收到了影响，进而影响了全年总体的收入</w:t>
      </w:r>
      <w:r>
        <w:rPr>
          <w:rFonts w:hint="eastAsia" w:eastAsia="仿宋_GB2312"/>
          <w:sz w:val="30"/>
          <w:szCs w:val="30"/>
        </w:rPr>
        <w:t>。</w:t>
      </w:r>
      <w:r>
        <w:rPr>
          <w:rFonts w:hint="eastAsia" w:ascii="仿宋_GB2312" w:eastAsia="仿宋_GB2312" w:cs="仿宋_GB2312"/>
          <w:sz w:val="30"/>
          <w:szCs w:val="30"/>
        </w:rPr>
        <w:t>其中：一般公共预算财政拨款收入23764749.58元，占43.11%；事业单位经营收入31265244.34元，占56.72%；其他收入92791.05元，占0.17%。</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天津市津南区双港镇卫生院</w:t>
      </w:r>
      <w:r>
        <w:rPr>
          <w:rFonts w:hint="eastAsia" w:eastAsia="楷体"/>
          <w:sz w:val="30"/>
          <w:szCs w:val="30"/>
        </w:rPr>
        <w:t>2022</w:t>
      </w:r>
      <w:r>
        <w:rPr>
          <w:rFonts w:hint="eastAsia" w:ascii="仿宋_GB2312" w:eastAsia="仿宋_GB2312" w:cs="仿宋_GB2312"/>
          <w:sz w:val="30"/>
          <w:szCs w:val="30"/>
        </w:rPr>
        <w:t>年度本年支出合计53454132.93元，与2021年度相比减少1228662.20元，主要原因是</w:t>
      </w:r>
      <w:r>
        <w:rPr>
          <w:rFonts w:hint="eastAsia" w:eastAsia="仿宋_GB2312"/>
          <w:sz w:val="30"/>
          <w:szCs w:val="30"/>
          <w:u w:val="none"/>
          <w:lang w:val="en-US" w:eastAsia="zh-CN"/>
        </w:rPr>
        <w:t>2022年因受新冠疫情影响，我单位承担了全镇百余次的大筛任务，因人员不足遇大筛需大部分科室停诊，因此医疗支出收到了影响，进而影响了全年总体的支出</w:t>
      </w:r>
      <w:r>
        <w:rPr>
          <w:rFonts w:hint="eastAsia" w:eastAsia="仿宋_GB2312"/>
          <w:sz w:val="30"/>
          <w:szCs w:val="30"/>
        </w:rPr>
        <w:t>。</w:t>
      </w:r>
      <w:r>
        <w:rPr>
          <w:rFonts w:hint="eastAsia" w:ascii="仿宋_GB2312" w:eastAsia="仿宋_GB2312" w:cs="仿宋_GB2312"/>
          <w:sz w:val="30"/>
          <w:szCs w:val="30"/>
        </w:rPr>
        <w:t>其中：基本支出41702203.00元，占78.01%；项目支出11751929.93元，占21.99%。</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天津市津南区双港镇卫生院</w:t>
      </w:r>
      <w:r>
        <w:rPr>
          <w:rFonts w:hint="eastAsia" w:eastAsia="楷体"/>
          <w:sz w:val="30"/>
          <w:szCs w:val="30"/>
        </w:rPr>
        <w:t>2022</w:t>
      </w:r>
      <w:r>
        <w:rPr>
          <w:rFonts w:hint="eastAsia" w:ascii="仿宋_GB2312" w:eastAsia="仿宋_GB2312" w:cs="仿宋_GB2312"/>
          <w:sz w:val="30"/>
          <w:szCs w:val="30"/>
        </w:rPr>
        <w:t>年度财政拨款收入、支出决算总计23764749.58元。与2021年度相比，财政拨款收、支总计各增加2865280.58元，增长13.71%，主要原因是</w:t>
      </w:r>
      <w:r>
        <w:rPr>
          <w:rFonts w:hint="eastAsia" w:eastAsia="仿宋_GB2312"/>
          <w:sz w:val="30"/>
          <w:szCs w:val="30"/>
          <w:u w:val="none"/>
          <w:lang w:val="en-US" w:eastAsia="zh-CN"/>
        </w:rPr>
        <w:t>我院承担的项目增多，导致财政项目拨款收支增加；2021年部分调标结转资金在2022年下达，故财政拨款收支增加</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天津市津南区双港镇卫生院</w:t>
      </w:r>
      <w:r>
        <w:rPr>
          <w:rFonts w:hint="eastAsia" w:eastAsia="楷体"/>
          <w:sz w:val="30"/>
          <w:szCs w:val="30"/>
        </w:rPr>
        <w:t>2022</w:t>
      </w:r>
      <w:r>
        <w:rPr>
          <w:rFonts w:hint="eastAsia" w:ascii="仿宋_GB2312" w:eastAsia="仿宋_GB2312" w:cs="仿宋_GB2312"/>
          <w:sz w:val="30"/>
          <w:szCs w:val="30"/>
        </w:rPr>
        <w:t>年度一般公共预算财政拨款支出合计23764749.58元，占本年支出合计的</w:t>
      </w:r>
      <w:r>
        <w:rPr>
          <w:rFonts w:hint="default" w:ascii="仿宋_GB2312" w:eastAsia="仿宋_GB2312" w:cs="仿宋_GB2312"/>
          <w:sz w:val="30"/>
          <w:szCs w:val="30"/>
          <w:lang w:val="en"/>
        </w:rPr>
        <w:t>44.46</w:t>
      </w:r>
      <w:r>
        <w:rPr>
          <w:rFonts w:hint="eastAsia" w:ascii="仿宋_GB2312" w:eastAsia="仿宋_GB2312" w:cs="仿宋_GB2312"/>
          <w:sz w:val="30"/>
          <w:szCs w:val="30"/>
        </w:rPr>
        <w:t>%。与2021年度相比，一般公共预算财政拨款支出增加2865280.58元，增长13.71%，主要原因是</w:t>
      </w:r>
      <w:r>
        <w:rPr>
          <w:rFonts w:hint="eastAsia" w:eastAsia="仿宋_GB2312"/>
          <w:sz w:val="30"/>
          <w:szCs w:val="30"/>
          <w:u w:val="none"/>
          <w:lang w:val="en-US" w:eastAsia="zh-CN"/>
        </w:rPr>
        <w:t>我院承担的项目增多，导致财政项目拨款支出增加；2021年部分调标结转资金也纳入了2022年预算，故财政拨款支出增加</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年度一般公共预算财政拨款支出23764749.58元，主要用于以下方面：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社会保障和就业支出（类）支出1623799.20元，占6.83%；</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卫生健康支出（类）支出21043308.88元，占88.55%；</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援助其他地区支出（类）支出86401.50元，占0.36%；</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住房保障支出（类）支出1011240.00元，占4.26%。</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w:t>
      </w:r>
      <w:r>
        <w:rPr>
          <w:rFonts w:hint="eastAsia" w:ascii="仿宋_GB2312" w:eastAsia="仿宋_GB2312" w:cs="仿宋_GB2312"/>
          <w:sz w:val="30"/>
          <w:szCs w:val="30"/>
          <w:lang w:val="en-US" w:eastAsia="zh-CN"/>
        </w:rPr>
        <w:t>23200280</w:t>
      </w:r>
      <w:r>
        <w:rPr>
          <w:rFonts w:hint="eastAsia" w:ascii="仿宋_GB2312" w:eastAsia="仿宋_GB2312" w:cs="仿宋_GB2312"/>
          <w:sz w:val="30"/>
          <w:szCs w:val="30"/>
        </w:rPr>
        <w:t>元，支出决算为23764749.58元，完成年初预算的1</w:t>
      </w:r>
      <w:r>
        <w:rPr>
          <w:rFonts w:hint="eastAsia" w:ascii="仿宋_GB2312" w:eastAsia="仿宋_GB2312" w:cs="仿宋_GB2312"/>
          <w:sz w:val="30"/>
          <w:szCs w:val="30"/>
          <w:lang w:val="en-US" w:eastAsia="zh-CN"/>
        </w:rPr>
        <w:t>02.43</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社会保障和就业支出（类）行政事业单位养老支出（款）机关事业单位基本养老保险缴费支出（项）年初预算为1082532.72元，支出决算为1082532.72元，完成年初预算数的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社会保障和就业支出（类）行政事业单位养老支出（款）机关事业单位职业年金缴费支出（项）年初预算为541266.48元，支出决算为541266.48元，完成年初预算数的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w:t>
      </w:r>
      <w:r>
        <w:rPr>
          <w:rFonts w:hint="eastAsia" w:ascii="仿宋_GB2312" w:eastAsia="仿宋_GB2312" w:cs="仿宋_GB2312"/>
          <w:sz w:val="30"/>
          <w:szCs w:val="30"/>
          <w:lang w:val="en-US" w:eastAsia="zh-CN"/>
        </w:rPr>
        <w:t>2110696.76</w:t>
      </w:r>
      <w:r>
        <w:rPr>
          <w:rFonts w:hint="eastAsia" w:ascii="仿宋_GB2312" w:eastAsia="仿宋_GB2312" w:cs="仿宋_GB2312"/>
          <w:sz w:val="30"/>
          <w:szCs w:val="30"/>
        </w:rPr>
        <w:t>元，支出决算为1933963.63元，完成年初预算数的</w:t>
      </w:r>
      <w:r>
        <w:rPr>
          <w:rFonts w:hint="eastAsia" w:ascii="仿宋_GB2312" w:eastAsia="仿宋_GB2312" w:cs="仿宋_GB2312"/>
          <w:sz w:val="30"/>
          <w:szCs w:val="30"/>
          <w:lang w:val="en-US" w:eastAsia="zh-CN"/>
        </w:rPr>
        <w:t>91.63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年初计划的桃园村卫生室建设和事业编制人员招聘因受疫情影响未能开展</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卫生健康支出（类）基层医疗卫生机构（款）城市社区卫生机构（项）年初预算为</w:t>
      </w:r>
      <w:r>
        <w:rPr>
          <w:rFonts w:hint="eastAsia" w:ascii="仿宋_GB2312" w:eastAsia="仿宋_GB2312" w:cs="仿宋_GB2312"/>
          <w:sz w:val="30"/>
          <w:szCs w:val="30"/>
          <w:lang w:val="en-US" w:eastAsia="zh-CN"/>
        </w:rPr>
        <w:t>38280</w:t>
      </w:r>
      <w:r>
        <w:rPr>
          <w:rFonts w:hint="eastAsia" w:ascii="仿宋_GB2312" w:eastAsia="仿宋_GB2312" w:cs="仿宋_GB2312"/>
          <w:sz w:val="30"/>
          <w:szCs w:val="30"/>
        </w:rPr>
        <w:t>元，支出决算为605652.00元，完成年初预算数的</w:t>
      </w:r>
      <w:r>
        <w:rPr>
          <w:rFonts w:hint="eastAsia" w:ascii="仿宋_GB2312" w:eastAsia="仿宋_GB2312" w:cs="仿宋_GB2312"/>
          <w:sz w:val="30"/>
          <w:szCs w:val="30"/>
          <w:lang w:val="en-US" w:eastAsia="zh-CN"/>
        </w:rPr>
        <w:t>1582.16</w:t>
      </w:r>
      <w:r>
        <w:rPr>
          <w:rFonts w:hint="eastAsia" w:ascii="仿宋_GB2312" w:eastAsia="仿宋_GB2312" w:cs="仿宋_GB2312"/>
          <w:sz w:val="30"/>
          <w:szCs w:val="30"/>
        </w:rPr>
        <w:t>%，</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此项目为当年中央及市级直达资金未安排年初预算</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eastAsia="仿宋_GB2312" w:cs="仿宋_GB2312"/>
          <w:sz w:val="30"/>
          <w:szCs w:val="30"/>
        </w:rPr>
        <w:t xml:space="preserve">    卫生健康支出（类）基层医疗卫生机构（款）乡镇卫生院（项）年初预算为</w:t>
      </w:r>
      <w:r>
        <w:rPr>
          <w:rFonts w:hint="eastAsia" w:ascii="仿宋_GB2312" w:eastAsia="仿宋_GB2312" w:cs="仿宋_GB2312"/>
          <w:sz w:val="30"/>
          <w:szCs w:val="30"/>
          <w:lang w:val="en-US" w:eastAsia="zh-CN"/>
        </w:rPr>
        <w:t>9051050.2</w:t>
      </w:r>
      <w:r>
        <w:rPr>
          <w:rFonts w:hint="eastAsia" w:ascii="仿宋_GB2312" w:eastAsia="仿宋_GB2312" w:cs="仿宋_GB2312"/>
          <w:sz w:val="30"/>
          <w:szCs w:val="30"/>
        </w:rPr>
        <w:t>元，支出决算为8591773.41元，完成年初预算数的</w:t>
      </w:r>
      <w:r>
        <w:rPr>
          <w:rFonts w:hint="eastAsia" w:ascii="仿宋_GB2312" w:eastAsia="仿宋_GB2312" w:cs="仿宋_GB2312"/>
          <w:sz w:val="30"/>
          <w:szCs w:val="30"/>
          <w:lang w:val="en-US" w:eastAsia="zh-CN"/>
        </w:rPr>
        <w:t>94.93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因收到中央和市级拨付的基本药物制度补助用于发放绩效工资，故年初预算在中期做了预算调减</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卫生健康支出（类）公共卫生（款）基本公共卫生服务（项）年初预算为</w:t>
      </w:r>
      <w:r>
        <w:rPr>
          <w:rFonts w:hint="eastAsia" w:ascii="仿宋_GB2312" w:eastAsia="仿宋_GB2312" w:cs="仿宋_GB2312"/>
          <w:sz w:val="30"/>
          <w:szCs w:val="30"/>
          <w:lang w:val="en-US" w:eastAsia="zh-CN"/>
        </w:rPr>
        <w:t>7945546.8</w:t>
      </w:r>
      <w:r>
        <w:rPr>
          <w:rFonts w:hint="eastAsia" w:ascii="仿宋_GB2312" w:eastAsia="仿宋_GB2312" w:cs="仿宋_GB2312"/>
          <w:sz w:val="30"/>
          <w:szCs w:val="30"/>
        </w:rPr>
        <w:t>元，支出决算为8542336.80元，完成年初预算数的</w:t>
      </w:r>
      <w:r>
        <w:rPr>
          <w:rFonts w:hint="eastAsia" w:ascii="仿宋_GB2312" w:eastAsia="仿宋_GB2312" w:cs="仿宋_GB2312"/>
          <w:sz w:val="30"/>
          <w:szCs w:val="30"/>
          <w:lang w:val="en-US" w:eastAsia="zh-CN"/>
        </w:rPr>
        <w:t>107.51</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部分</w:t>
      </w:r>
      <w:r>
        <w:rPr>
          <w:rFonts w:hint="eastAsia" w:ascii="仿宋_GB2312" w:eastAsia="仿宋_GB2312" w:cs="仿宋_GB2312"/>
          <w:sz w:val="30"/>
          <w:szCs w:val="30"/>
          <w:u w:val="none"/>
          <w:lang w:val="en-US" w:eastAsia="zh-CN"/>
        </w:rPr>
        <w:t>市级和中央直达资金的下达导致决算大于预算</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卫生健康支出（类）公共卫生（款）重大公共卫生服务（项）年初预算为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元，支出决算为129650.00元，</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此项目为当年中央及市级直达资金，未安排年初预算</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卫生健康支出（类）公共卫生（款）其他公共卫生支出（项）年初预算为</w:t>
      </w:r>
      <w:r>
        <w:rPr>
          <w:rFonts w:hint="eastAsia" w:ascii="仿宋_GB2312" w:eastAsia="仿宋_GB2312" w:cs="仿宋_GB2312"/>
          <w:sz w:val="30"/>
          <w:szCs w:val="30"/>
          <w:lang w:val="en-US" w:eastAsia="zh-CN"/>
        </w:rPr>
        <w:t>522000</w:t>
      </w:r>
      <w:r>
        <w:rPr>
          <w:rFonts w:hint="eastAsia" w:ascii="仿宋_GB2312" w:eastAsia="仿宋_GB2312" w:cs="仿宋_GB2312"/>
          <w:sz w:val="30"/>
          <w:szCs w:val="30"/>
        </w:rPr>
        <w:t>元，支出决算为449500.00元，完成年初预算数的</w:t>
      </w:r>
      <w:r>
        <w:rPr>
          <w:rFonts w:hint="eastAsia" w:ascii="仿宋_GB2312" w:eastAsia="仿宋_GB2312" w:cs="仿宋_GB2312"/>
          <w:sz w:val="30"/>
          <w:szCs w:val="30"/>
          <w:lang w:val="en-US" w:eastAsia="zh-CN"/>
        </w:rPr>
        <w:t>86.11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年中离职2名一体化乡医，故实际支出小于年初预算</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w:t>
      </w:r>
      <w:r>
        <w:rPr>
          <w:rFonts w:hint="eastAsia" w:ascii="仿宋_GB2312" w:eastAsia="仿宋_GB2312" w:cs="仿宋_GB2312"/>
          <w:sz w:val="30"/>
          <w:szCs w:val="30"/>
          <w:lang w:val="en-US" w:eastAsia="zh-CN"/>
        </w:rPr>
        <w:t>676583.04</w:t>
      </w:r>
      <w:r>
        <w:rPr>
          <w:rFonts w:hint="eastAsia" w:ascii="仿宋_GB2312" w:eastAsia="仿宋_GB2312" w:cs="仿宋_GB2312"/>
          <w:sz w:val="30"/>
          <w:szCs w:val="30"/>
        </w:rPr>
        <w:t>元，支出决算为676583.04元，完成年初预算数的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w:t>
      </w:r>
      <w:r>
        <w:rPr>
          <w:rFonts w:hint="eastAsia" w:ascii="仿宋_GB2312" w:eastAsia="仿宋_GB2312" w:cs="仿宋_GB2312"/>
          <w:sz w:val="30"/>
          <w:szCs w:val="30"/>
          <w:lang w:val="en-US" w:eastAsia="zh-CN"/>
        </w:rPr>
        <w:t>120000</w:t>
      </w:r>
      <w:r>
        <w:rPr>
          <w:rFonts w:hint="eastAsia" w:ascii="仿宋_GB2312" w:eastAsia="仿宋_GB2312" w:cs="仿宋_GB2312"/>
          <w:sz w:val="30"/>
          <w:szCs w:val="30"/>
        </w:rPr>
        <w:t>元，支出决算为113850.00元，完成年初预算数的</w:t>
      </w:r>
      <w:r>
        <w:rPr>
          <w:rFonts w:hint="eastAsia" w:ascii="仿宋_GB2312" w:eastAsia="仿宋_GB2312" w:cs="仿宋_GB2312"/>
          <w:sz w:val="30"/>
          <w:szCs w:val="30"/>
          <w:lang w:val="en-US" w:eastAsia="zh-CN"/>
        </w:rPr>
        <w:t>94.88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人保健康保险公司保费降价</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w:t>
      </w:r>
      <w:r>
        <w:rPr>
          <w:rFonts w:hint="eastAsia" w:ascii="仿宋_GB2312" w:eastAsia="仿宋_GB2312" w:cs="仿宋_GB2312"/>
          <w:sz w:val="30"/>
          <w:szCs w:val="30"/>
          <w:lang w:val="en-US" w:eastAsia="zh-CN"/>
        </w:rPr>
        <w:t>101084</w:t>
      </w:r>
      <w:r>
        <w:rPr>
          <w:rFonts w:hint="eastAsia" w:ascii="仿宋_GB2312" w:eastAsia="仿宋_GB2312" w:cs="仿宋_GB2312"/>
          <w:sz w:val="30"/>
          <w:szCs w:val="30"/>
        </w:rPr>
        <w:t>元，支出决算为86401.50元，完成年初预算数的</w:t>
      </w:r>
      <w:r>
        <w:rPr>
          <w:rFonts w:hint="eastAsia" w:ascii="仿宋_GB2312" w:eastAsia="仿宋_GB2312" w:cs="仿宋_GB2312"/>
          <w:sz w:val="30"/>
          <w:szCs w:val="30"/>
          <w:lang w:val="en-US" w:eastAsia="zh-CN"/>
        </w:rPr>
        <w:t>85.47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因疫情原因对口帮扶工作有延迟</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w:t>
      </w:r>
      <w:r>
        <w:rPr>
          <w:rFonts w:hint="eastAsia" w:ascii="仿宋_GB2312" w:eastAsia="仿宋_GB2312" w:cs="仿宋_GB2312"/>
          <w:sz w:val="30"/>
          <w:szCs w:val="30"/>
          <w:lang w:val="en-US" w:eastAsia="zh-CN"/>
        </w:rPr>
        <w:t>1011240</w:t>
      </w:r>
      <w:r>
        <w:rPr>
          <w:rFonts w:hint="eastAsia" w:ascii="仿宋_GB2312" w:eastAsia="仿宋_GB2312" w:cs="仿宋_GB2312"/>
          <w:sz w:val="30"/>
          <w:szCs w:val="30"/>
        </w:rPr>
        <w:t>元，支出决算为1011240.00元，完成年初预算数的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天津市津南区双港镇卫生院</w:t>
      </w:r>
      <w:r>
        <w:rPr>
          <w:rFonts w:hint="eastAsia" w:eastAsia="楷体"/>
          <w:sz w:val="30"/>
          <w:szCs w:val="30"/>
        </w:rPr>
        <w:t>2022</w:t>
      </w:r>
      <w:r>
        <w:rPr>
          <w:rFonts w:hint="eastAsia" w:ascii="仿宋_GB2312" w:eastAsia="仿宋_GB2312" w:cs="仿宋_GB2312"/>
          <w:sz w:val="30"/>
          <w:szCs w:val="30"/>
        </w:rPr>
        <w:t>年度一般公共预算财政拨款基本支出合计12012819.65元，与2021年度相比增加3066407.65元，主要原因是</w:t>
      </w:r>
      <w:r>
        <w:rPr>
          <w:rFonts w:hint="eastAsia" w:ascii="仿宋_GB2312" w:eastAsia="仿宋_GB2312" w:cs="仿宋_GB2312"/>
          <w:sz w:val="30"/>
          <w:szCs w:val="30"/>
          <w:u w:val="none"/>
          <w:lang w:val="en-US" w:eastAsia="zh-CN"/>
        </w:rPr>
        <w:t>人员增加导致人员经费增长。</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人员经费12012819.65元，主要包括基本工资、津贴补贴、奖金、绩效工资、机关事业单位养老保险缴费、职业年金缴费、职工基本医疗保险缴费、其他社会保障缴费、住房公积金、其他工资福利支出、退休费。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天津市津南区双港镇卫生院2022年度无政府性基金预算财政拨款收入、支出和结转结余。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天津市津南区双港镇卫生院2022年度无国有资本经营预算财政拨款收入、支出和结转结余。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45"/>
        <w:jc w:val="both"/>
        <w:rPr>
          <w:rFonts w:ascii="仿宋_GB2312" w:eastAsia="仿宋_GB2312" w:cs="仿宋_GB2312"/>
          <w:sz w:val="30"/>
          <w:szCs w:val="30"/>
        </w:rPr>
      </w:pPr>
      <w:bookmarkStart w:id="26" w:name="_Toc3411"/>
      <w:bookmarkStart w:id="32" w:name="_GoBack"/>
      <w:r>
        <w:rPr>
          <w:rFonts w:hint="eastAsia" w:ascii="仿宋_GB2312" w:eastAsia="仿宋_GB2312" w:cs="仿宋_GB2312"/>
          <w:sz w:val="30"/>
          <w:szCs w:val="30"/>
        </w:rPr>
        <w:t>天津市津南区双港镇卫生院2022年度无“三公”经费。</w:t>
      </w:r>
    </w:p>
    <w:bookmarkEnd w:id="32"/>
    <w:p>
      <w:pPr>
        <w:pStyle w:val="3"/>
        <w:spacing w:before="0" w:after="0" w:line="600" w:lineRule="exact"/>
        <w:ind w:firstLine="600" w:firstLineChars="200"/>
        <w:rPr>
          <w:rFonts w:ascii="黑体" w:hAnsi="黑体" w:eastAsia="黑体"/>
          <w:b w:val="0"/>
          <w:sz w:val="30"/>
          <w:szCs w:val="30"/>
        </w:rPr>
      </w:pPr>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天津市津南区双港镇卫生院2022年度无机关运行经费。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港镇卫生院2022年政府采购支出总额2885950.00元，其中：政府采购货物支出2320150.00元、政府采购工程支出0.00元、政府采购服务支出565800.00元。授予中小企业合同金额2320150.00元，占政府采购支出总额的80.39%，其中：授予小微企业合同金额2320150.00元，占政府采购支出总额的80.39%；货物采购授予中小企业合同金额占货物支出金额的</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%，工程采购授予中小企业合同金额占工程支出金额的0.00%，服务采购授予中小企业合同金额占服务支出金额的</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双港镇卫生院共有车辆2辆，其中：副部（省）级及以上领导用车0辆、主要领导干部用车0辆、机要通信车0辆、应急保障用车0辆、执法执勤用车0辆、特种专业技术用车0辆、离退休干部用车0辆、其他用车2辆，其他用车主要包括</w:t>
      </w:r>
      <w:r>
        <w:rPr>
          <w:rFonts w:hint="eastAsia" w:ascii="仿宋_GB2312" w:eastAsia="仿宋_GB2312" w:cs="仿宋_GB2312"/>
          <w:sz w:val="30"/>
          <w:szCs w:val="30"/>
          <w:lang w:val="en-US" w:eastAsia="zh-CN"/>
        </w:rPr>
        <w:t>公共卫生工作访视用车</w:t>
      </w:r>
      <w:r>
        <w:rPr>
          <w:rFonts w:hint="eastAsia" w:ascii="仿宋_GB2312" w:eastAsia="仿宋_GB2312" w:cs="仿宋_GB2312"/>
          <w:sz w:val="30"/>
          <w:szCs w:val="30"/>
        </w:rPr>
        <w:t>。单价100万元以上的专用设备3台。</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eastAsia="仿宋_GB2312"/>
          <w:sz w:val="30"/>
          <w:szCs w:val="30"/>
        </w:rPr>
      </w:pPr>
      <w:r>
        <w:rPr>
          <w:rFonts w:eastAsia="仿宋_GB2312"/>
          <w:sz w:val="30"/>
          <w:szCs w:val="30"/>
        </w:rPr>
        <w:t>根</w:t>
      </w:r>
      <w:r>
        <w:rPr>
          <w:rFonts w:hint="eastAsia" w:ascii="仿宋_GB2312" w:hAnsi="仿宋_GB2312" w:eastAsia="仿宋_GB2312" w:cs="仿宋_GB2312"/>
          <w:sz w:val="30"/>
          <w:szCs w:val="30"/>
        </w:rPr>
        <w:t>据预算绩效管理要求，天津市津南区双港镇卫生院2022年度已对</w:t>
      </w:r>
      <w:r>
        <w:rPr>
          <w:rFonts w:hint="eastAsia" w:ascii="仿宋_GB2312" w:hAnsi="仿宋_GB2312" w:eastAsia="仿宋_GB2312" w:cs="仿宋_GB2312"/>
          <w:sz w:val="30"/>
          <w:szCs w:val="30"/>
          <w:u w:val="none"/>
          <w:lang w:val="en-US" w:eastAsia="zh-CN"/>
        </w:rPr>
        <w:t>4</w:t>
      </w:r>
      <w:r>
        <w:rPr>
          <w:rFonts w:hint="eastAsia" w:ascii="仿宋_GB2312" w:hAnsi="仿宋_GB2312" w:eastAsia="仿宋_GB2312" w:cs="仿宋_GB2312"/>
          <w:sz w:val="30"/>
          <w:szCs w:val="30"/>
        </w:rPr>
        <w:t>个区级项目开展绩效自评，涉及金额</w:t>
      </w:r>
      <w:r>
        <w:rPr>
          <w:rFonts w:hint="eastAsia" w:ascii="仿宋_GB2312" w:hAnsi="仿宋_GB2312" w:eastAsia="仿宋_GB2312" w:cs="仿宋_GB2312"/>
          <w:sz w:val="30"/>
          <w:szCs w:val="30"/>
          <w:u w:val="none"/>
          <w:lang w:val="en-US" w:eastAsia="zh-CN"/>
        </w:rPr>
        <w:t>2469865.13</w:t>
      </w:r>
      <w:r>
        <w:rPr>
          <w:rFonts w:hint="eastAsia" w:ascii="仿宋_GB2312" w:hAnsi="仿宋_GB2312" w:eastAsia="仿宋_GB2312" w:cs="仿宋_GB2312"/>
          <w:sz w:val="30"/>
          <w:szCs w:val="30"/>
        </w:rPr>
        <w:t>元，自评结果已随部门决算一并公开。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天津市津南区双港镇卫生院不属于乡、镇、街级单位，不涉及公开2022年度教育、医疗卫生、社会保障和就业、住房保障、涉农补贴等民生支出情况。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3D51D4"/>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92F"/>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6A00FB"/>
    <w:rsid w:val="02C26D17"/>
    <w:rsid w:val="032B2B72"/>
    <w:rsid w:val="03633F1C"/>
    <w:rsid w:val="03877CF5"/>
    <w:rsid w:val="03971CD2"/>
    <w:rsid w:val="03997587"/>
    <w:rsid w:val="03A73B20"/>
    <w:rsid w:val="047F2F94"/>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356711"/>
    <w:rsid w:val="24593BF8"/>
    <w:rsid w:val="24BA0C0F"/>
    <w:rsid w:val="250B61A3"/>
    <w:rsid w:val="259F5563"/>
    <w:rsid w:val="25A662F9"/>
    <w:rsid w:val="25AD749C"/>
    <w:rsid w:val="25AE4162"/>
    <w:rsid w:val="261B2634"/>
    <w:rsid w:val="26872640"/>
    <w:rsid w:val="26A9352A"/>
    <w:rsid w:val="26C653DA"/>
    <w:rsid w:val="26EC5D21"/>
    <w:rsid w:val="27615821"/>
    <w:rsid w:val="27A13E6E"/>
    <w:rsid w:val="27A644E5"/>
    <w:rsid w:val="28863E70"/>
    <w:rsid w:val="288A6337"/>
    <w:rsid w:val="28994B2A"/>
    <w:rsid w:val="28CD1B01"/>
    <w:rsid w:val="290441D9"/>
    <w:rsid w:val="292E4395"/>
    <w:rsid w:val="29867FF5"/>
    <w:rsid w:val="29BF3AB4"/>
    <w:rsid w:val="29D72E63"/>
    <w:rsid w:val="29F01BC9"/>
    <w:rsid w:val="2A1248CB"/>
    <w:rsid w:val="2A24302B"/>
    <w:rsid w:val="2A7456B8"/>
    <w:rsid w:val="2B330D0F"/>
    <w:rsid w:val="2C0C2C78"/>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2A18F2"/>
    <w:rsid w:val="343041E9"/>
    <w:rsid w:val="343E2C5A"/>
    <w:rsid w:val="34BC61DB"/>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1714BB"/>
    <w:rsid w:val="3B3A6848"/>
    <w:rsid w:val="3B5C22DF"/>
    <w:rsid w:val="3C640D2B"/>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DB58C4"/>
    <w:rsid w:val="42EA0B90"/>
    <w:rsid w:val="436E1D48"/>
    <w:rsid w:val="442221E6"/>
    <w:rsid w:val="44FC0AD9"/>
    <w:rsid w:val="45C66F5A"/>
    <w:rsid w:val="464311BD"/>
    <w:rsid w:val="46762869"/>
    <w:rsid w:val="46800ECA"/>
    <w:rsid w:val="46D65DFF"/>
    <w:rsid w:val="46ED43C8"/>
    <w:rsid w:val="47655748"/>
    <w:rsid w:val="48021CD1"/>
    <w:rsid w:val="481F0C82"/>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7A03FB"/>
    <w:rsid w:val="529328AD"/>
    <w:rsid w:val="52A26688"/>
    <w:rsid w:val="52C3106D"/>
    <w:rsid w:val="532D1C0A"/>
    <w:rsid w:val="53583E88"/>
    <w:rsid w:val="53EE096F"/>
    <w:rsid w:val="54D72BF4"/>
    <w:rsid w:val="54F6709D"/>
    <w:rsid w:val="566138B1"/>
    <w:rsid w:val="56832AE6"/>
    <w:rsid w:val="56F540E8"/>
    <w:rsid w:val="576B6402"/>
    <w:rsid w:val="57814C22"/>
    <w:rsid w:val="579303E0"/>
    <w:rsid w:val="57BD125F"/>
    <w:rsid w:val="57DB4D69"/>
    <w:rsid w:val="58CB2B06"/>
    <w:rsid w:val="59005937"/>
    <w:rsid w:val="594854FA"/>
    <w:rsid w:val="596D5572"/>
    <w:rsid w:val="59DC23BD"/>
    <w:rsid w:val="5A106A61"/>
    <w:rsid w:val="5AEA166B"/>
    <w:rsid w:val="5B012DD6"/>
    <w:rsid w:val="5B4A303E"/>
    <w:rsid w:val="5B867F38"/>
    <w:rsid w:val="5BBF1EDC"/>
    <w:rsid w:val="5C0D5EDF"/>
    <w:rsid w:val="5CCB520D"/>
    <w:rsid w:val="5CDE5F6B"/>
    <w:rsid w:val="5CE729B2"/>
    <w:rsid w:val="5D072615"/>
    <w:rsid w:val="5D2C42B6"/>
    <w:rsid w:val="5D820B03"/>
    <w:rsid w:val="5D9D3BE1"/>
    <w:rsid w:val="5DDC291B"/>
    <w:rsid w:val="5DE919D2"/>
    <w:rsid w:val="5DE96BF2"/>
    <w:rsid w:val="5E3B56D9"/>
    <w:rsid w:val="5E7F01AB"/>
    <w:rsid w:val="5E910416"/>
    <w:rsid w:val="5FC652D8"/>
    <w:rsid w:val="6043407E"/>
    <w:rsid w:val="605F74B4"/>
    <w:rsid w:val="607B68FE"/>
    <w:rsid w:val="617007B5"/>
    <w:rsid w:val="61712209"/>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724535"/>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B7E9BAF"/>
    <w:rsid w:val="7CF2196B"/>
    <w:rsid w:val="7D2E7430"/>
    <w:rsid w:val="7D993EC8"/>
    <w:rsid w:val="7D9A013D"/>
    <w:rsid w:val="7E041F97"/>
    <w:rsid w:val="7E9160CF"/>
    <w:rsid w:val="7EC677D3"/>
    <w:rsid w:val="7FDC2489"/>
    <w:rsid w:val="7FFDEEFD"/>
    <w:rsid w:val="BBFEB28B"/>
    <w:rsid w:val="D74FDF30"/>
    <w:rsid w:val="DEAEE68D"/>
    <w:rsid w:val="F3DD146A"/>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1160</Words>
  <Characters>6615</Characters>
  <Lines>55</Lines>
  <Paragraphs>15</Paragraphs>
  <TotalTime>0</TotalTime>
  <ScaleCrop>false</ScaleCrop>
  <LinksUpToDate>false</LinksUpToDate>
  <CharactersWithSpaces>7760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2019-07-28T18:37:00Z</dcterms:created>
  <dc:creator>Administrator</dc:creator>
  <cp:lastModifiedBy>猫不叹气</cp:lastModifiedBy>
  <cp:lastPrinted>2023-08-16T23:55:00Z</cp:lastPrinted>
  <dcterms:modified xsi:type="dcterms:W3CDTF">2023-09-26T02:48:36Z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