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天津市津南区卫生健康委员会</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3</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3</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bookmarkStart w:id="32" w:name="_GoBack"/>
      <w:bookmarkEnd w:id="32"/>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16</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hint="eastAsia" w:eastAsia="仿宋_GB2312"/>
          <w:sz w:val="30"/>
          <w:szCs w:val="30"/>
        </w:rPr>
      </w:pPr>
      <w:bookmarkStart w:id="2" w:name="_Toc17388"/>
      <w:r>
        <w:rPr>
          <w:rFonts w:hint="eastAsia" w:eastAsia="仿宋_GB2312"/>
          <w:sz w:val="30"/>
          <w:szCs w:val="30"/>
        </w:rPr>
        <w:t>贯彻执行国家和本市有关卫生健康方面法律、法规、规章和方针政策；协调推进深化医药卫生体制改革，研究提出深化医药卫生体制改革政策、措施的建议；负责拟定组织落实疾病预防控制规划、国家免疫规划、严重危害人民健康的公共卫生问题的干预措施；组织拟订落实应对人口老龄化政策措施，负责推进老年健康服务体系建设和医养结合工作；组织实施国家药物政策和基本药物制度；负责指导行政执法工作；负责医疗机构和医疗服务行业的监督管理；负责计划生育管理和服务；负责医疗卫生、妇幼健康服务体系和全科医生队伍建设；拟订中医药发展规划、政策和相关标准并组织实施，组织实施中医药重点科研项目；指导计划生育协会的业务工作，承担区老龄工作委员会日常工作，承担区爱国卫生运动委员会日常工作。</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天津市津南区卫生健康委员会部门</w:t>
      </w:r>
      <w:r>
        <w:rPr>
          <w:rFonts w:eastAsia="仿宋_GB2312"/>
          <w:sz w:val="30"/>
          <w:szCs w:val="30"/>
        </w:rPr>
        <w:t>内设</w:t>
      </w:r>
      <w:r>
        <w:rPr>
          <w:rFonts w:hint="eastAsia" w:eastAsia="仿宋_GB2312"/>
          <w:sz w:val="30"/>
          <w:szCs w:val="30"/>
          <w:u w:val="none"/>
          <w:lang w:val="en-US" w:eastAsia="zh-CN"/>
        </w:rPr>
        <w:t>8</w:t>
      </w:r>
      <w:r>
        <w:rPr>
          <w:rFonts w:eastAsia="仿宋_GB2312"/>
          <w:sz w:val="30"/>
          <w:szCs w:val="30"/>
        </w:rPr>
        <w:t>个职能</w:t>
      </w:r>
      <w:r>
        <w:rPr>
          <w:rFonts w:hint="eastAsia" w:eastAsia="仿宋_GB2312"/>
          <w:sz w:val="30"/>
          <w:szCs w:val="30"/>
          <w:lang w:val="en-US" w:eastAsia="zh-CN"/>
        </w:rPr>
        <w:t>科</w:t>
      </w:r>
      <w:r>
        <w:rPr>
          <w:rFonts w:eastAsia="仿宋_GB2312"/>
          <w:sz w:val="30"/>
          <w:szCs w:val="30"/>
        </w:rPr>
        <w:t>室</w:t>
      </w:r>
      <w:r>
        <w:rPr>
          <w:rFonts w:hint="eastAsia" w:ascii="仿宋_GB2312" w:eastAsia="仿宋_GB2312" w:cs="仿宋_GB2312"/>
          <w:sz w:val="30"/>
          <w:szCs w:val="30"/>
        </w:rPr>
        <w:t>；下辖19个预算单位。纳入天津市津南区卫生健康委员会2022年度部门决算编制范围的单位包括：</w:t>
      </w:r>
      <w:r>
        <w:rPr>
          <w:rFonts w:hint="eastAsia" w:ascii="仿宋_GB2312" w:eastAsia="仿宋_GB2312" w:cs="仿宋_GB2312"/>
          <w:sz w:val="30"/>
          <w:szCs w:val="30"/>
        </w:rPr>
        <w:br w:type="textWrapping"/>
      </w:r>
      <w:r>
        <w:rPr>
          <w:rFonts w:hint="eastAsia" w:ascii="仿宋_GB2312" w:eastAsia="仿宋_GB2312" w:cs="仿宋_GB2312"/>
          <w:sz w:val="30"/>
          <w:szCs w:val="30"/>
        </w:rPr>
        <w:t>　　1.天津市津南区卫生健康委员会(本级)</w:t>
      </w:r>
      <w:r>
        <w:rPr>
          <w:rFonts w:hint="eastAsia" w:ascii="仿宋_GB2312" w:eastAsia="仿宋_GB2312" w:cs="仿宋_GB2312"/>
          <w:sz w:val="30"/>
          <w:szCs w:val="30"/>
        </w:rPr>
        <w:br w:type="textWrapping"/>
      </w:r>
      <w:r>
        <w:rPr>
          <w:rFonts w:hint="eastAsia" w:ascii="仿宋_GB2312" w:eastAsia="仿宋_GB2312" w:cs="仿宋_GB2312"/>
          <w:sz w:val="30"/>
          <w:szCs w:val="30"/>
        </w:rPr>
        <w:t>　　2.天津市津南区中医医院</w:t>
      </w:r>
      <w:r>
        <w:rPr>
          <w:rFonts w:hint="eastAsia" w:ascii="仿宋_GB2312" w:eastAsia="仿宋_GB2312" w:cs="仿宋_GB2312"/>
          <w:sz w:val="30"/>
          <w:szCs w:val="30"/>
        </w:rPr>
        <w:br w:type="textWrapping"/>
      </w:r>
      <w:r>
        <w:rPr>
          <w:rFonts w:hint="eastAsia" w:ascii="仿宋_GB2312" w:eastAsia="仿宋_GB2312" w:cs="仿宋_GB2312"/>
          <w:sz w:val="30"/>
          <w:szCs w:val="30"/>
        </w:rPr>
        <w:t>　　3.天津市津南卫生学校</w:t>
      </w:r>
      <w:r>
        <w:rPr>
          <w:rFonts w:hint="eastAsia" w:ascii="仿宋_GB2312" w:eastAsia="仿宋_GB2312" w:cs="仿宋_GB2312"/>
          <w:sz w:val="30"/>
          <w:szCs w:val="30"/>
        </w:rPr>
        <w:br w:type="textWrapping"/>
      </w:r>
      <w:r>
        <w:rPr>
          <w:rFonts w:hint="eastAsia" w:ascii="仿宋_GB2312" w:eastAsia="仿宋_GB2312" w:cs="仿宋_GB2312"/>
          <w:sz w:val="30"/>
          <w:szCs w:val="30"/>
        </w:rPr>
        <w:t>　　4.天津市津南医院</w:t>
      </w:r>
      <w:r>
        <w:rPr>
          <w:rFonts w:hint="eastAsia" w:ascii="仿宋_GB2312" w:eastAsia="仿宋_GB2312" w:cs="仿宋_GB2312"/>
          <w:sz w:val="30"/>
          <w:szCs w:val="30"/>
        </w:rPr>
        <w:br w:type="textWrapping"/>
      </w:r>
      <w:r>
        <w:rPr>
          <w:rFonts w:hint="eastAsia" w:ascii="仿宋_GB2312" w:eastAsia="仿宋_GB2312" w:cs="仿宋_GB2312"/>
          <w:sz w:val="30"/>
          <w:szCs w:val="30"/>
        </w:rPr>
        <w:t>　　5.天津市津南区小站医院</w:t>
      </w:r>
      <w:r>
        <w:rPr>
          <w:rFonts w:hint="eastAsia" w:ascii="仿宋_GB2312" w:eastAsia="仿宋_GB2312" w:cs="仿宋_GB2312"/>
          <w:sz w:val="30"/>
          <w:szCs w:val="30"/>
        </w:rPr>
        <w:br w:type="textWrapping"/>
      </w:r>
      <w:r>
        <w:rPr>
          <w:rFonts w:hint="eastAsia" w:ascii="仿宋_GB2312" w:eastAsia="仿宋_GB2312" w:cs="仿宋_GB2312"/>
          <w:sz w:val="30"/>
          <w:szCs w:val="30"/>
        </w:rPr>
        <w:t>　　6.天津市津南区妇幼保健计划生育服务中心</w:t>
      </w:r>
      <w:r>
        <w:rPr>
          <w:rFonts w:hint="eastAsia" w:ascii="仿宋_GB2312" w:eastAsia="仿宋_GB2312" w:cs="仿宋_GB2312"/>
          <w:sz w:val="30"/>
          <w:szCs w:val="30"/>
        </w:rPr>
        <w:br w:type="textWrapping"/>
      </w:r>
      <w:r>
        <w:rPr>
          <w:rFonts w:hint="eastAsia" w:ascii="仿宋_GB2312" w:eastAsia="仿宋_GB2312" w:cs="仿宋_GB2312"/>
          <w:sz w:val="30"/>
          <w:szCs w:val="30"/>
        </w:rPr>
        <w:t>　　7.天津市津南区疾病预防控制中心</w:t>
      </w:r>
      <w:r>
        <w:rPr>
          <w:rFonts w:hint="eastAsia" w:ascii="仿宋_GB2312" w:eastAsia="仿宋_GB2312" w:cs="仿宋_GB2312"/>
          <w:sz w:val="30"/>
          <w:szCs w:val="30"/>
        </w:rPr>
        <w:br w:type="textWrapping"/>
      </w:r>
      <w:r>
        <w:rPr>
          <w:rFonts w:hint="eastAsia" w:ascii="仿宋_GB2312" w:eastAsia="仿宋_GB2312" w:cs="仿宋_GB2312"/>
          <w:sz w:val="30"/>
          <w:szCs w:val="30"/>
        </w:rPr>
        <w:t>　　8.天津市津南区双新街社区卫生服务中心</w:t>
      </w:r>
      <w:r>
        <w:rPr>
          <w:rFonts w:hint="eastAsia" w:ascii="仿宋_GB2312" w:eastAsia="仿宋_GB2312" w:cs="仿宋_GB2312"/>
          <w:sz w:val="30"/>
          <w:szCs w:val="30"/>
        </w:rPr>
        <w:br w:type="textWrapping"/>
      </w:r>
      <w:r>
        <w:rPr>
          <w:rFonts w:hint="eastAsia" w:ascii="仿宋_GB2312" w:eastAsia="仿宋_GB2312" w:cs="仿宋_GB2312"/>
          <w:sz w:val="30"/>
          <w:szCs w:val="30"/>
        </w:rPr>
        <w:t>　　9.天津市津南区咸水沽镇卫生院</w:t>
      </w:r>
      <w:r>
        <w:rPr>
          <w:rFonts w:hint="eastAsia" w:ascii="仿宋_GB2312" w:eastAsia="仿宋_GB2312" w:cs="仿宋_GB2312"/>
          <w:sz w:val="30"/>
          <w:szCs w:val="30"/>
        </w:rPr>
        <w:br w:type="textWrapping"/>
      </w:r>
      <w:r>
        <w:rPr>
          <w:rFonts w:hint="eastAsia" w:ascii="仿宋_GB2312" w:eastAsia="仿宋_GB2312" w:cs="仿宋_GB2312"/>
          <w:sz w:val="30"/>
          <w:szCs w:val="30"/>
        </w:rPr>
        <w:t>　　10.天津市津南区葛沽镇卫生院</w:t>
      </w:r>
      <w:r>
        <w:rPr>
          <w:rFonts w:hint="eastAsia" w:ascii="仿宋_GB2312" w:eastAsia="仿宋_GB2312" w:cs="仿宋_GB2312"/>
          <w:sz w:val="30"/>
          <w:szCs w:val="30"/>
        </w:rPr>
        <w:br w:type="textWrapping"/>
      </w:r>
      <w:r>
        <w:rPr>
          <w:rFonts w:hint="eastAsia" w:ascii="仿宋_GB2312" w:eastAsia="仿宋_GB2312" w:cs="仿宋_GB2312"/>
          <w:sz w:val="30"/>
          <w:szCs w:val="30"/>
        </w:rPr>
        <w:t>　　11.天津市津南区小站镇卫生院</w:t>
      </w:r>
      <w:r>
        <w:rPr>
          <w:rFonts w:hint="eastAsia" w:ascii="仿宋_GB2312" w:eastAsia="仿宋_GB2312" w:cs="仿宋_GB2312"/>
          <w:sz w:val="30"/>
          <w:szCs w:val="30"/>
        </w:rPr>
        <w:br w:type="textWrapping"/>
      </w:r>
      <w:r>
        <w:rPr>
          <w:rFonts w:hint="eastAsia" w:ascii="仿宋_GB2312" w:eastAsia="仿宋_GB2312" w:cs="仿宋_GB2312"/>
          <w:sz w:val="30"/>
          <w:szCs w:val="30"/>
        </w:rPr>
        <w:t>　　12.天津市津南区八里台镇卫生院</w:t>
      </w:r>
      <w:r>
        <w:rPr>
          <w:rFonts w:hint="eastAsia" w:ascii="仿宋_GB2312" w:eastAsia="仿宋_GB2312" w:cs="仿宋_GB2312"/>
          <w:sz w:val="30"/>
          <w:szCs w:val="30"/>
        </w:rPr>
        <w:br w:type="textWrapping"/>
      </w:r>
      <w:r>
        <w:rPr>
          <w:rFonts w:hint="eastAsia" w:ascii="仿宋_GB2312" w:eastAsia="仿宋_GB2312" w:cs="仿宋_GB2312"/>
          <w:sz w:val="30"/>
          <w:szCs w:val="30"/>
        </w:rPr>
        <w:t>　　13.天津市津南区双闸卫生院</w:t>
      </w:r>
      <w:r>
        <w:rPr>
          <w:rFonts w:hint="eastAsia" w:ascii="仿宋_GB2312" w:eastAsia="仿宋_GB2312" w:cs="仿宋_GB2312"/>
          <w:sz w:val="30"/>
          <w:szCs w:val="30"/>
        </w:rPr>
        <w:br w:type="textWrapping"/>
      </w:r>
      <w:r>
        <w:rPr>
          <w:rFonts w:hint="eastAsia" w:ascii="仿宋_GB2312" w:eastAsia="仿宋_GB2312" w:cs="仿宋_GB2312"/>
          <w:sz w:val="30"/>
          <w:szCs w:val="30"/>
        </w:rPr>
        <w:t>　　14.天津市津南区双港镇卫生院</w:t>
      </w:r>
      <w:r>
        <w:rPr>
          <w:rFonts w:hint="eastAsia" w:ascii="仿宋_GB2312" w:eastAsia="仿宋_GB2312" w:cs="仿宋_GB2312"/>
          <w:sz w:val="30"/>
          <w:szCs w:val="30"/>
        </w:rPr>
        <w:br w:type="textWrapping"/>
      </w:r>
      <w:r>
        <w:rPr>
          <w:rFonts w:hint="eastAsia" w:ascii="仿宋_GB2312" w:eastAsia="仿宋_GB2312" w:cs="仿宋_GB2312"/>
          <w:sz w:val="30"/>
          <w:szCs w:val="30"/>
        </w:rPr>
        <w:t>　　15.天津市津南区辛庄镇卫生院</w:t>
      </w:r>
      <w:r>
        <w:rPr>
          <w:rFonts w:hint="eastAsia" w:ascii="仿宋_GB2312" w:eastAsia="仿宋_GB2312" w:cs="仿宋_GB2312"/>
          <w:sz w:val="30"/>
          <w:szCs w:val="30"/>
        </w:rPr>
        <w:br w:type="textWrapping"/>
      </w:r>
      <w:r>
        <w:rPr>
          <w:rFonts w:hint="eastAsia" w:ascii="仿宋_GB2312" w:eastAsia="仿宋_GB2312" w:cs="仿宋_GB2312"/>
          <w:sz w:val="30"/>
          <w:szCs w:val="30"/>
        </w:rPr>
        <w:t>　　16.天津市津南区北闸口镇卫生院</w:t>
      </w:r>
      <w:r>
        <w:rPr>
          <w:rFonts w:hint="eastAsia" w:ascii="仿宋_GB2312" w:eastAsia="仿宋_GB2312" w:cs="仿宋_GB2312"/>
          <w:sz w:val="30"/>
          <w:szCs w:val="30"/>
        </w:rPr>
        <w:br w:type="textWrapping"/>
      </w:r>
      <w:r>
        <w:rPr>
          <w:rFonts w:hint="eastAsia" w:ascii="仿宋_GB2312" w:eastAsia="仿宋_GB2312" w:cs="仿宋_GB2312"/>
          <w:sz w:val="30"/>
          <w:szCs w:val="30"/>
        </w:rPr>
        <w:t>　　17.天津市津南区双桥河镇卫生院</w:t>
      </w:r>
      <w:r>
        <w:rPr>
          <w:rFonts w:hint="eastAsia" w:ascii="仿宋_GB2312" w:eastAsia="仿宋_GB2312" w:cs="仿宋_GB2312"/>
          <w:sz w:val="30"/>
          <w:szCs w:val="30"/>
        </w:rPr>
        <w:br w:type="textWrapping"/>
      </w:r>
      <w:r>
        <w:rPr>
          <w:rFonts w:hint="eastAsia" w:ascii="仿宋_GB2312" w:eastAsia="仿宋_GB2312" w:cs="仿宋_GB2312"/>
          <w:sz w:val="30"/>
          <w:szCs w:val="30"/>
        </w:rPr>
        <w:t>　　18.天津市津南区海棠街道社区卫生服务中心</w:t>
      </w:r>
      <w:r>
        <w:rPr>
          <w:rFonts w:hint="eastAsia" w:ascii="仿宋_GB2312" w:eastAsia="仿宋_GB2312" w:cs="仿宋_GB2312"/>
          <w:sz w:val="30"/>
          <w:szCs w:val="30"/>
        </w:rPr>
        <w:br w:type="textWrapping"/>
      </w:r>
      <w:r>
        <w:rPr>
          <w:rFonts w:hint="eastAsia" w:ascii="仿宋_GB2312" w:eastAsia="仿宋_GB2312" w:cs="仿宋_GB2312"/>
          <w:sz w:val="30"/>
          <w:szCs w:val="30"/>
        </w:rPr>
        <w:t>　　19.天津市津南区双林街社区卫生服务中心</w:t>
      </w:r>
      <w:r>
        <w:rPr>
          <w:rFonts w:hint="eastAsia" w:ascii="仿宋_GB2312" w:eastAsia="仿宋_GB2312" w:cs="仿宋_GB2312"/>
          <w:sz w:val="30"/>
          <w:szCs w:val="30"/>
        </w:rPr>
        <w:br w:type="textWrapping"/>
      </w:r>
      <w:r>
        <w:rPr>
          <w:rFonts w:hint="eastAsia" w:ascii="仿宋_GB2312" w:eastAsia="仿宋_GB2312" w:cs="仿宋_GB2312"/>
          <w:sz w:val="30"/>
          <w:szCs w:val="30"/>
        </w:rPr>
        <w:t>　　20.天津市津南区卫生计生综合监督所</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天津市津南区卫生健康委员会2022年度国有资本经营预算财政拨款收入支出决算表为空表。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天津市津南区卫生健康委员会</w:t>
      </w:r>
      <w:r>
        <w:rPr>
          <w:rFonts w:hint="eastAsia" w:eastAsia="楷体"/>
          <w:sz w:val="30"/>
          <w:szCs w:val="30"/>
        </w:rPr>
        <w:t>2022</w:t>
      </w:r>
      <w:r>
        <w:rPr>
          <w:rFonts w:hint="eastAsia" w:ascii="仿宋_GB2312" w:eastAsia="仿宋_GB2312" w:cs="仿宋_GB2312"/>
          <w:sz w:val="30"/>
          <w:szCs w:val="30"/>
        </w:rPr>
        <w:t>年度收入、支出决算总计1490517650.03元。与2021年度相比，收、支总计各增加515440165.06元，增长52.86%，主要原因是</w:t>
      </w:r>
      <w:r>
        <w:rPr>
          <w:rFonts w:hint="eastAsia" w:eastAsia="仿宋_GB2312"/>
          <w:sz w:val="30"/>
          <w:szCs w:val="30"/>
          <w:u w:val="none"/>
          <w:lang w:eastAsia="zh-CN"/>
        </w:rPr>
        <w:t>增加新成立</w:t>
      </w:r>
      <w:r>
        <w:rPr>
          <w:rFonts w:hint="eastAsia" w:eastAsia="仿宋_GB2312"/>
          <w:sz w:val="30"/>
          <w:szCs w:val="30"/>
          <w:u w:val="none"/>
          <w:lang w:val="en-US" w:eastAsia="zh-CN"/>
        </w:rPr>
        <w:t>一</w:t>
      </w:r>
      <w:r>
        <w:rPr>
          <w:rFonts w:hint="eastAsia" w:eastAsia="仿宋_GB2312"/>
          <w:sz w:val="30"/>
          <w:szCs w:val="30"/>
          <w:u w:val="none"/>
          <w:lang w:eastAsia="zh-CN"/>
        </w:rPr>
        <w:t>家社区卫生服务中心</w:t>
      </w:r>
      <w:r>
        <w:rPr>
          <w:rFonts w:eastAsia="仿宋_GB2312"/>
          <w:sz w:val="30"/>
          <w:szCs w:val="30"/>
          <w:u w:val="none"/>
        </w:rPr>
        <w:t xml:space="preserve"> </w:t>
      </w:r>
      <w:r>
        <w:rPr>
          <w:rFonts w:hint="eastAsia" w:eastAsia="仿宋_GB2312"/>
          <w:sz w:val="30"/>
          <w:szCs w:val="30"/>
          <w:u w:val="none"/>
          <w:lang w:eastAsia="zh-CN"/>
        </w:rPr>
        <w:t>，九家卫生院纳入区级管理</w:t>
      </w:r>
      <w:r>
        <w:rPr>
          <w:rFonts w:hint="eastAsia" w:eastAsia="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天津市津南区卫生健康委员会</w:t>
      </w:r>
      <w:r>
        <w:rPr>
          <w:rFonts w:hint="eastAsia" w:eastAsia="楷体"/>
          <w:sz w:val="30"/>
          <w:szCs w:val="30"/>
        </w:rPr>
        <w:t>2022</w:t>
      </w:r>
      <w:r>
        <w:rPr>
          <w:rFonts w:hint="eastAsia" w:ascii="仿宋_GB2312" w:eastAsia="仿宋_GB2312" w:cs="仿宋_GB2312"/>
          <w:sz w:val="30"/>
          <w:szCs w:val="30"/>
        </w:rPr>
        <w:t>年度本年收入合计1407891969.96元，与2021年度相比增加490878865.90元，主要原因是</w:t>
      </w:r>
      <w:r>
        <w:rPr>
          <w:rFonts w:hint="eastAsia" w:eastAsia="仿宋_GB2312"/>
          <w:sz w:val="30"/>
          <w:szCs w:val="30"/>
          <w:u w:val="none"/>
          <w:lang w:eastAsia="zh-CN"/>
        </w:rPr>
        <w:t>增加新成立</w:t>
      </w:r>
      <w:r>
        <w:rPr>
          <w:rFonts w:hint="eastAsia" w:eastAsia="仿宋_GB2312"/>
          <w:sz w:val="30"/>
          <w:szCs w:val="30"/>
          <w:u w:val="none"/>
          <w:lang w:val="en-US" w:eastAsia="zh-CN"/>
        </w:rPr>
        <w:t>一</w:t>
      </w:r>
      <w:r>
        <w:rPr>
          <w:rFonts w:hint="eastAsia" w:eastAsia="仿宋_GB2312"/>
          <w:sz w:val="30"/>
          <w:szCs w:val="30"/>
          <w:u w:val="none"/>
          <w:lang w:eastAsia="zh-CN"/>
        </w:rPr>
        <w:t>家社区卫生服务中心</w:t>
      </w:r>
      <w:r>
        <w:rPr>
          <w:rFonts w:eastAsia="仿宋_GB2312"/>
          <w:sz w:val="30"/>
          <w:szCs w:val="30"/>
          <w:u w:val="none"/>
        </w:rPr>
        <w:t xml:space="preserve"> </w:t>
      </w:r>
      <w:r>
        <w:rPr>
          <w:rFonts w:hint="eastAsia" w:eastAsia="仿宋_GB2312"/>
          <w:sz w:val="30"/>
          <w:szCs w:val="30"/>
          <w:u w:val="none"/>
          <w:lang w:eastAsia="zh-CN"/>
        </w:rPr>
        <w:t>，九家卫生院纳入区级管理</w:t>
      </w:r>
      <w:r>
        <w:rPr>
          <w:rFonts w:hint="eastAsia" w:eastAsia="仿宋_GB2312"/>
          <w:sz w:val="30"/>
          <w:szCs w:val="30"/>
        </w:rPr>
        <w:t>。</w:t>
      </w:r>
      <w:r>
        <w:rPr>
          <w:rFonts w:hint="eastAsia" w:ascii="仿宋_GB2312" w:eastAsia="仿宋_GB2312" w:cs="仿宋_GB2312"/>
          <w:sz w:val="30"/>
          <w:szCs w:val="30"/>
        </w:rPr>
        <w:t>其中：一般公共预算财政拨款收入558703757.73元，占39.6</w:t>
      </w:r>
      <w:r>
        <w:rPr>
          <w:rFonts w:hint="eastAsia" w:ascii="仿宋_GB2312" w:eastAsia="仿宋_GB2312" w:cs="仿宋_GB2312"/>
          <w:sz w:val="30"/>
          <w:szCs w:val="30"/>
          <w:lang w:val="en-US" w:eastAsia="zh-CN"/>
        </w:rPr>
        <w:t>9</w:t>
      </w:r>
      <w:r>
        <w:rPr>
          <w:rFonts w:hint="eastAsia" w:ascii="仿宋_GB2312" w:eastAsia="仿宋_GB2312" w:cs="仿宋_GB2312"/>
          <w:sz w:val="30"/>
          <w:szCs w:val="30"/>
        </w:rPr>
        <w:t>%；政府性基金预算财政拨款收入15800000.00元，占1.12%；事业单位经营收入829386144.21元，占58.91%；其他收入4002068.02元，占0.28%。</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天津市津南区卫生健康委员会</w:t>
      </w:r>
      <w:r>
        <w:rPr>
          <w:rFonts w:hint="eastAsia" w:eastAsia="楷体"/>
          <w:sz w:val="30"/>
          <w:szCs w:val="30"/>
        </w:rPr>
        <w:t>2022</w:t>
      </w:r>
      <w:r>
        <w:rPr>
          <w:rFonts w:hint="eastAsia" w:ascii="仿宋_GB2312" w:eastAsia="仿宋_GB2312" w:cs="仿宋_GB2312"/>
          <w:sz w:val="30"/>
          <w:szCs w:val="30"/>
        </w:rPr>
        <w:t>年度本年支出合计1468884580.45元，与2021年度相比增加512048754.88元，主要原因是</w:t>
      </w:r>
      <w:r>
        <w:rPr>
          <w:rFonts w:hint="eastAsia" w:eastAsia="仿宋_GB2312"/>
          <w:sz w:val="30"/>
          <w:szCs w:val="30"/>
          <w:u w:val="none"/>
          <w:lang w:eastAsia="zh-CN"/>
        </w:rPr>
        <w:t>增加新成立</w:t>
      </w:r>
      <w:r>
        <w:rPr>
          <w:rFonts w:hint="eastAsia" w:eastAsia="仿宋_GB2312"/>
          <w:sz w:val="30"/>
          <w:szCs w:val="30"/>
          <w:u w:val="none"/>
          <w:lang w:val="en-US" w:eastAsia="zh-CN"/>
        </w:rPr>
        <w:t>一</w:t>
      </w:r>
      <w:r>
        <w:rPr>
          <w:rFonts w:hint="eastAsia" w:eastAsia="仿宋_GB2312"/>
          <w:sz w:val="30"/>
          <w:szCs w:val="30"/>
          <w:u w:val="none"/>
          <w:lang w:eastAsia="zh-CN"/>
        </w:rPr>
        <w:t>家社区卫生服务中心</w:t>
      </w:r>
      <w:r>
        <w:rPr>
          <w:rFonts w:eastAsia="仿宋_GB2312"/>
          <w:sz w:val="30"/>
          <w:szCs w:val="30"/>
          <w:u w:val="none"/>
        </w:rPr>
        <w:t xml:space="preserve"> </w:t>
      </w:r>
      <w:r>
        <w:rPr>
          <w:rFonts w:hint="eastAsia" w:eastAsia="仿宋_GB2312"/>
          <w:sz w:val="30"/>
          <w:szCs w:val="30"/>
          <w:u w:val="none"/>
          <w:lang w:eastAsia="zh-CN"/>
        </w:rPr>
        <w:t>，九家卫生院纳入区级管理</w:t>
      </w:r>
      <w:r>
        <w:rPr>
          <w:rFonts w:hint="eastAsia" w:eastAsia="仿宋_GB2312"/>
          <w:sz w:val="30"/>
          <w:szCs w:val="30"/>
        </w:rPr>
        <w:t>。</w:t>
      </w:r>
      <w:r>
        <w:rPr>
          <w:rFonts w:hint="eastAsia" w:ascii="仿宋_GB2312" w:eastAsia="仿宋_GB2312" w:cs="仿宋_GB2312"/>
          <w:sz w:val="30"/>
          <w:szCs w:val="30"/>
        </w:rPr>
        <w:t>其中：基本支出1154785520.76元，占78.62%；项目支出314099059.69元，占21.38%。</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天津市津南区卫生健康委员会</w:t>
      </w:r>
      <w:r>
        <w:rPr>
          <w:rFonts w:hint="eastAsia" w:eastAsia="楷体"/>
          <w:sz w:val="30"/>
          <w:szCs w:val="30"/>
        </w:rPr>
        <w:t>2022</w:t>
      </w:r>
      <w:r>
        <w:rPr>
          <w:rFonts w:hint="eastAsia" w:ascii="仿宋_GB2312" w:eastAsia="仿宋_GB2312" w:cs="仿宋_GB2312"/>
          <w:sz w:val="30"/>
          <w:szCs w:val="30"/>
        </w:rPr>
        <w:t>年度财政拨款收入、支出决算总计580187213.43元。与2021年度相比，财政拨款收、支总计各增加219587739.69元，增长60.90%，主要原因是</w:t>
      </w:r>
      <w:r>
        <w:rPr>
          <w:rFonts w:hint="eastAsia" w:eastAsia="仿宋_GB2312"/>
          <w:sz w:val="30"/>
          <w:szCs w:val="30"/>
          <w:u w:val="none"/>
          <w:lang w:eastAsia="zh-CN"/>
        </w:rPr>
        <w:t>增加新成立</w:t>
      </w:r>
      <w:r>
        <w:rPr>
          <w:rFonts w:hint="eastAsia" w:eastAsia="仿宋_GB2312"/>
          <w:sz w:val="30"/>
          <w:szCs w:val="30"/>
          <w:u w:val="none"/>
          <w:lang w:val="en-US" w:eastAsia="zh-CN"/>
        </w:rPr>
        <w:t>一</w:t>
      </w:r>
      <w:r>
        <w:rPr>
          <w:rFonts w:hint="eastAsia" w:eastAsia="仿宋_GB2312"/>
          <w:sz w:val="30"/>
          <w:szCs w:val="30"/>
          <w:u w:val="none"/>
          <w:lang w:eastAsia="zh-CN"/>
        </w:rPr>
        <w:t>家社区卫生服务中心，九家卫生院纳入区级管理</w:t>
      </w:r>
      <w:r>
        <w:rPr>
          <w:rFonts w:hint="eastAsia" w:eastAsia="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天津市津南区卫生健康委员会</w:t>
      </w:r>
      <w:r>
        <w:rPr>
          <w:rFonts w:hint="eastAsia" w:eastAsia="楷体"/>
          <w:sz w:val="30"/>
          <w:szCs w:val="30"/>
        </w:rPr>
        <w:t>2022</w:t>
      </w:r>
      <w:r>
        <w:rPr>
          <w:rFonts w:hint="eastAsia" w:ascii="仿宋_GB2312" w:eastAsia="仿宋_GB2312" w:cs="仿宋_GB2312"/>
          <w:sz w:val="30"/>
          <w:szCs w:val="30"/>
        </w:rPr>
        <w:t>年度一般公共预算财政拨款支出合计561191831.63元，占本年支出合计的</w:t>
      </w:r>
      <w:r>
        <w:rPr>
          <w:rFonts w:hint="eastAsia" w:ascii="仿宋_GB2312" w:eastAsia="仿宋_GB2312" w:cs="仿宋_GB2312"/>
          <w:sz w:val="30"/>
          <w:szCs w:val="30"/>
          <w:lang w:val="en-US" w:eastAsia="zh-CN"/>
        </w:rPr>
        <w:t>38.21</w:t>
      </w:r>
      <w:r>
        <w:rPr>
          <w:rFonts w:hint="eastAsia" w:ascii="仿宋_GB2312" w:eastAsia="仿宋_GB2312" w:cs="仿宋_GB2312"/>
          <w:sz w:val="30"/>
          <w:szCs w:val="30"/>
        </w:rPr>
        <w:t>%。与2021年度相比，一般公共预算财政拨款支出增加228037934.12元，增长68.45%，主要原因是</w:t>
      </w:r>
      <w:r>
        <w:rPr>
          <w:rFonts w:hint="eastAsia" w:eastAsia="仿宋_GB2312"/>
          <w:sz w:val="30"/>
          <w:szCs w:val="30"/>
          <w:u w:val="none"/>
          <w:lang w:eastAsia="zh-CN"/>
        </w:rPr>
        <w:t>增加新成立</w:t>
      </w:r>
      <w:r>
        <w:rPr>
          <w:rFonts w:hint="eastAsia" w:eastAsia="仿宋_GB2312"/>
          <w:sz w:val="30"/>
          <w:szCs w:val="30"/>
          <w:u w:val="none"/>
          <w:lang w:val="en-US" w:eastAsia="zh-CN"/>
        </w:rPr>
        <w:t>一</w:t>
      </w:r>
      <w:r>
        <w:rPr>
          <w:rFonts w:hint="eastAsia" w:eastAsia="仿宋_GB2312"/>
          <w:sz w:val="30"/>
          <w:szCs w:val="30"/>
          <w:u w:val="none"/>
          <w:lang w:eastAsia="zh-CN"/>
        </w:rPr>
        <w:t>家社区卫生服务中心</w:t>
      </w:r>
      <w:r>
        <w:rPr>
          <w:rFonts w:eastAsia="仿宋_GB2312"/>
          <w:sz w:val="30"/>
          <w:szCs w:val="30"/>
          <w:u w:val="none"/>
        </w:rPr>
        <w:t xml:space="preserve"> </w:t>
      </w:r>
      <w:r>
        <w:rPr>
          <w:rFonts w:hint="eastAsia" w:eastAsia="仿宋_GB2312"/>
          <w:sz w:val="30"/>
          <w:szCs w:val="30"/>
          <w:u w:val="none"/>
          <w:lang w:eastAsia="zh-CN"/>
        </w:rPr>
        <w:t>，九家卫生院纳入区级管理</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年度一般公共预算财政拨款支出561191831.63元，主要用于以下方面：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一般公共服务支出（类）支出4000.00元，占0.00%；</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教育支出（类）支出3159119.23元，占0.56%；</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社会保障和就业支出（类）支出43902206.90元，占7.82%；</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卫生健康支出（类）支出486631976.05元，占86.71%；</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援助其他地区支出（类）支出993262.45元，占0.18%；</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住房保障支出（类）支出15615307.00元，占2.78%；</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债务付息支出（类）支出10885960.00元，占1.94%。</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00" w:firstLineChars="200"/>
        <w:rPr>
          <w:rFonts w:hint="eastAsia" w:ascii="仿宋_GB2312" w:eastAsia="仿宋_GB2312" w:cs="仿宋_GB2312"/>
          <w:sz w:val="30"/>
          <w:szCs w:val="30"/>
          <w:lang w:eastAsia="zh-CN"/>
        </w:rPr>
      </w:pPr>
      <w:r>
        <w:rPr>
          <w:rFonts w:hint="eastAsia" w:eastAsia="楷体"/>
          <w:sz w:val="30"/>
          <w:szCs w:val="30"/>
        </w:rPr>
        <w:t>2022</w:t>
      </w:r>
      <w:r>
        <w:rPr>
          <w:rFonts w:hint="eastAsia" w:ascii="仿宋_GB2312" w:eastAsia="仿宋_GB2312" w:cs="仿宋_GB2312"/>
          <w:sz w:val="30"/>
          <w:szCs w:val="30"/>
        </w:rPr>
        <w:t>年度一般公共预算财政拨款支出年初预算为</w:t>
      </w:r>
      <w:r>
        <w:rPr>
          <w:rFonts w:hint="eastAsia" w:ascii="仿宋_GB2312" w:eastAsia="仿宋_GB2312" w:cs="仿宋_GB2312"/>
          <w:sz w:val="30"/>
          <w:szCs w:val="30"/>
          <w:highlight w:val="none"/>
        </w:rPr>
        <w:t>501181759</w:t>
      </w:r>
      <w:r>
        <w:rPr>
          <w:rFonts w:hint="eastAsia" w:ascii="仿宋_GB2312" w:eastAsia="仿宋_GB2312" w:cs="仿宋_GB2312"/>
          <w:sz w:val="30"/>
          <w:szCs w:val="30"/>
          <w:highlight w:val="none"/>
          <w:lang w:val="en-US" w:eastAsia="zh-CN"/>
        </w:rPr>
        <w:t>.</w:t>
      </w:r>
      <w:r>
        <w:rPr>
          <w:rFonts w:hint="eastAsia" w:ascii="仿宋_GB2312" w:eastAsia="仿宋_GB2312" w:cs="仿宋_GB2312"/>
          <w:sz w:val="30"/>
          <w:szCs w:val="30"/>
          <w:highlight w:val="none"/>
        </w:rPr>
        <w:t>86元，支出决算为561191831.63元，完成年初预算的</w:t>
      </w:r>
      <w:r>
        <w:rPr>
          <w:rFonts w:hint="eastAsia" w:ascii="仿宋_GB2312" w:eastAsia="仿宋_GB2312" w:cs="仿宋_GB2312"/>
          <w:sz w:val="30"/>
          <w:szCs w:val="30"/>
          <w:highlight w:val="none"/>
          <w:lang w:val="en-US" w:eastAsia="zh-CN"/>
        </w:rPr>
        <w:t>111.97</w:t>
      </w:r>
      <w:r>
        <w:rPr>
          <w:rFonts w:hint="eastAsia" w:ascii="仿宋_GB2312" w:eastAsia="仿宋_GB2312" w:cs="仿宋_GB2312"/>
          <w:sz w:val="30"/>
          <w:szCs w:val="30"/>
          <w:highlight w:val="none"/>
        </w:rPr>
        <w:t>%。</w:t>
      </w:r>
      <w:r>
        <w:rPr>
          <w:rFonts w:hint="eastAsia" w:ascii="仿宋_GB2312" w:eastAsia="仿宋_GB2312" w:cs="仿宋_GB2312"/>
          <w:sz w:val="30"/>
          <w:szCs w:val="30"/>
        </w:rPr>
        <w:t>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一般公共服务支出（类）组织事务（款）其他组织事务支出（项）年初预算为</w:t>
      </w:r>
      <w:r>
        <w:rPr>
          <w:rFonts w:hint="eastAsia" w:ascii="仿宋_GB2312" w:eastAsia="仿宋_GB2312" w:cs="仿宋_GB2312"/>
          <w:sz w:val="30"/>
          <w:szCs w:val="30"/>
          <w:lang w:val="en-US" w:eastAsia="zh-CN"/>
        </w:rPr>
        <w:t>453000</w:t>
      </w:r>
      <w:r>
        <w:rPr>
          <w:rFonts w:hint="eastAsia" w:ascii="仿宋_GB2312" w:eastAsia="仿宋_GB2312" w:cs="仿宋_GB2312"/>
          <w:sz w:val="30"/>
          <w:szCs w:val="30"/>
        </w:rPr>
        <w:t>元，支出决算为4000.00元，完成年初预算数的</w:t>
      </w:r>
      <w:r>
        <w:rPr>
          <w:rFonts w:hint="eastAsia" w:ascii="仿宋_GB2312" w:eastAsia="仿宋_GB2312" w:cs="仿宋_GB2312"/>
          <w:sz w:val="30"/>
          <w:szCs w:val="30"/>
          <w:lang w:val="en-US" w:eastAsia="zh-CN"/>
        </w:rPr>
        <w:t>0.88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u w:val="none"/>
          <w:lang w:val="en-US" w:eastAsia="zh-CN"/>
        </w:rPr>
        <w:t>各医疗机构名医工作室进入正常运转期，费用减少</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教育支出（类）职业教育（款）中等职业教育（项）年初预算为3122299</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23元，支出决算为3159119.23元，完成年初预算数的</w:t>
      </w:r>
      <w:r>
        <w:rPr>
          <w:rFonts w:hint="eastAsia" w:ascii="仿宋_GB2312" w:eastAsia="仿宋_GB2312" w:cs="仿宋_GB2312"/>
          <w:sz w:val="30"/>
          <w:szCs w:val="30"/>
          <w:lang w:val="en-US" w:eastAsia="zh-CN"/>
        </w:rPr>
        <w:t>101.18</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津南卫校人员变动调整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社会保障和就业支出（类）人力资源和社会保障管理事务（款）其他人力资源和社会保障管理事务支出（项）年初预算为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元，支出决算为3816.00元，决算数大于年初预算数的主要原因是</w:t>
      </w:r>
      <w:r>
        <w:rPr>
          <w:rFonts w:hint="eastAsia" w:ascii="仿宋_GB2312" w:eastAsia="仿宋_GB2312" w:cs="仿宋_GB2312"/>
          <w:sz w:val="30"/>
          <w:szCs w:val="30"/>
          <w:lang w:val="en-US" w:eastAsia="zh-CN"/>
        </w:rPr>
        <w:t>辛庄卫生院</w:t>
      </w:r>
      <w:r>
        <w:rPr>
          <w:rFonts w:hint="eastAsia" w:ascii="仿宋_GB2312" w:eastAsia="仿宋_GB2312" w:cs="仿宋_GB2312"/>
          <w:sz w:val="30"/>
          <w:szCs w:val="30"/>
          <w:highlight w:val="none"/>
          <w:lang w:val="en-US" w:eastAsia="zh-CN"/>
        </w:rPr>
        <w:t>年末追加调整三支一扶经费</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社会保障和就业支出（类）行政事业单位养老支出（款）机关事业单位基本养老保险缴费支出（项）年初预算为31366830</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6</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元，支出决算为29266865.90元，完成年初预算数的</w:t>
      </w:r>
      <w:r>
        <w:rPr>
          <w:rFonts w:hint="eastAsia" w:ascii="仿宋_GB2312" w:eastAsia="仿宋_GB2312" w:cs="仿宋_GB2312"/>
          <w:sz w:val="30"/>
          <w:szCs w:val="30"/>
          <w:lang w:val="en-US" w:eastAsia="zh-CN"/>
        </w:rPr>
        <w:t>93.31</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u w:val="none"/>
          <w:lang w:val="en-US" w:eastAsia="zh-CN"/>
        </w:rPr>
        <w:t>人员变动调整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社会保障和就业支出（类）行政事业单位养老支出（款）机关事业单位职业年金缴费支出（项）年初预算为15683416</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44元，支出决算为14631525.00元，完成年初预算数的</w:t>
      </w:r>
      <w:r>
        <w:rPr>
          <w:rFonts w:hint="eastAsia" w:ascii="仿宋_GB2312" w:eastAsia="仿宋_GB2312" w:cs="仿宋_GB2312"/>
          <w:sz w:val="30"/>
          <w:szCs w:val="30"/>
          <w:lang w:val="en-US" w:eastAsia="zh-CN"/>
        </w:rPr>
        <w:t>93.29</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u w:val="none"/>
          <w:lang w:val="en-US" w:eastAsia="zh-CN"/>
        </w:rPr>
        <w:t>人员变动调整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卫生健康支出（类）卫生健康管理事务（款）行政运行（项）年初预算为8481555</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88元，支出决算为8919695.41元，完成年初预算数的</w:t>
      </w:r>
      <w:r>
        <w:rPr>
          <w:rFonts w:hint="eastAsia" w:ascii="仿宋_GB2312" w:eastAsia="仿宋_GB2312" w:cs="仿宋_GB2312"/>
          <w:sz w:val="30"/>
          <w:szCs w:val="30"/>
          <w:lang w:val="en-US" w:eastAsia="zh-CN"/>
        </w:rPr>
        <w:t>105.17</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区卫健委机关人员变动调整，追加绩效奖金等</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卫生健康支出（类）卫生健康管理事务（款）其他卫生健康管理事务支出（项）年初预算为38005105</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54元，支出决算为19726705.73元，完成年初预算数的</w:t>
      </w:r>
      <w:r>
        <w:rPr>
          <w:rFonts w:hint="eastAsia" w:ascii="仿宋_GB2312" w:eastAsia="仿宋_GB2312" w:cs="仿宋_GB2312"/>
          <w:sz w:val="30"/>
          <w:szCs w:val="30"/>
          <w:lang w:val="en-US" w:eastAsia="zh-CN"/>
        </w:rPr>
        <w:t>51.91</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受疫情影响，财政资金紧张，部分项目款未结清</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卫生健康支出（类）公立医院（款）综合医院（项）年初预算为56234056</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56元，支出决算为55866428.89元，完成年初预算数的</w:t>
      </w:r>
      <w:r>
        <w:rPr>
          <w:rFonts w:hint="eastAsia" w:ascii="仿宋_GB2312" w:eastAsia="仿宋_GB2312" w:cs="仿宋_GB2312"/>
          <w:sz w:val="30"/>
          <w:szCs w:val="30"/>
          <w:lang w:val="en-US" w:eastAsia="zh-CN"/>
        </w:rPr>
        <w:t>99.35</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公立医院人员变动调整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卫生健康支出（类）公立医院（款）中医（民族）医院（项）年初预算为19412824</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64元，支出决算为12493860.80元，完成年初预算数的</w:t>
      </w:r>
      <w:r>
        <w:rPr>
          <w:rFonts w:hint="eastAsia" w:ascii="仿宋_GB2312" w:eastAsia="仿宋_GB2312" w:cs="仿宋_GB2312"/>
          <w:sz w:val="30"/>
          <w:szCs w:val="30"/>
          <w:lang w:val="en-US" w:eastAsia="zh-CN"/>
        </w:rPr>
        <w:t>64.36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2022年区财政未批复中医院设备购置、基础设施建设等项目资金，当年未完成采购计划</w:t>
      </w:r>
      <w:r>
        <w:rPr>
          <w:rFonts w:hint="eastAsia" w:ascii="仿宋_GB2312" w:eastAsia="仿宋_GB2312" w:cs="仿宋_GB2312"/>
          <w:sz w:val="30"/>
          <w:szCs w:val="30"/>
          <w:lang w:eastAsia="zh-CN"/>
        </w:rPr>
        <w:t>。</w:t>
      </w:r>
    </w:p>
    <w:p>
      <w:pPr>
        <w:spacing w:line="600" w:lineRule="exact"/>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卫生健康支出（类）基层医疗卫生机构（款）城市社区卫生机构（项）年初预算为13246060</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69元，支出决算为18283418.04元，完成年初预算数的</w:t>
      </w:r>
      <w:r>
        <w:rPr>
          <w:rFonts w:hint="eastAsia" w:ascii="仿宋_GB2312" w:eastAsia="仿宋_GB2312" w:cs="仿宋_GB2312"/>
          <w:sz w:val="30"/>
          <w:szCs w:val="30"/>
          <w:lang w:val="en-US" w:eastAsia="zh-CN"/>
        </w:rPr>
        <w:t>138.03</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市级下达村卫生室补助等项目经费，为年度内追加调整，未纳入年初预算</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卫生健康支出（类）基层医疗卫生机构（款）乡镇卫生院（项）年初预算为82728317</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96元，支出决算为81662613.81元，完成年初预算数的</w:t>
      </w:r>
      <w:r>
        <w:rPr>
          <w:rFonts w:hint="eastAsia" w:ascii="仿宋_GB2312" w:eastAsia="仿宋_GB2312" w:cs="仿宋_GB2312"/>
          <w:sz w:val="30"/>
          <w:szCs w:val="30"/>
          <w:lang w:val="en-US" w:eastAsia="zh-CN"/>
        </w:rPr>
        <w:t>98.71</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各乡镇卫生院人员变动调整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卫生健康支出（类）公共卫生（款）疾病预防控制机构（项）年初预算为24006274</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88元，支出决算为31657116.19元，完成年初预算数的</w:t>
      </w:r>
      <w:r>
        <w:rPr>
          <w:rFonts w:hint="eastAsia" w:ascii="仿宋_GB2312" w:eastAsia="仿宋_GB2312" w:cs="仿宋_GB2312"/>
          <w:sz w:val="30"/>
          <w:szCs w:val="30"/>
          <w:lang w:val="en-US" w:eastAsia="zh-CN"/>
        </w:rPr>
        <w:t>131.87</w:t>
      </w:r>
      <w:r>
        <w:rPr>
          <w:rFonts w:hint="eastAsia" w:ascii="仿宋_GB2312" w:eastAsia="仿宋_GB2312" w:cs="仿宋_GB2312"/>
          <w:sz w:val="30"/>
          <w:szCs w:val="30"/>
        </w:rPr>
        <w:t>%，决算数大于年初预算数的主要原因是</w:t>
      </w:r>
      <w:r>
        <w:rPr>
          <w:rFonts w:hint="eastAsia" w:ascii="仿宋_GB2312" w:eastAsia="仿宋_GB2312" w:cs="仿宋_GB2312"/>
          <w:i w:val="0"/>
          <w:iCs w:val="0"/>
          <w:strike w:val="0"/>
          <w:dstrike w:val="0"/>
          <w:sz w:val="30"/>
          <w:szCs w:val="30"/>
          <w:u w:val="none"/>
        </w:rPr>
        <w:t>疾病预防控制中心综合实验楼建设工程</w:t>
      </w:r>
      <w:r>
        <w:rPr>
          <w:rFonts w:hint="eastAsia" w:ascii="仿宋_GB2312" w:eastAsia="仿宋_GB2312" w:cs="仿宋_GB2312"/>
          <w:i w:val="0"/>
          <w:iCs w:val="0"/>
          <w:strike w:val="0"/>
          <w:dstrike w:val="0"/>
          <w:sz w:val="30"/>
          <w:szCs w:val="30"/>
          <w:u w:val="none"/>
          <w:lang w:eastAsia="zh-CN"/>
        </w:rPr>
        <w:t>款</w:t>
      </w:r>
      <w:r>
        <w:rPr>
          <w:rFonts w:hint="eastAsia" w:ascii="仿宋_GB2312" w:eastAsia="仿宋_GB2312" w:cs="仿宋_GB2312"/>
          <w:i w:val="0"/>
          <w:iCs w:val="0"/>
          <w:strike w:val="0"/>
          <w:dstrike w:val="0"/>
          <w:sz w:val="30"/>
          <w:szCs w:val="30"/>
          <w:highlight w:val="none"/>
          <w:u w:val="none"/>
          <w:lang w:eastAsia="zh-CN"/>
        </w:rPr>
        <w:t>增加</w:t>
      </w:r>
      <w:r>
        <w:rPr>
          <w:rFonts w:hint="eastAsia" w:ascii="仿宋_GB2312" w:eastAsia="仿宋_GB2312" w:cs="仿宋_GB2312"/>
          <w:sz w:val="30"/>
          <w:szCs w:val="30"/>
          <w:highlight w:val="none"/>
          <w:lang w:eastAsia="zh-CN"/>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卫生健康支出（类）公共卫生（款）卫生监督机构（项）年初预算为7567409</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68元，支出决算为7861241.49元，完成年初预算数的</w:t>
      </w:r>
      <w:r>
        <w:rPr>
          <w:rFonts w:hint="eastAsia" w:ascii="仿宋_GB2312" w:eastAsia="仿宋_GB2312" w:cs="仿宋_GB2312"/>
          <w:sz w:val="30"/>
          <w:szCs w:val="30"/>
          <w:lang w:val="en-US" w:eastAsia="zh-CN"/>
        </w:rPr>
        <w:t>103.88</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监督所人员变动调整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卫生健康支出（类）公共卫生（款）妇幼保健机构（项）年初预算为18294758</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98元，支出决算为17400325.59元，完成年初预算数的</w:t>
      </w:r>
      <w:r>
        <w:rPr>
          <w:rFonts w:hint="eastAsia" w:ascii="仿宋_GB2312" w:eastAsia="仿宋_GB2312" w:cs="仿宋_GB2312"/>
          <w:sz w:val="30"/>
          <w:szCs w:val="30"/>
          <w:lang w:val="en-US" w:eastAsia="zh-CN"/>
        </w:rPr>
        <w:t>95.11</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妇幼</w:t>
      </w:r>
      <w:r>
        <w:rPr>
          <w:rFonts w:hint="eastAsia" w:ascii="仿宋_GB2312" w:eastAsia="仿宋_GB2312" w:cs="仿宋_GB2312"/>
          <w:sz w:val="30"/>
          <w:szCs w:val="30"/>
        </w:rPr>
        <w:t>职工退休3人，以及受疫情影响，日常基本人员及基本公共卫生等项目支出减少</w:t>
      </w:r>
      <w:r>
        <w:rPr>
          <w:rFonts w:hint="eastAsia" w:ascii="仿宋_GB2312" w:eastAsia="仿宋_GB2312" w:cs="仿宋_GB2312"/>
          <w:sz w:val="30"/>
          <w:szCs w:val="30"/>
          <w:lang w:eastAsia="zh-CN"/>
        </w:rPr>
        <w:t>。</w:t>
      </w:r>
    </w:p>
    <w:p>
      <w:pPr>
        <w:spacing w:line="600" w:lineRule="exact"/>
        <w:ind w:firstLine="600"/>
        <w:rPr>
          <w:rFonts w:hint="eastAsia" w:ascii="仿宋_GB2312" w:eastAsia="仿宋_GB2312" w:cs="仿宋_GB2312"/>
          <w:sz w:val="30"/>
          <w:szCs w:val="30"/>
          <w:highlight w:val="none"/>
          <w:lang w:val="en-US" w:eastAsia="zh-CN"/>
        </w:rPr>
      </w:pPr>
      <w:r>
        <w:rPr>
          <w:rFonts w:hint="eastAsia" w:ascii="仿宋_GB2312" w:eastAsia="仿宋_GB2312" w:cs="仿宋_GB2312"/>
          <w:sz w:val="30"/>
          <w:szCs w:val="30"/>
        </w:rPr>
        <w:t>卫生健康支出（类）公共卫生（款）基本公共卫生服务（项）年初预算为66779854</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64元，支出决算为72498471.56元，完成年初预算数的</w:t>
      </w:r>
      <w:r>
        <w:rPr>
          <w:rFonts w:hint="eastAsia" w:ascii="仿宋_GB2312" w:eastAsia="仿宋_GB2312" w:cs="仿宋_GB2312"/>
          <w:sz w:val="30"/>
          <w:szCs w:val="30"/>
          <w:lang w:val="en-US" w:eastAsia="zh-CN"/>
        </w:rPr>
        <w:t>108.56</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市级以上匹配项目资金为年内追加调整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卫生健康支出（类）公共卫生（款）重大公共卫生服务（项）年初预算为2155047元，支出决算为1923699.20元，完成年初预算数的</w:t>
      </w:r>
      <w:r>
        <w:rPr>
          <w:rFonts w:hint="eastAsia" w:ascii="仿宋_GB2312" w:eastAsia="仿宋_GB2312" w:cs="仿宋_GB2312"/>
          <w:sz w:val="30"/>
          <w:szCs w:val="30"/>
          <w:lang w:val="en-US" w:eastAsia="zh-CN"/>
        </w:rPr>
        <w:t>89.26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受疫情影响，财政资金紧张，部分项目款未结清</w:t>
      </w:r>
      <w:r>
        <w:rPr>
          <w:rFonts w:hint="eastAsia" w:ascii="仿宋_GB2312" w:eastAsia="仿宋_GB2312" w:cs="仿宋_GB2312"/>
          <w:sz w:val="30"/>
          <w:szCs w:val="30"/>
          <w:highlight w:val="none"/>
          <w:lang w:val="en-US" w:eastAsia="zh-CN"/>
        </w:rPr>
        <w:t>。</w:t>
      </w:r>
      <w:r>
        <w:rPr>
          <w:rFonts w:hint="eastAsia" w:ascii="仿宋_GB2312" w:eastAsia="仿宋_GB2312" w:cs="仿宋_GB2312"/>
          <w:sz w:val="30"/>
          <w:szCs w:val="30"/>
          <w:highlight w:val="none"/>
        </w:rPr>
        <w:br w:type="textWrapping"/>
      </w:r>
      <w:r>
        <w:rPr>
          <w:rFonts w:hint="eastAsia" w:ascii="仿宋_GB2312" w:eastAsia="仿宋_GB2312" w:cs="仿宋_GB2312"/>
          <w:sz w:val="30"/>
          <w:szCs w:val="30"/>
        </w:rPr>
        <w:t xml:space="preserve">    卫生健康支出（类）公共卫生（款）突发公共卫生事件应急处理（项）年初预算为1582341</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元，支出决算为80223738.08元，完成年初预算数的</w:t>
      </w:r>
      <w:r>
        <w:rPr>
          <w:rFonts w:hint="eastAsia" w:ascii="仿宋_GB2312" w:eastAsia="仿宋_GB2312" w:cs="仿宋_GB2312"/>
          <w:sz w:val="30"/>
          <w:szCs w:val="30"/>
          <w:lang w:val="en-US" w:eastAsia="zh-CN"/>
        </w:rPr>
        <w:t>506.99</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2022年津南区爆发大规模新冠疫情，用于疫情防控支出增加</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卫生健康支出（类）公共卫生（款）其他公共卫生支出（项）年初预算为67527</w:t>
      </w:r>
      <w:r>
        <w:rPr>
          <w:rFonts w:hint="eastAsia" w:ascii="仿宋_GB2312" w:eastAsia="仿宋_GB2312" w:cs="仿宋_GB2312"/>
          <w:sz w:val="30"/>
          <w:szCs w:val="30"/>
          <w:lang w:val="en-US" w:eastAsia="zh-CN"/>
        </w:rPr>
        <w:t>00</w:t>
      </w:r>
      <w:r>
        <w:rPr>
          <w:rFonts w:hint="eastAsia" w:ascii="仿宋_GB2312" w:eastAsia="仿宋_GB2312" w:cs="仿宋_GB2312"/>
          <w:sz w:val="30"/>
          <w:szCs w:val="30"/>
        </w:rPr>
        <w:t>元，支出决算为6296169.10元，完成年初预算数的</w:t>
      </w:r>
      <w:r>
        <w:rPr>
          <w:rFonts w:hint="eastAsia" w:ascii="仿宋_GB2312" w:eastAsia="仿宋_GB2312" w:cs="仿宋_GB2312"/>
          <w:sz w:val="30"/>
          <w:szCs w:val="30"/>
          <w:lang w:val="en-US" w:eastAsia="zh-CN"/>
        </w:rPr>
        <w:t>93.24</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受疫情影响，财政资金紧张，部分项目款未结清</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卫生健康支出（类）中医药（款）中医（民族医）药专项（项）年初预算为10575</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5</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元，支出决算为9212.43元，完成年初预算数的</w:t>
      </w:r>
      <w:r>
        <w:rPr>
          <w:rFonts w:hint="eastAsia" w:ascii="仿宋_GB2312" w:eastAsia="仿宋_GB2312" w:cs="仿宋_GB2312"/>
          <w:sz w:val="30"/>
          <w:szCs w:val="30"/>
          <w:lang w:val="en-US" w:eastAsia="zh-CN"/>
        </w:rPr>
        <w:t>87.11</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highlight w:val="none"/>
          <w:lang w:val="en-US" w:eastAsia="zh-CN"/>
        </w:rPr>
        <w:t>受疫情影响，外出培训学习减少。</w:t>
      </w:r>
    </w:p>
    <w:p>
      <w:pPr>
        <w:spacing w:line="600" w:lineRule="exact"/>
        <w:rPr>
          <w:rFonts w:ascii="仿宋_GB2312" w:eastAsia="仿宋_GB2312" w:cs="仿宋_GB2312"/>
          <w:sz w:val="30"/>
          <w:szCs w:val="30"/>
        </w:rPr>
      </w:pPr>
      <w:r>
        <w:rPr>
          <w:rFonts w:hint="eastAsia" w:ascii="仿宋_GB2312" w:eastAsia="仿宋_GB2312" w:cs="仿宋_GB2312"/>
          <w:sz w:val="30"/>
          <w:szCs w:val="30"/>
        </w:rPr>
        <w:t xml:space="preserve">    卫生健康支出（类）中医药（款）其他中医药支出（项）年初预算为8583</w:t>
      </w:r>
      <w:r>
        <w:rPr>
          <w:rFonts w:hint="eastAsia" w:ascii="仿宋_GB2312" w:eastAsia="仿宋_GB2312" w:cs="仿宋_GB2312"/>
          <w:sz w:val="30"/>
          <w:szCs w:val="30"/>
          <w:lang w:val="en-US" w:eastAsia="zh-CN"/>
        </w:rPr>
        <w:t>0.00</w:t>
      </w:r>
      <w:r>
        <w:rPr>
          <w:rFonts w:hint="eastAsia" w:ascii="仿宋_GB2312" w:eastAsia="仿宋_GB2312" w:cs="仿宋_GB2312"/>
          <w:sz w:val="30"/>
          <w:szCs w:val="30"/>
        </w:rPr>
        <w:t>元，支出决算为132108.50元，完成年初预算数的</w:t>
      </w:r>
      <w:r>
        <w:rPr>
          <w:rFonts w:hint="eastAsia" w:ascii="仿宋_GB2312" w:eastAsia="仿宋_GB2312" w:cs="仿宋_GB2312"/>
          <w:sz w:val="30"/>
          <w:szCs w:val="30"/>
          <w:lang w:val="en-US" w:eastAsia="zh-CN"/>
        </w:rPr>
        <w:t>153.92</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对口帮扶贫困中医医院等项目为年内追加调整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卫生健康支出（类）计划生育事务（款）计划生育服务（项）年初预算为38483538</w:t>
      </w:r>
      <w:r>
        <w:rPr>
          <w:rFonts w:hint="eastAsia" w:ascii="仿宋_GB2312" w:eastAsia="仿宋_GB2312" w:cs="仿宋_GB2312"/>
          <w:sz w:val="30"/>
          <w:szCs w:val="30"/>
          <w:lang w:val="en-US" w:eastAsia="zh-CN"/>
        </w:rPr>
        <w:t>.00</w:t>
      </w:r>
      <w:r>
        <w:rPr>
          <w:rFonts w:hint="eastAsia" w:ascii="仿宋_GB2312" w:eastAsia="仿宋_GB2312" w:cs="仿宋_GB2312"/>
          <w:sz w:val="30"/>
          <w:szCs w:val="30"/>
        </w:rPr>
        <w:t>元，支出决算为50784386.00元，完成年初预算数的</w:t>
      </w:r>
      <w:r>
        <w:rPr>
          <w:rFonts w:hint="eastAsia" w:ascii="仿宋_GB2312" w:eastAsia="仿宋_GB2312" w:cs="仿宋_GB2312"/>
          <w:sz w:val="30"/>
          <w:szCs w:val="30"/>
          <w:lang w:val="en-US" w:eastAsia="zh-CN"/>
        </w:rPr>
        <w:t>131.96</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奖扶特扶项目资金由市区镇三级财政匹配，匹配资金于年度内追加下达</w:t>
      </w:r>
      <w:r>
        <w:rPr>
          <w:rFonts w:hint="eastAsia" w:ascii="仿宋_GB2312" w:hAnsi="Times New Roman" w:eastAsia="仿宋_GB2312" w:cs="仿宋_GB2312"/>
          <w:sz w:val="30"/>
          <w:szCs w:val="30"/>
          <w:u w:val="none"/>
          <w:lang w:val="en-US" w:eastAsia="zh-CN"/>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卫生健康支出（类）行政事业单位医疗（款）行政单位医疗（项）年初预算为921908</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68元，支出决算为616380.81元，完成年初预算数的</w:t>
      </w:r>
      <w:r>
        <w:rPr>
          <w:rFonts w:hint="eastAsia" w:ascii="仿宋_GB2312" w:eastAsia="仿宋_GB2312" w:cs="仿宋_GB2312"/>
          <w:sz w:val="30"/>
          <w:szCs w:val="30"/>
          <w:lang w:val="en-US" w:eastAsia="zh-CN"/>
        </w:rPr>
        <w:t>66.86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离休干部报销药费减少</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卫生健康支出（类）行政事业单位医疗（款）事业单位医疗（项）年初预算为19015809</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92元，支出决算为17245321.39元，完成年初预算数的</w:t>
      </w:r>
      <w:r>
        <w:rPr>
          <w:rFonts w:hint="eastAsia" w:ascii="仿宋_GB2312" w:eastAsia="仿宋_GB2312" w:cs="仿宋_GB2312"/>
          <w:sz w:val="30"/>
          <w:szCs w:val="30"/>
          <w:lang w:val="en-US" w:eastAsia="zh-CN"/>
        </w:rPr>
        <w:t>90.69</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各医疗机构人员调整变动</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卫生健康支出（类）行政事业单位医疗（款）公务员医疗补助（项）年初预算为240299</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04元，支出决算为119515.56元，完成年初预算数的</w:t>
      </w:r>
      <w:r>
        <w:rPr>
          <w:rFonts w:hint="eastAsia" w:ascii="仿宋_GB2312" w:eastAsia="仿宋_GB2312" w:cs="仿宋_GB2312"/>
          <w:sz w:val="30"/>
          <w:szCs w:val="30"/>
          <w:lang w:val="en-US" w:eastAsia="zh-CN"/>
        </w:rPr>
        <w:t>49.74</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公务员医疗补助保险缴费比例调整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卫生健康支出（类）行政事业单位医疗（款）其他行政事业单位医疗支出（项）年初预算为24372</w:t>
      </w:r>
      <w:r>
        <w:rPr>
          <w:rFonts w:hint="eastAsia" w:ascii="仿宋_GB2312" w:eastAsia="仿宋_GB2312" w:cs="仿宋_GB2312"/>
          <w:sz w:val="30"/>
          <w:szCs w:val="30"/>
          <w:lang w:val="en-US" w:eastAsia="zh-CN"/>
        </w:rPr>
        <w:t>00</w:t>
      </w:r>
      <w:r>
        <w:rPr>
          <w:rFonts w:hint="eastAsia" w:ascii="仿宋_GB2312" w:eastAsia="仿宋_GB2312" w:cs="仿宋_GB2312"/>
          <w:sz w:val="30"/>
          <w:szCs w:val="30"/>
        </w:rPr>
        <w:t>元，支出决算为2326773.97元，完成年初预算数的</w:t>
      </w:r>
      <w:r>
        <w:rPr>
          <w:rFonts w:hint="eastAsia" w:ascii="仿宋_GB2312" w:eastAsia="仿宋_GB2312" w:cs="仿宋_GB2312"/>
          <w:sz w:val="30"/>
          <w:szCs w:val="30"/>
          <w:lang w:val="en-US" w:eastAsia="zh-CN"/>
        </w:rPr>
        <w:t>95.47</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各医疗机构人员调整变动</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卫生健康支出（类）其他卫生健康支出（款）其他卫生健康支出（项）年初预算为64074</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元，支出决算为584793.50元，完成年初预算数的</w:t>
      </w:r>
      <w:r>
        <w:rPr>
          <w:rFonts w:hint="eastAsia" w:ascii="仿宋_GB2312" w:eastAsia="仿宋_GB2312" w:cs="仿宋_GB2312"/>
          <w:sz w:val="30"/>
          <w:szCs w:val="30"/>
          <w:lang w:val="en-US" w:eastAsia="zh-CN"/>
        </w:rPr>
        <w:t>91.27</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部分项目受疫情影响，没有全部完成</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援助其他地区支出（类）卫生健康（款）卫生健康（项）年初预算为25222</w:t>
      </w:r>
      <w:r>
        <w:rPr>
          <w:rFonts w:hint="eastAsia" w:ascii="仿宋_GB2312" w:eastAsia="仿宋_GB2312" w:cs="仿宋_GB2312"/>
          <w:sz w:val="30"/>
          <w:szCs w:val="30"/>
          <w:lang w:val="en-US" w:eastAsia="zh-CN"/>
        </w:rPr>
        <w:t>00</w:t>
      </w:r>
      <w:r>
        <w:rPr>
          <w:rFonts w:hint="eastAsia" w:ascii="仿宋_GB2312" w:eastAsia="仿宋_GB2312" w:cs="仿宋_GB2312"/>
          <w:sz w:val="30"/>
          <w:szCs w:val="30"/>
        </w:rPr>
        <w:t>元，支出决算为993262.45元，完成年初预算数的</w:t>
      </w:r>
      <w:r>
        <w:rPr>
          <w:rFonts w:hint="eastAsia" w:ascii="仿宋_GB2312" w:eastAsia="仿宋_GB2312" w:cs="仿宋_GB2312"/>
          <w:sz w:val="30"/>
          <w:szCs w:val="30"/>
          <w:lang w:val="en-US" w:eastAsia="zh-CN"/>
        </w:rPr>
        <w:t>39.38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受疫情影响，</w:t>
      </w:r>
      <w:r>
        <w:rPr>
          <w:rFonts w:hint="eastAsia" w:ascii="仿宋_GB2312" w:eastAsia="仿宋_GB2312" w:cs="仿宋_GB2312"/>
          <w:sz w:val="30"/>
          <w:szCs w:val="30"/>
          <w:u w:val="none"/>
          <w:lang w:val="en-US" w:eastAsia="zh-CN"/>
        </w:rPr>
        <w:t>援派计划变动较大</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住房保障支出（类）住房改革支出（款）住房公积金（项）年初预算为15824776</w:t>
      </w:r>
      <w:r>
        <w:rPr>
          <w:rFonts w:hint="eastAsia" w:ascii="仿宋_GB2312" w:eastAsia="仿宋_GB2312" w:cs="仿宋_GB2312"/>
          <w:sz w:val="30"/>
          <w:szCs w:val="30"/>
          <w:lang w:val="en-US" w:eastAsia="zh-CN"/>
        </w:rPr>
        <w:t>.00</w:t>
      </w:r>
      <w:r>
        <w:rPr>
          <w:rFonts w:hint="eastAsia" w:ascii="仿宋_GB2312" w:eastAsia="仿宋_GB2312" w:cs="仿宋_GB2312"/>
          <w:sz w:val="30"/>
          <w:szCs w:val="30"/>
        </w:rPr>
        <w:t>元，支出决算为15615307.00元，完成年初预算数的</w:t>
      </w:r>
      <w:r>
        <w:rPr>
          <w:rFonts w:hint="eastAsia" w:ascii="仿宋_GB2312" w:eastAsia="仿宋_GB2312" w:cs="仿宋_GB2312"/>
          <w:sz w:val="30"/>
          <w:szCs w:val="30"/>
          <w:lang w:val="en-US" w:eastAsia="zh-CN"/>
        </w:rPr>
        <w:t>98.68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各单位人员变动调整</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债务付息支出（类）地方政府一般债务付息支出（款）地方政府一般债券付息支出（项）年初预算为1088596</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元，支出决算为10885960.00元，完成年初预算数的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%，决算数</w:t>
      </w:r>
      <w:r>
        <w:rPr>
          <w:rFonts w:hint="eastAsia" w:ascii="仿宋_GB2312" w:eastAsia="仿宋_GB2312" w:cs="仿宋_GB2312"/>
          <w:sz w:val="30"/>
          <w:szCs w:val="30"/>
          <w:lang w:val="en-US" w:eastAsia="zh-CN"/>
        </w:rPr>
        <w:t>等于</w:t>
      </w:r>
      <w:r>
        <w:rPr>
          <w:rFonts w:hint="eastAsia" w:ascii="仿宋_GB2312" w:eastAsia="仿宋_GB2312" w:cs="仿宋_GB2312"/>
          <w:sz w:val="30"/>
          <w:szCs w:val="30"/>
        </w:rPr>
        <w:t>年初预算数。</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天津市津南区卫生健康委员会</w:t>
      </w:r>
      <w:r>
        <w:rPr>
          <w:rFonts w:hint="eastAsia" w:eastAsia="楷体"/>
          <w:sz w:val="30"/>
          <w:szCs w:val="30"/>
        </w:rPr>
        <w:t>2022</w:t>
      </w:r>
      <w:r>
        <w:rPr>
          <w:rFonts w:hint="eastAsia" w:ascii="仿宋_GB2312" w:eastAsia="仿宋_GB2312" w:cs="仿宋_GB2312"/>
          <w:sz w:val="30"/>
          <w:szCs w:val="30"/>
        </w:rPr>
        <w:t>年度一般公共预算财政拨款基本支出合计282941893.50元，与2021年度相比增加134846439.00元，主要原因是</w:t>
      </w:r>
      <w:r>
        <w:rPr>
          <w:rFonts w:hint="eastAsia" w:eastAsia="仿宋_GB2312"/>
          <w:sz w:val="30"/>
          <w:szCs w:val="30"/>
          <w:u w:val="none"/>
          <w:lang w:eastAsia="zh-CN"/>
        </w:rPr>
        <w:t>增加新成立</w:t>
      </w:r>
      <w:r>
        <w:rPr>
          <w:rFonts w:hint="eastAsia" w:eastAsia="仿宋_GB2312"/>
          <w:sz w:val="30"/>
          <w:szCs w:val="30"/>
          <w:u w:val="none"/>
          <w:lang w:val="en-US" w:eastAsia="zh-CN"/>
        </w:rPr>
        <w:t>一</w:t>
      </w:r>
      <w:r>
        <w:rPr>
          <w:rFonts w:hint="eastAsia" w:eastAsia="仿宋_GB2312"/>
          <w:sz w:val="30"/>
          <w:szCs w:val="30"/>
          <w:u w:val="none"/>
          <w:lang w:eastAsia="zh-CN"/>
        </w:rPr>
        <w:t>家社区卫生服务中心</w:t>
      </w:r>
      <w:r>
        <w:rPr>
          <w:rFonts w:eastAsia="仿宋_GB2312"/>
          <w:sz w:val="30"/>
          <w:szCs w:val="30"/>
          <w:u w:val="none"/>
        </w:rPr>
        <w:t xml:space="preserve"> </w:t>
      </w:r>
      <w:r>
        <w:rPr>
          <w:rFonts w:hint="eastAsia" w:eastAsia="仿宋_GB2312"/>
          <w:sz w:val="30"/>
          <w:szCs w:val="30"/>
          <w:u w:val="none"/>
          <w:lang w:eastAsia="zh-CN"/>
        </w:rPr>
        <w:t>，九家卫生院纳入区级管理，</w:t>
      </w:r>
      <w:r>
        <w:rPr>
          <w:rFonts w:hint="eastAsia" w:ascii="仿宋_GB2312" w:eastAsia="仿宋_GB2312" w:cs="仿宋_GB2312"/>
          <w:sz w:val="30"/>
          <w:szCs w:val="30"/>
        </w:rPr>
        <w:t>其中：</w:t>
      </w:r>
      <w:r>
        <w:rPr>
          <w:rFonts w:hint="eastAsia" w:ascii="仿宋_GB2312" w:eastAsia="仿宋_GB2312" w:cs="仿宋_GB2312"/>
          <w:sz w:val="30"/>
          <w:szCs w:val="30"/>
        </w:rPr>
        <w:br w:type="textWrapping"/>
      </w:r>
      <w:r>
        <w:rPr>
          <w:rFonts w:hint="eastAsia" w:ascii="仿宋_GB2312" w:eastAsia="仿宋_GB2312" w:cs="仿宋_GB2312"/>
          <w:sz w:val="30"/>
          <w:szCs w:val="30"/>
        </w:rPr>
        <w:t>　　人员经费260628062.53元，主要包括基本工资、津贴补贴、奖金、绩效工资、机关事业单位养老保险缴费、职业年金缴费、职工基本医疗保险缴费、公务员医疗补助缴费、其他社会保障缴费、住房公积金、医疗费、其他工资福利支出、离休费、退休费、抚恤金、生活补助、其他对个人和家庭补助；</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22313830.97元，主要包括办公费、印刷费、咨询费、手续费、水费、电费、邮电费、取暖费、物业管理费、差旅费、维修（护）费、租赁费、培训费、专用材料费、劳务费、工会经费、福利费、公务用车运行维护费、其他交通费用、其他商品和服务支出、办公设备购置。</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健康委员会2022年度政府性基金预算财政拨款年初结转和结余3025932.38元，收入15800000.00元，支出18825932.38元，年末结转和结余0.00元。与2021年度相比，政府性基金预算财政拨款支出减少2792004.33元，下降12.92%，主要原因是</w:t>
      </w:r>
      <w:r>
        <w:rPr>
          <w:rFonts w:hint="eastAsia" w:ascii="仿宋_GB2312" w:eastAsia="仿宋_GB2312" w:cs="仿宋_GB2312"/>
          <w:sz w:val="30"/>
          <w:szCs w:val="30"/>
          <w:u w:val="none"/>
          <w:lang w:val="en-US" w:eastAsia="zh-CN"/>
        </w:rPr>
        <w:t>津南医院迁建工程竣工，工程款减少，增加了债券利息支出</w:t>
      </w:r>
      <w:r>
        <w:rPr>
          <w:rFonts w:hint="eastAsia" w:ascii="仿宋_GB2312" w:eastAsia="仿宋_GB2312" w:cs="仿宋_GB2312"/>
          <w:sz w:val="30"/>
          <w:szCs w:val="30"/>
        </w:rPr>
        <w:t>。</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天津市津南区卫生健康委员会2022年度无国有资本经营预算财政拨款收入、支出和结转结余。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45"/>
        <w:jc w:val="both"/>
        <w:rPr>
          <w:rFonts w:hint="eastAsia" w:ascii="仿宋_GB2312" w:eastAsia="仿宋_GB2312" w:cs="仿宋_GB2312"/>
          <w:sz w:val="30"/>
          <w:szCs w:val="30"/>
          <w:lang w:val="en-US" w:eastAsia="zh-CN"/>
        </w:rPr>
      </w:pPr>
      <w:r>
        <w:rPr>
          <w:rFonts w:hint="eastAsia" w:eastAsia="楷体"/>
          <w:sz w:val="30"/>
          <w:szCs w:val="30"/>
        </w:rPr>
        <w:t>2022</w:t>
      </w:r>
      <w:r>
        <w:rPr>
          <w:rFonts w:hint="eastAsia" w:ascii="仿宋_GB2312" w:eastAsia="仿宋_GB2312" w:cs="仿宋_GB2312"/>
          <w:sz w:val="30"/>
          <w:szCs w:val="30"/>
        </w:rPr>
        <w:t>年一般公共预算财政拨款“三公”经费预算</w:t>
      </w:r>
      <w:r>
        <w:rPr>
          <w:rFonts w:hint="eastAsia" w:ascii="仿宋_GB2312" w:eastAsia="仿宋_GB2312" w:cs="仿宋_GB2312"/>
          <w:sz w:val="30"/>
          <w:szCs w:val="30"/>
          <w:lang w:val="en-US" w:eastAsia="zh-CN"/>
        </w:rPr>
        <w:t>720319.24</w:t>
      </w:r>
      <w:r>
        <w:rPr>
          <w:rFonts w:hint="eastAsia" w:ascii="仿宋_GB2312" w:eastAsia="仿宋_GB2312" w:cs="仿宋_GB2312"/>
          <w:sz w:val="30"/>
          <w:szCs w:val="30"/>
        </w:rPr>
        <w:t>元，支出决算255949.29元（去年同期129429.03元），支出决算与</w:t>
      </w:r>
      <w:r>
        <w:rPr>
          <w:rFonts w:hint="eastAsia" w:eastAsia="楷体"/>
          <w:sz w:val="30"/>
          <w:szCs w:val="30"/>
        </w:rPr>
        <w:t>2022</w:t>
      </w:r>
      <w:r>
        <w:rPr>
          <w:rFonts w:hint="eastAsia" w:ascii="仿宋_GB2312" w:eastAsia="仿宋_GB2312" w:cs="仿宋_GB2312"/>
          <w:sz w:val="30"/>
          <w:szCs w:val="30"/>
        </w:rPr>
        <w:t>年预算相比减少</w:t>
      </w:r>
      <w:r>
        <w:rPr>
          <w:rFonts w:hint="eastAsia" w:ascii="仿宋_GB2312" w:eastAsia="仿宋_GB2312" w:cs="仿宋_GB2312"/>
          <w:sz w:val="30"/>
          <w:szCs w:val="30"/>
          <w:lang w:val="en-US" w:eastAsia="zh-CN"/>
        </w:rPr>
        <w:t>464369.95</w:t>
      </w:r>
      <w:r>
        <w:rPr>
          <w:rFonts w:hint="eastAsia" w:ascii="仿宋_GB2312" w:eastAsia="仿宋_GB2312" w:cs="仿宋_GB2312"/>
          <w:sz w:val="30"/>
          <w:szCs w:val="30"/>
        </w:rPr>
        <w:t>元,完成预算的</w:t>
      </w:r>
      <w:r>
        <w:rPr>
          <w:rFonts w:hint="eastAsia" w:ascii="仿宋_GB2312" w:eastAsia="仿宋_GB2312" w:cs="仿宋_GB2312"/>
          <w:sz w:val="30"/>
          <w:szCs w:val="30"/>
          <w:lang w:val="en-US" w:eastAsia="zh-CN"/>
        </w:rPr>
        <w:t>35.53</w:t>
      </w:r>
      <w:r>
        <w:rPr>
          <w:rFonts w:hint="eastAsia" w:ascii="仿宋_GB2312" w:eastAsia="仿宋_GB2312" w:cs="仿宋_GB2312"/>
          <w:sz w:val="30"/>
          <w:szCs w:val="30"/>
        </w:rPr>
        <w:t>%；支出决算较上年增加126520.26元，增长97.75%。决算数小于预算数的主要原因是</w:t>
      </w:r>
      <w:r>
        <w:rPr>
          <w:rFonts w:hint="eastAsia" w:ascii="仿宋_GB2312" w:eastAsia="仿宋_GB2312" w:cs="仿宋_GB2312"/>
          <w:i w:val="0"/>
          <w:iCs w:val="0"/>
          <w:strike w:val="0"/>
          <w:dstrike w:val="0"/>
          <w:sz w:val="30"/>
          <w:szCs w:val="30"/>
          <w:u w:val="none"/>
          <w:lang w:eastAsia="zh-CN"/>
        </w:rPr>
        <w:t>受疫情影响，</w:t>
      </w:r>
      <w:r>
        <w:rPr>
          <w:rFonts w:hint="eastAsia" w:ascii="仿宋_GB2312" w:eastAsia="仿宋_GB2312" w:cs="仿宋_GB2312"/>
          <w:i w:val="0"/>
          <w:iCs w:val="0"/>
          <w:strike w:val="0"/>
          <w:dstrike w:val="0"/>
          <w:sz w:val="30"/>
          <w:szCs w:val="30"/>
          <w:u w:val="none"/>
          <w:lang w:val="en-US" w:eastAsia="zh-CN"/>
        </w:rPr>
        <w:t>疾控中心</w:t>
      </w:r>
      <w:r>
        <w:rPr>
          <w:rFonts w:hint="eastAsia" w:ascii="仿宋_GB2312" w:eastAsia="仿宋_GB2312" w:cs="仿宋_GB2312"/>
          <w:i w:val="0"/>
          <w:iCs w:val="0"/>
          <w:strike w:val="0"/>
          <w:dstrike w:val="0"/>
          <w:sz w:val="30"/>
          <w:szCs w:val="30"/>
          <w:u w:val="none"/>
          <w:lang w:eastAsia="zh-CN"/>
        </w:rPr>
        <w:t>公务用车购置计划延期</w:t>
      </w:r>
      <w:r>
        <w:rPr>
          <w:rFonts w:hint="eastAsia" w:ascii="仿宋_GB2312" w:eastAsia="仿宋_GB2312" w:cs="仿宋_GB2312"/>
          <w:sz w:val="30"/>
          <w:szCs w:val="30"/>
        </w:rPr>
        <w:t>。决算数较上年增加的主要原因是</w:t>
      </w:r>
      <w:r>
        <w:rPr>
          <w:rFonts w:hint="eastAsia" w:ascii="仿宋_GB2312" w:eastAsia="仿宋_GB2312" w:cs="仿宋_GB2312"/>
          <w:sz w:val="30"/>
          <w:szCs w:val="30"/>
          <w:lang w:val="en-US" w:eastAsia="zh-CN"/>
        </w:rPr>
        <w:t>受疫情影响，各机构工作量加大，用车增</w:t>
      </w:r>
      <w:r>
        <w:rPr>
          <w:rFonts w:hint="eastAsia" w:ascii="仿宋_GB2312" w:eastAsia="仿宋_GB2312" w:cs="仿宋_GB2312"/>
          <w:sz w:val="30"/>
          <w:szCs w:val="30"/>
          <w:highlight w:val="none"/>
          <w:lang w:val="en-US" w:eastAsia="zh-CN"/>
        </w:rPr>
        <w:t>多</w:t>
      </w:r>
      <w:r>
        <w:rPr>
          <w:rFonts w:hint="eastAsia" w:ascii="仿宋_GB2312" w:eastAsia="仿宋_GB2312" w:cs="仿宋_GB2312"/>
          <w:sz w:val="30"/>
          <w:szCs w:val="30"/>
          <w:highlight w:val="none"/>
          <w:lang w:eastAsia="zh-CN"/>
        </w:rPr>
        <w:t>。</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jc w:val="both"/>
        <w:rPr>
          <w:rFonts w:eastAsia="仿宋_GB2312"/>
          <w:sz w:val="30"/>
          <w:szCs w:val="30"/>
        </w:rPr>
      </w:pPr>
      <w:r>
        <w:rPr>
          <w:rFonts w:hint="eastAsia" w:eastAsia="仿宋_GB2312"/>
          <w:sz w:val="30"/>
          <w:szCs w:val="30"/>
        </w:rPr>
        <w:t>1.</w:t>
      </w:r>
      <w:r>
        <w:rPr>
          <w:rFonts w:hint="eastAsia" w:ascii="仿宋_GB2312" w:eastAsia="仿宋_GB2312" w:cs="仿宋_GB2312"/>
          <w:sz w:val="30"/>
          <w:szCs w:val="30"/>
        </w:rPr>
        <w:t>因公出国（境）费预算0.00元，支出决算0.00元（去年同期0.00元），支出决算与预算相比持平；支出决算较上年持平。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rPr>
        <w:t>年本单位组织的出国团组0个，出国0人次。</w:t>
      </w:r>
    </w:p>
    <w:p>
      <w:pPr>
        <w:spacing w:line="600" w:lineRule="exact"/>
        <w:ind w:firstLine="600" w:firstLineChars="200"/>
        <w:jc w:val="both"/>
        <w:rPr>
          <w:rFonts w:eastAsia="仿宋_GB2312"/>
          <w:sz w:val="30"/>
          <w:szCs w:val="30"/>
        </w:rPr>
      </w:pPr>
      <w:r>
        <w:rPr>
          <w:rFonts w:hint="eastAsia" w:eastAsia="仿宋_GB2312"/>
          <w:sz w:val="30"/>
          <w:szCs w:val="30"/>
        </w:rPr>
        <w:t>2.</w:t>
      </w:r>
      <w:r>
        <w:rPr>
          <w:rFonts w:hint="eastAsia" w:ascii="仿宋_GB2312" w:eastAsia="仿宋_GB2312" w:cs="仿宋_GB2312"/>
          <w:sz w:val="30"/>
          <w:szCs w:val="30"/>
        </w:rPr>
        <w:t>公务用车购置及运行维护费预算</w:t>
      </w:r>
      <w:r>
        <w:rPr>
          <w:rFonts w:hint="eastAsia" w:ascii="仿宋_GB2312" w:eastAsia="仿宋_GB2312" w:cs="仿宋_GB2312"/>
          <w:sz w:val="30"/>
          <w:szCs w:val="30"/>
          <w:lang w:val="en-US" w:eastAsia="zh-CN"/>
        </w:rPr>
        <w:t>720319.24</w:t>
      </w:r>
      <w:r>
        <w:rPr>
          <w:rFonts w:hint="eastAsia" w:ascii="仿宋_GB2312" w:eastAsia="仿宋_GB2312" w:cs="仿宋_GB2312"/>
          <w:sz w:val="30"/>
          <w:szCs w:val="30"/>
        </w:rPr>
        <w:t>元，支出决算255949.29元（去年同期129429.03元），支出决算与预算相比减少</w:t>
      </w:r>
      <w:r>
        <w:rPr>
          <w:rFonts w:hint="eastAsia" w:ascii="仿宋_GB2312" w:eastAsia="仿宋_GB2312" w:cs="仿宋_GB2312"/>
          <w:sz w:val="30"/>
          <w:szCs w:val="30"/>
          <w:lang w:val="en-US" w:eastAsia="zh-CN"/>
        </w:rPr>
        <w:t>464369.95</w:t>
      </w:r>
      <w:r>
        <w:rPr>
          <w:rFonts w:hint="eastAsia" w:ascii="仿宋_GB2312" w:eastAsia="仿宋_GB2312" w:cs="仿宋_GB2312"/>
          <w:sz w:val="30"/>
          <w:szCs w:val="30"/>
        </w:rPr>
        <w:t>元,完成预算的</w:t>
      </w:r>
      <w:r>
        <w:rPr>
          <w:rFonts w:hint="eastAsia" w:ascii="仿宋_GB2312" w:eastAsia="仿宋_GB2312" w:cs="仿宋_GB2312"/>
          <w:sz w:val="30"/>
          <w:szCs w:val="30"/>
          <w:lang w:val="en-US" w:eastAsia="zh-CN"/>
        </w:rPr>
        <w:t>35.53</w:t>
      </w:r>
      <w:r>
        <w:rPr>
          <w:rFonts w:hint="eastAsia" w:ascii="仿宋_GB2312" w:eastAsia="仿宋_GB2312" w:cs="仿宋_GB2312"/>
          <w:sz w:val="30"/>
          <w:szCs w:val="30"/>
        </w:rPr>
        <w:t>%；支出决算较上年增加126520.26元，增长97.75%。其中：</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公务用车运行维护费预算</w:t>
      </w:r>
      <w:r>
        <w:rPr>
          <w:rFonts w:hint="eastAsia" w:ascii="仿宋_GB2312" w:eastAsia="仿宋_GB2312" w:cs="仿宋_GB2312"/>
          <w:sz w:val="30"/>
          <w:szCs w:val="30"/>
          <w:lang w:val="en-US" w:eastAsia="zh-CN"/>
        </w:rPr>
        <w:t>420319.24</w:t>
      </w:r>
      <w:r>
        <w:rPr>
          <w:rFonts w:hint="eastAsia" w:ascii="仿宋_GB2312" w:eastAsia="仿宋_GB2312" w:cs="仿宋_GB2312"/>
          <w:sz w:val="30"/>
          <w:szCs w:val="30"/>
        </w:rPr>
        <w:t>元，支出决算255949.29元（去年同期129429.03元），支出决算与预算相比减少</w:t>
      </w:r>
      <w:r>
        <w:rPr>
          <w:rFonts w:hint="eastAsia" w:ascii="仿宋_GB2312" w:eastAsia="仿宋_GB2312" w:cs="仿宋_GB2312"/>
          <w:sz w:val="30"/>
          <w:szCs w:val="30"/>
          <w:lang w:val="en-US" w:eastAsia="zh-CN"/>
        </w:rPr>
        <w:t>164369.95</w:t>
      </w:r>
      <w:r>
        <w:rPr>
          <w:rFonts w:hint="eastAsia" w:ascii="仿宋_GB2312" w:eastAsia="仿宋_GB2312" w:cs="仿宋_GB2312"/>
          <w:sz w:val="30"/>
          <w:szCs w:val="30"/>
        </w:rPr>
        <w:t>元,完成预算的</w:t>
      </w:r>
      <w:r>
        <w:rPr>
          <w:rFonts w:hint="eastAsia" w:ascii="仿宋_GB2312" w:eastAsia="仿宋_GB2312" w:cs="仿宋_GB2312"/>
          <w:sz w:val="30"/>
          <w:szCs w:val="30"/>
          <w:lang w:val="en-US" w:eastAsia="zh-CN"/>
        </w:rPr>
        <w:t>60.89</w:t>
      </w:r>
      <w:r>
        <w:rPr>
          <w:rFonts w:hint="eastAsia" w:ascii="仿宋_GB2312" w:eastAsia="仿宋_GB2312" w:cs="仿宋_GB2312"/>
          <w:sz w:val="30"/>
          <w:szCs w:val="30"/>
        </w:rPr>
        <w:t>%；支出决算较上年增加126520.26元，增长97.75%。决算数小于预算数的主要原因是</w:t>
      </w:r>
      <w:r>
        <w:rPr>
          <w:rFonts w:hint="eastAsia" w:ascii="仿宋_GB2312" w:eastAsia="仿宋_GB2312" w:cs="仿宋_GB2312"/>
          <w:sz w:val="30"/>
          <w:szCs w:val="30"/>
          <w:lang w:val="en-US" w:eastAsia="zh-CN"/>
        </w:rPr>
        <w:t>年中报废两辆公务用车，公车减少</w:t>
      </w:r>
      <w:r>
        <w:rPr>
          <w:rFonts w:hint="eastAsia" w:ascii="仿宋_GB2312" w:eastAsia="仿宋_GB2312" w:cs="仿宋_GB2312"/>
          <w:sz w:val="30"/>
          <w:szCs w:val="30"/>
        </w:rPr>
        <w:t>。决算数较上年增加的主要原因是</w:t>
      </w:r>
      <w:r>
        <w:rPr>
          <w:rFonts w:hint="eastAsia" w:ascii="仿宋_GB2312" w:eastAsia="仿宋_GB2312" w:cs="仿宋_GB2312"/>
          <w:sz w:val="30"/>
          <w:szCs w:val="30"/>
          <w:lang w:val="en-US" w:eastAsia="zh-CN"/>
        </w:rPr>
        <w:t>受疫情影响，各机构工作量加大，用车增</w:t>
      </w:r>
      <w:r>
        <w:rPr>
          <w:rFonts w:hint="eastAsia" w:ascii="仿宋_GB2312" w:eastAsia="仿宋_GB2312" w:cs="仿宋_GB2312"/>
          <w:sz w:val="30"/>
          <w:szCs w:val="30"/>
          <w:highlight w:val="none"/>
          <w:lang w:val="en-US" w:eastAsia="zh-CN"/>
        </w:rPr>
        <w:t>多</w:t>
      </w:r>
      <w:r>
        <w:rPr>
          <w:rFonts w:hint="eastAsia" w:ascii="仿宋_GB2312" w:eastAsia="仿宋_GB2312" w:cs="仿宋_GB2312"/>
          <w:sz w:val="30"/>
          <w:szCs w:val="30"/>
        </w:rPr>
        <w:t>。截至2022年12月31日，使用</w:t>
      </w:r>
      <w:r>
        <w:rPr>
          <w:rFonts w:hint="eastAsia" w:eastAsia="仿宋_GB2312"/>
          <w:sz w:val="30"/>
          <w:szCs w:val="30"/>
        </w:rPr>
        <w:t>一般公共预算</w:t>
      </w:r>
      <w:r>
        <w:rPr>
          <w:rFonts w:hint="eastAsia" w:ascii="仿宋_GB2312" w:eastAsia="仿宋_GB2312" w:cs="仿宋_GB2312"/>
          <w:sz w:val="30"/>
          <w:szCs w:val="30"/>
        </w:rPr>
        <w:t>财政拨款开支运行维护费的公务用车保有量为16辆。</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公务用车购置费预算</w:t>
      </w:r>
      <w:r>
        <w:rPr>
          <w:rFonts w:hint="eastAsia" w:ascii="仿宋_GB2312" w:eastAsia="仿宋_GB2312" w:cs="仿宋_GB2312"/>
          <w:sz w:val="30"/>
          <w:szCs w:val="30"/>
          <w:lang w:val="en-US" w:eastAsia="zh-CN"/>
        </w:rPr>
        <w:t>300000</w:t>
      </w:r>
      <w:r>
        <w:rPr>
          <w:rFonts w:hint="eastAsia" w:ascii="仿宋_GB2312" w:eastAsia="仿宋_GB2312" w:cs="仿宋_GB2312"/>
          <w:sz w:val="30"/>
          <w:szCs w:val="30"/>
        </w:rPr>
        <w:t>元，支出决算0.00元（去年同期</w:t>
      </w:r>
      <w:r>
        <w:rPr>
          <w:rFonts w:hint="eastAsia" w:ascii="仿宋_GB2312" w:eastAsia="仿宋_GB2312" w:cs="仿宋_GB2312"/>
          <w:sz w:val="30"/>
          <w:szCs w:val="30"/>
          <w:lang w:val="en-US" w:eastAsia="zh-CN"/>
        </w:rPr>
        <w:t>0.00</w:t>
      </w:r>
      <w:r>
        <w:rPr>
          <w:rFonts w:hint="eastAsia" w:ascii="仿宋_GB2312" w:eastAsia="仿宋_GB2312" w:cs="仿宋_GB2312"/>
          <w:sz w:val="30"/>
          <w:szCs w:val="30"/>
        </w:rPr>
        <w:t>元），支出决算与预算相比减少</w:t>
      </w:r>
      <w:r>
        <w:rPr>
          <w:rFonts w:hint="eastAsia" w:ascii="仿宋_GB2312" w:eastAsia="仿宋_GB2312" w:cs="仿宋_GB2312"/>
          <w:sz w:val="30"/>
          <w:szCs w:val="30"/>
          <w:lang w:val="en-US" w:eastAsia="zh-CN"/>
        </w:rPr>
        <w:t>300000</w:t>
      </w:r>
      <w:r>
        <w:rPr>
          <w:rFonts w:hint="eastAsia" w:ascii="仿宋_GB2312" w:eastAsia="仿宋_GB2312" w:cs="仿宋_GB2312"/>
          <w:sz w:val="30"/>
          <w:szCs w:val="30"/>
        </w:rPr>
        <w:t>元,完成预算的0.00%；支出决算较上年持平。决算数小于预算数的主要原因是</w:t>
      </w:r>
      <w:r>
        <w:rPr>
          <w:rFonts w:hint="eastAsia" w:ascii="仿宋_GB2312" w:eastAsia="仿宋_GB2312" w:cs="仿宋_GB2312"/>
          <w:sz w:val="30"/>
          <w:szCs w:val="30"/>
          <w:lang w:val="en-US" w:eastAsia="zh-CN"/>
        </w:rPr>
        <w:t>受疫情影响，公车购置计划搁置</w:t>
      </w:r>
      <w:r>
        <w:rPr>
          <w:rFonts w:hint="eastAsia" w:ascii="仿宋_GB2312" w:eastAsia="仿宋_GB2312" w:cs="仿宋_GB2312"/>
          <w:sz w:val="30"/>
          <w:szCs w:val="30"/>
        </w:rPr>
        <w:t>。决算数较上年持平的主要原因是</w:t>
      </w:r>
      <w:r>
        <w:rPr>
          <w:rFonts w:hint="eastAsia" w:ascii="仿宋_GB2312" w:eastAsia="仿宋_GB2312" w:cs="仿宋_GB2312"/>
          <w:sz w:val="30"/>
          <w:szCs w:val="30"/>
          <w:lang w:val="en-US" w:eastAsia="zh-CN"/>
        </w:rPr>
        <w:t>受疫情影响，公车购置计划搁置</w:t>
      </w:r>
      <w:r>
        <w:rPr>
          <w:rFonts w:hint="eastAsia" w:ascii="仿宋_GB2312" w:eastAsia="仿宋_GB2312" w:cs="仿宋_GB2312"/>
          <w:sz w:val="30"/>
          <w:szCs w:val="30"/>
        </w:rPr>
        <w:t>。2022年购置公务用车0辆。</w:t>
      </w:r>
    </w:p>
    <w:p>
      <w:pPr>
        <w:spacing w:line="600" w:lineRule="exact"/>
        <w:ind w:firstLine="645"/>
        <w:jc w:val="both"/>
        <w:rPr>
          <w:rFonts w:eastAsia="仿宋_GB2312" w:cs="仿宋_GB2312"/>
          <w:sz w:val="30"/>
          <w:szCs w:val="30"/>
        </w:rPr>
      </w:pPr>
      <w:r>
        <w:rPr>
          <w:rFonts w:hint="eastAsia" w:eastAsia="仿宋_GB2312"/>
          <w:sz w:val="30"/>
          <w:szCs w:val="30"/>
        </w:rPr>
        <w:t>3.</w:t>
      </w:r>
      <w:r>
        <w:rPr>
          <w:rFonts w:hint="eastAsia" w:ascii="仿宋_GB2312" w:eastAsia="仿宋_GB2312" w:cs="仿宋_GB2312"/>
          <w:sz w:val="30"/>
          <w:szCs w:val="30"/>
        </w:rPr>
        <w:t>公务接待费预算0.00元，支出决算0.00元（去年同期0.00元），支出决算与预算相比持平；支出决算较上年持平。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rPr>
        <w:t>年本单位国内公务接待0批</w:t>
      </w:r>
      <w:r>
        <w:rPr>
          <w:rFonts w:hint="eastAsia" w:eastAsia="仿宋_GB2312" w:cs="仿宋_GB2312"/>
          <w:sz w:val="30"/>
          <w:szCs w:val="30"/>
        </w:rPr>
        <w:t>次，</w:t>
      </w:r>
      <w:r>
        <w:rPr>
          <w:rFonts w:hint="eastAsia" w:ascii="仿宋_GB2312" w:eastAsia="仿宋_GB2312" w:cs="仿宋_GB2312"/>
          <w:sz w:val="30"/>
          <w:szCs w:val="30"/>
        </w:rPr>
        <w:t>0</w:t>
      </w:r>
      <w:r>
        <w:rPr>
          <w:rFonts w:hint="eastAsia" w:eastAsia="仿宋_GB2312" w:cs="仿宋_GB2312"/>
          <w:sz w:val="30"/>
          <w:szCs w:val="30"/>
        </w:rPr>
        <w:t>人次；其中，外事接待</w:t>
      </w:r>
      <w:r>
        <w:rPr>
          <w:rFonts w:hint="eastAsia" w:ascii="仿宋_GB2312" w:eastAsia="仿宋_GB2312" w:cs="仿宋_GB2312"/>
          <w:sz w:val="30"/>
          <w:szCs w:val="30"/>
        </w:rPr>
        <w:t>0</w:t>
      </w:r>
      <w:r>
        <w:rPr>
          <w:rFonts w:hint="eastAsia" w:eastAsia="仿宋_GB2312" w:cs="仿宋_GB2312"/>
          <w:sz w:val="30"/>
          <w:szCs w:val="30"/>
        </w:rPr>
        <w:t>批次，</w:t>
      </w:r>
      <w:r>
        <w:rPr>
          <w:rFonts w:hint="eastAsia" w:ascii="仿宋_GB2312" w:eastAsia="仿宋_GB2312" w:cs="仿宋_GB2312"/>
          <w:sz w:val="30"/>
          <w:szCs w:val="30"/>
        </w:rPr>
        <w:t>0</w:t>
      </w:r>
      <w:r>
        <w:rPr>
          <w:rFonts w:hint="eastAsia" w:eastAsia="仿宋_GB2312" w:cs="仿宋_GB2312"/>
          <w:sz w:val="30"/>
          <w:szCs w:val="30"/>
        </w:rPr>
        <w:t>人次。</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机关运行经费是指行政单位和参照公务员法管理的事业单位使用一般公共预算财政拨款安排的基本支出中的日常公用经费支出，天津市津南区卫生健康委员会2022年度机关运行经费决算数2489678.84元，比2021年减少548446.42元，下降18.05%，主要原因是</w:t>
      </w:r>
      <w:r>
        <w:rPr>
          <w:rFonts w:hint="eastAsia" w:ascii="仿宋_GB2312" w:eastAsia="仿宋_GB2312" w:cs="仿宋_GB2312"/>
          <w:sz w:val="30"/>
          <w:szCs w:val="30"/>
          <w:lang w:val="en-US" w:eastAsia="zh-CN"/>
        </w:rPr>
        <w:t>财政资金紧张，部分网络服务费没有支付</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卫生健康委员会2022年政府采购支出总额70612525.09元，其中：政府采购货物支出13726209.60元、政府采购工程支出4611050.46元、政府采购服务支出52275265.03元。授予中小企业合同金额61687990.63元，占政府采购支出总额的87.36%，其中：授予小微企业合同金额54801883.83元，占政府采购支出总额的77.61%；货物采购授予中小企业合同金额占货物支出金额的</w:t>
      </w:r>
      <w:r>
        <w:rPr>
          <w:rFonts w:hint="eastAsia" w:ascii="仿宋_GB2312" w:eastAsia="仿宋_GB2312" w:cs="仿宋_GB2312"/>
          <w:sz w:val="30"/>
          <w:szCs w:val="30"/>
          <w:lang w:val="en-US" w:eastAsia="zh-CN"/>
        </w:rPr>
        <w:t>89.18</w:t>
      </w:r>
      <w:r>
        <w:rPr>
          <w:rFonts w:hint="eastAsia" w:ascii="仿宋_GB2312" w:eastAsia="仿宋_GB2312" w:cs="仿宋_GB2312"/>
          <w:sz w:val="30"/>
          <w:szCs w:val="30"/>
        </w:rPr>
        <w:t>%，工程采购授予中小企业合同金额占工程支出金额的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%，服务采购授予中小企业合同金额占服务支出金额的</w:t>
      </w:r>
      <w:r>
        <w:rPr>
          <w:rFonts w:hint="eastAsia" w:ascii="仿宋_GB2312" w:eastAsia="仿宋_GB2312" w:cs="仿宋_GB2312"/>
          <w:sz w:val="30"/>
          <w:szCs w:val="30"/>
          <w:lang w:val="en-US" w:eastAsia="zh-CN"/>
        </w:rPr>
        <w:t>85.77</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截至2022年12月31日，天津市津南区卫生健康委员会共有车辆40辆，其中：副部（省）级及以上领导用车</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辆、主要领导干部用车0辆、机要通信车0辆、应急保障用车0辆、执法执勤用车0辆、特种专业技术用车4辆、离退休干部用车0辆、其他用车36辆，其他用车主要包括</w:t>
      </w:r>
      <w:r>
        <w:rPr>
          <w:rFonts w:hint="eastAsia" w:ascii="仿宋_GB2312" w:eastAsia="仿宋_GB2312" w:cs="仿宋_GB2312"/>
          <w:sz w:val="30"/>
          <w:szCs w:val="30"/>
          <w:lang w:val="en-US" w:eastAsia="zh-CN"/>
        </w:rPr>
        <w:t>各单位业务用车</w:t>
      </w:r>
      <w:r>
        <w:rPr>
          <w:rFonts w:hint="eastAsia" w:ascii="仿宋_GB2312" w:eastAsia="仿宋_GB2312" w:cs="仿宋_GB2312"/>
          <w:sz w:val="30"/>
          <w:szCs w:val="30"/>
        </w:rPr>
        <w:t>。单价100万元以上的专用设备103台（套）。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hint="eastAsia" w:eastAsia="仿宋_GB2312"/>
          <w:sz w:val="30"/>
          <w:szCs w:val="30"/>
          <w:lang w:eastAsia="zh-CN"/>
        </w:rPr>
      </w:pPr>
      <w:r>
        <w:rPr>
          <w:rFonts w:eastAsia="仿宋_GB2312"/>
          <w:sz w:val="30"/>
          <w:szCs w:val="30"/>
        </w:rPr>
        <w:t>根据预算绩效管理要求，</w:t>
      </w:r>
      <w:r>
        <w:rPr>
          <w:rFonts w:hint="eastAsia" w:ascii="仿宋_GB2312" w:eastAsia="仿宋_GB2312" w:cs="仿宋_GB2312"/>
          <w:sz w:val="30"/>
          <w:szCs w:val="30"/>
        </w:rPr>
        <w:t>天津市津南区卫生健康委员会</w:t>
      </w:r>
      <w:r>
        <w:rPr>
          <w:rFonts w:hint="eastAsia" w:eastAsia="楷体"/>
          <w:sz w:val="30"/>
          <w:szCs w:val="30"/>
        </w:rPr>
        <w:t>2022</w:t>
      </w:r>
      <w:r>
        <w:rPr>
          <w:rFonts w:hint="eastAsia" w:ascii="仿宋_GB2312" w:eastAsia="仿宋_GB2312" w:cs="仿宋_GB2312"/>
          <w:sz w:val="30"/>
          <w:szCs w:val="30"/>
        </w:rPr>
        <w:t>年度已</w:t>
      </w:r>
      <w:r>
        <w:rPr>
          <w:rFonts w:hint="eastAsia" w:eastAsia="仿宋_GB2312"/>
          <w:sz w:val="30"/>
          <w:szCs w:val="30"/>
        </w:rPr>
        <w:t>对</w:t>
      </w:r>
      <w:r>
        <w:rPr>
          <w:rFonts w:hint="eastAsia" w:eastAsia="仿宋_GB2312"/>
          <w:sz w:val="30"/>
          <w:szCs w:val="30"/>
          <w:lang w:val="en-US" w:eastAsia="zh-CN"/>
        </w:rPr>
        <w:t>98</w:t>
      </w:r>
      <w:r>
        <w:rPr>
          <w:rFonts w:eastAsia="仿宋_GB2312"/>
          <w:sz w:val="30"/>
          <w:szCs w:val="30"/>
        </w:rPr>
        <w:t>个</w:t>
      </w:r>
      <w:r>
        <w:rPr>
          <w:rFonts w:hint="eastAsia" w:eastAsia="仿宋_GB2312"/>
          <w:sz w:val="30"/>
          <w:szCs w:val="30"/>
        </w:rPr>
        <w:t>区级</w:t>
      </w:r>
      <w:r>
        <w:rPr>
          <w:rFonts w:eastAsia="仿宋_GB2312"/>
          <w:sz w:val="30"/>
          <w:szCs w:val="30"/>
        </w:rPr>
        <w:t>项目开展绩效自评，涉及金额</w:t>
      </w:r>
      <w:r>
        <w:rPr>
          <w:rFonts w:hint="eastAsia" w:eastAsia="仿宋_GB2312"/>
          <w:sz w:val="30"/>
          <w:szCs w:val="30"/>
          <w:lang w:val="en-US" w:eastAsia="zh-CN"/>
        </w:rPr>
        <w:t>226356951</w:t>
      </w:r>
      <w:r>
        <w:rPr>
          <w:rFonts w:eastAsia="仿宋_GB2312"/>
          <w:sz w:val="30"/>
          <w:szCs w:val="30"/>
        </w:rPr>
        <w:t>元</w:t>
      </w:r>
      <w:r>
        <w:rPr>
          <w:rFonts w:hint="eastAsia" w:eastAsia="仿宋_GB2312"/>
          <w:sz w:val="30"/>
          <w:szCs w:val="30"/>
        </w:rPr>
        <w:t>，自评结果已随部门决算一并公开</w:t>
      </w:r>
      <w:r>
        <w:rPr>
          <w:rFonts w:hint="eastAsia" w:eastAsia="仿宋_GB2312"/>
          <w:sz w:val="30"/>
          <w:szCs w:val="30"/>
          <w:lang w:eastAsia="zh-CN"/>
        </w:rPr>
        <w:t>。</w:t>
      </w:r>
      <w:r>
        <w:rPr>
          <w:rFonts w:hint="eastAsia" w:eastAsia="仿宋_GB2312"/>
          <w:sz w:val="30"/>
          <w:szCs w:val="30"/>
        </w:rPr>
        <w:t>本部门2022年度未开展部门评价。</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天津市津南区卫生健康委员会不属于乡、镇、街级单位，不涉及公开2022年度教育、医疗卫生、社会保障和就业、住房保障、涉农补贴等民生支出情况。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k5MjkwYmQyNGJiMjhmY2FiYTQ4MjUyZDc3NmM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8F49C7"/>
    <w:rsid w:val="009142B8"/>
    <w:rsid w:val="00915276"/>
    <w:rsid w:val="00936468"/>
    <w:rsid w:val="009371C3"/>
    <w:rsid w:val="009533EF"/>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997208"/>
    <w:rsid w:val="01D92F4B"/>
    <w:rsid w:val="021D09AE"/>
    <w:rsid w:val="02317CA1"/>
    <w:rsid w:val="026B1259"/>
    <w:rsid w:val="02C26D17"/>
    <w:rsid w:val="032B2B72"/>
    <w:rsid w:val="03633F1C"/>
    <w:rsid w:val="03877CF5"/>
    <w:rsid w:val="03971CD2"/>
    <w:rsid w:val="03997587"/>
    <w:rsid w:val="03A73B20"/>
    <w:rsid w:val="04044CCC"/>
    <w:rsid w:val="04151E13"/>
    <w:rsid w:val="046D0DCC"/>
    <w:rsid w:val="04D27C6A"/>
    <w:rsid w:val="04DA6E85"/>
    <w:rsid w:val="054E0E8D"/>
    <w:rsid w:val="05901C8F"/>
    <w:rsid w:val="059D199E"/>
    <w:rsid w:val="06516202"/>
    <w:rsid w:val="065A73D7"/>
    <w:rsid w:val="068D56CD"/>
    <w:rsid w:val="068F1656"/>
    <w:rsid w:val="06CE3C39"/>
    <w:rsid w:val="070745F4"/>
    <w:rsid w:val="071C0D73"/>
    <w:rsid w:val="0750320D"/>
    <w:rsid w:val="0780281E"/>
    <w:rsid w:val="080C427F"/>
    <w:rsid w:val="081163FE"/>
    <w:rsid w:val="08496DC5"/>
    <w:rsid w:val="08601190"/>
    <w:rsid w:val="08610C17"/>
    <w:rsid w:val="08AB76E6"/>
    <w:rsid w:val="08B17C7F"/>
    <w:rsid w:val="09794F69"/>
    <w:rsid w:val="09BC7107"/>
    <w:rsid w:val="09C86481"/>
    <w:rsid w:val="09CD6F6A"/>
    <w:rsid w:val="0ABD2EA9"/>
    <w:rsid w:val="0AF02B7A"/>
    <w:rsid w:val="0B0C0657"/>
    <w:rsid w:val="0B2F7E6E"/>
    <w:rsid w:val="0B7057C8"/>
    <w:rsid w:val="0BA31A63"/>
    <w:rsid w:val="0BF51CAC"/>
    <w:rsid w:val="0C0F70F9"/>
    <w:rsid w:val="0C327E5C"/>
    <w:rsid w:val="0D474670"/>
    <w:rsid w:val="0D66464C"/>
    <w:rsid w:val="0DCA24E7"/>
    <w:rsid w:val="0DF04D08"/>
    <w:rsid w:val="0E1905E8"/>
    <w:rsid w:val="0E6B081A"/>
    <w:rsid w:val="0E812A35"/>
    <w:rsid w:val="0F3342CD"/>
    <w:rsid w:val="0F3A7BBE"/>
    <w:rsid w:val="0FB146BC"/>
    <w:rsid w:val="10D0376E"/>
    <w:rsid w:val="11D75F2F"/>
    <w:rsid w:val="11D802DB"/>
    <w:rsid w:val="121401BA"/>
    <w:rsid w:val="122B009F"/>
    <w:rsid w:val="12946208"/>
    <w:rsid w:val="135D03D9"/>
    <w:rsid w:val="13A17616"/>
    <w:rsid w:val="144F5DF3"/>
    <w:rsid w:val="149264E6"/>
    <w:rsid w:val="14A04A70"/>
    <w:rsid w:val="14B50FD2"/>
    <w:rsid w:val="14F31DE2"/>
    <w:rsid w:val="15127621"/>
    <w:rsid w:val="156A2C3E"/>
    <w:rsid w:val="157A3189"/>
    <w:rsid w:val="15E37C52"/>
    <w:rsid w:val="1642631D"/>
    <w:rsid w:val="169221B4"/>
    <w:rsid w:val="16EA0A1B"/>
    <w:rsid w:val="17A617C9"/>
    <w:rsid w:val="17AF6834"/>
    <w:rsid w:val="17D6798B"/>
    <w:rsid w:val="17FA28A3"/>
    <w:rsid w:val="181D0AF6"/>
    <w:rsid w:val="188449CB"/>
    <w:rsid w:val="18E12A26"/>
    <w:rsid w:val="194B491A"/>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B86DBA"/>
    <w:rsid w:val="22F75B35"/>
    <w:rsid w:val="231B6E6A"/>
    <w:rsid w:val="236906A5"/>
    <w:rsid w:val="23BA0D09"/>
    <w:rsid w:val="24076934"/>
    <w:rsid w:val="24593BF8"/>
    <w:rsid w:val="24BA0C0F"/>
    <w:rsid w:val="250B61A3"/>
    <w:rsid w:val="259F5563"/>
    <w:rsid w:val="25A662F9"/>
    <w:rsid w:val="25AD749C"/>
    <w:rsid w:val="25AE4162"/>
    <w:rsid w:val="25F45181"/>
    <w:rsid w:val="261B2634"/>
    <w:rsid w:val="26872640"/>
    <w:rsid w:val="26C653DA"/>
    <w:rsid w:val="26CE27EB"/>
    <w:rsid w:val="26EC5D21"/>
    <w:rsid w:val="27615821"/>
    <w:rsid w:val="27A13E6E"/>
    <w:rsid w:val="27A644E5"/>
    <w:rsid w:val="28863E70"/>
    <w:rsid w:val="288A6337"/>
    <w:rsid w:val="28994B2A"/>
    <w:rsid w:val="28CD1B01"/>
    <w:rsid w:val="28D177B8"/>
    <w:rsid w:val="28FE60D3"/>
    <w:rsid w:val="290441D9"/>
    <w:rsid w:val="292E4395"/>
    <w:rsid w:val="29455AB0"/>
    <w:rsid w:val="295C39A4"/>
    <w:rsid w:val="29867FF5"/>
    <w:rsid w:val="29D72E63"/>
    <w:rsid w:val="29F01BC9"/>
    <w:rsid w:val="2A1248CB"/>
    <w:rsid w:val="2A24302B"/>
    <w:rsid w:val="2A7456B8"/>
    <w:rsid w:val="2B330D0F"/>
    <w:rsid w:val="2C3B01C9"/>
    <w:rsid w:val="2C934B7C"/>
    <w:rsid w:val="2CB024EC"/>
    <w:rsid w:val="2D0771C8"/>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1E58C5"/>
    <w:rsid w:val="342060B3"/>
    <w:rsid w:val="343041E9"/>
    <w:rsid w:val="343E2C5A"/>
    <w:rsid w:val="34E404B6"/>
    <w:rsid w:val="353874A5"/>
    <w:rsid w:val="356C4B0F"/>
    <w:rsid w:val="357756D0"/>
    <w:rsid w:val="35F83418"/>
    <w:rsid w:val="35FA3DA7"/>
    <w:rsid w:val="36433E0B"/>
    <w:rsid w:val="3685618C"/>
    <w:rsid w:val="369B027F"/>
    <w:rsid w:val="36DF7E92"/>
    <w:rsid w:val="37210A48"/>
    <w:rsid w:val="37B50C12"/>
    <w:rsid w:val="37C605ED"/>
    <w:rsid w:val="37EC07D4"/>
    <w:rsid w:val="387F5CBC"/>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B147DD"/>
    <w:rsid w:val="3EE7006C"/>
    <w:rsid w:val="3F043070"/>
    <w:rsid w:val="3F1B4BFB"/>
    <w:rsid w:val="3F397145"/>
    <w:rsid w:val="40916FFB"/>
    <w:rsid w:val="419141BF"/>
    <w:rsid w:val="41C515FE"/>
    <w:rsid w:val="41F26234"/>
    <w:rsid w:val="42955F29"/>
    <w:rsid w:val="42C52D12"/>
    <w:rsid w:val="42EA0B90"/>
    <w:rsid w:val="435272F0"/>
    <w:rsid w:val="436E1D48"/>
    <w:rsid w:val="442221E6"/>
    <w:rsid w:val="44FC0AD9"/>
    <w:rsid w:val="457277D5"/>
    <w:rsid w:val="45C66F5A"/>
    <w:rsid w:val="464311BD"/>
    <w:rsid w:val="46762869"/>
    <w:rsid w:val="46800ECA"/>
    <w:rsid w:val="46D65DFF"/>
    <w:rsid w:val="46E2106F"/>
    <w:rsid w:val="46ED43C8"/>
    <w:rsid w:val="47655748"/>
    <w:rsid w:val="477A760E"/>
    <w:rsid w:val="481F5D29"/>
    <w:rsid w:val="485B08F6"/>
    <w:rsid w:val="48B84B82"/>
    <w:rsid w:val="48E65506"/>
    <w:rsid w:val="491D01E1"/>
    <w:rsid w:val="49A95325"/>
    <w:rsid w:val="49C60D15"/>
    <w:rsid w:val="49EE18E7"/>
    <w:rsid w:val="4C72500A"/>
    <w:rsid w:val="4CB17D0E"/>
    <w:rsid w:val="4D641F2A"/>
    <w:rsid w:val="4DB30ADD"/>
    <w:rsid w:val="4E470451"/>
    <w:rsid w:val="4E5A4E46"/>
    <w:rsid w:val="4E776E4B"/>
    <w:rsid w:val="4EBE5040"/>
    <w:rsid w:val="4EC635D4"/>
    <w:rsid w:val="4EF42DDE"/>
    <w:rsid w:val="4F021DFD"/>
    <w:rsid w:val="4F4E29DD"/>
    <w:rsid w:val="4F957640"/>
    <w:rsid w:val="4FA93361"/>
    <w:rsid w:val="50491464"/>
    <w:rsid w:val="50EB4351"/>
    <w:rsid w:val="513E3E14"/>
    <w:rsid w:val="516E5D30"/>
    <w:rsid w:val="519A61B8"/>
    <w:rsid w:val="529328AD"/>
    <w:rsid w:val="52A26688"/>
    <w:rsid w:val="52C3106D"/>
    <w:rsid w:val="52DE1FA8"/>
    <w:rsid w:val="532D1C0A"/>
    <w:rsid w:val="53583E88"/>
    <w:rsid w:val="54D72BF4"/>
    <w:rsid w:val="54F6709D"/>
    <w:rsid w:val="566138B1"/>
    <w:rsid w:val="56832AE6"/>
    <w:rsid w:val="56F540E8"/>
    <w:rsid w:val="576B6402"/>
    <w:rsid w:val="57814C22"/>
    <w:rsid w:val="579303E0"/>
    <w:rsid w:val="57BD125F"/>
    <w:rsid w:val="57DB4D69"/>
    <w:rsid w:val="58737CC4"/>
    <w:rsid w:val="58CB2B06"/>
    <w:rsid w:val="59005937"/>
    <w:rsid w:val="596D5572"/>
    <w:rsid w:val="59DC23BD"/>
    <w:rsid w:val="5A106A61"/>
    <w:rsid w:val="5B012DD6"/>
    <w:rsid w:val="5B1E0F9D"/>
    <w:rsid w:val="5B4A303E"/>
    <w:rsid w:val="5B867F38"/>
    <w:rsid w:val="5BBF1EDC"/>
    <w:rsid w:val="5C0D5EDF"/>
    <w:rsid w:val="5CCB520D"/>
    <w:rsid w:val="5CDE5F6B"/>
    <w:rsid w:val="5CE729B2"/>
    <w:rsid w:val="5D072615"/>
    <w:rsid w:val="5D737684"/>
    <w:rsid w:val="5D820B03"/>
    <w:rsid w:val="5D861C18"/>
    <w:rsid w:val="5DDC291B"/>
    <w:rsid w:val="5DE919D2"/>
    <w:rsid w:val="5DE96BF2"/>
    <w:rsid w:val="5E3B56D9"/>
    <w:rsid w:val="5E7F01AB"/>
    <w:rsid w:val="5E910416"/>
    <w:rsid w:val="5EDB41E5"/>
    <w:rsid w:val="5FC652D8"/>
    <w:rsid w:val="6043407E"/>
    <w:rsid w:val="605F74B4"/>
    <w:rsid w:val="607B68FE"/>
    <w:rsid w:val="60AB7DCA"/>
    <w:rsid w:val="617007B5"/>
    <w:rsid w:val="61A812DB"/>
    <w:rsid w:val="61E56E86"/>
    <w:rsid w:val="621870FC"/>
    <w:rsid w:val="62DA2A3D"/>
    <w:rsid w:val="637B3A8F"/>
    <w:rsid w:val="63A65E89"/>
    <w:rsid w:val="64267CB1"/>
    <w:rsid w:val="65001203"/>
    <w:rsid w:val="65521C6E"/>
    <w:rsid w:val="65737FA2"/>
    <w:rsid w:val="65D920E1"/>
    <w:rsid w:val="65D9655D"/>
    <w:rsid w:val="6637149C"/>
    <w:rsid w:val="6656630C"/>
    <w:rsid w:val="668E1E3E"/>
    <w:rsid w:val="66EC0C69"/>
    <w:rsid w:val="67AD24B8"/>
    <w:rsid w:val="67F5DAB5"/>
    <w:rsid w:val="68261741"/>
    <w:rsid w:val="68CD3F7A"/>
    <w:rsid w:val="693E2FAD"/>
    <w:rsid w:val="696D1EDE"/>
    <w:rsid w:val="698062FC"/>
    <w:rsid w:val="69BD5EE8"/>
    <w:rsid w:val="6A740B43"/>
    <w:rsid w:val="6ABD46BF"/>
    <w:rsid w:val="6AF730BD"/>
    <w:rsid w:val="6B617BE2"/>
    <w:rsid w:val="6BA66029"/>
    <w:rsid w:val="6C5A7A8C"/>
    <w:rsid w:val="6CA041B2"/>
    <w:rsid w:val="6DDD5EBF"/>
    <w:rsid w:val="6DFC4CD2"/>
    <w:rsid w:val="6E153270"/>
    <w:rsid w:val="6E2E2D6D"/>
    <w:rsid w:val="6E3F51B6"/>
    <w:rsid w:val="6E460B96"/>
    <w:rsid w:val="6EA82131"/>
    <w:rsid w:val="6F046708"/>
    <w:rsid w:val="6F68529E"/>
    <w:rsid w:val="6FB410D2"/>
    <w:rsid w:val="6FC54BEF"/>
    <w:rsid w:val="6FD91CC7"/>
    <w:rsid w:val="70001CFE"/>
    <w:rsid w:val="701B2391"/>
    <w:rsid w:val="706921FA"/>
    <w:rsid w:val="7099648C"/>
    <w:rsid w:val="70B22C23"/>
    <w:rsid w:val="71411B5D"/>
    <w:rsid w:val="719721EE"/>
    <w:rsid w:val="719931E1"/>
    <w:rsid w:val="7240055A"/>
    <w:rsid w:val="728E0BA0"/>
    <w:rsid w:val="73134A0E"/>
    <w:rsid w:val="736064A7"/>
    <w:rsid w:val="736159D6"/>
    <w:rsid w:val="737B66D0"/>
    <w:rsid w:val="73A84956"/>
    <w:rsid w:val="73F71039"/>
    <w:rsid w:val="73F91498"/>
    <w:rsid w:val="74D5337C"/>
    <w:rsid w:val="74D975E2"/>
    <w:rsid w:val="756B7D6A"/>
    <w:rsid w:val="757C417D"/>
    <w:rsid w:val="759455DB"/>
    <w:rsid w:val="75D160D9"/>
    <w:rsid w:val="7608190C"/>
    <w:rsid w:val="762914BB"/>
    <w:rsid w:val="76391AC6"/>
    <w:rsid w:val="76685F07"/>
    <w:rsid w:val="769F29B9"/>
    <w:rsid w:val="773A73AB"/>
    <w:rsid w:val="775767BB"/>
    <w:rsid w:val="7779068F"/>
    <w:rsid w:val="77B92148"/>
    <w:rsid w:val="77FFE39F"/>
    <w:rsid w:val="781B1736"/>
    <w:rsid w:val="78F051A8"/>
    <w:rsid w:val="79EF18A6"/>
    <w:rsid w:val="7A903B21"/>
    <w:rsid w:val="7AC3080E"/>
    <w:rsid w:val="7C354ADD"/>
    <w:rsid w:val="7CF2196B"/>
    <w:rsid w:val="7D2E7430"/>
    <w:rsid w:val="7D993EC8"/>
    <w:rsid w:val="7D9A013D"/>
    <w:rsid w:val="7E0D529E"/>
    <w:rsid w:val="7E9160CF"/>
    <w:rsid w:val="7EC677D3"/>
    <w:rsid w:val="7EE36A72"/>
    <w:rsid w:val="7FDC2489"/>
    <w:rsid w:val="7FFDEEFD"/>
    <w:rsid w:val="BBFEB28B"/>
    <w:rsid w:val="D74FDF30"/>
    <w:rsid w:val="DEAEE68D"/>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19</Pages>
  <Words>7411</Words>
  <Characters>8979</Characters>
  <Lines>76</Lines>
  <Paragraphs>21</Paragraphs>
  <TotalTime>1</TotalTime>
  <ScaleCrop>false</ScaleCrop>
  <LinksUpToDate>false</LinksUpToDate>
  <CharactersWithSpaces>9233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2019-07-28T02:37:00Z</dcterms:created>
  <dc:creator>Administrator</dc:creator>
  <cp:lastModifiedBy>猫不叹气</cp:lastModifiedBy>
  <cp:lastPrinted>2012-09-19T14:00:00Z</cp:lastPrinted>
  <dcterms:modified xsi:type="dcterms:W3CDTF">2023-09-26T02:09:09Z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90D74AD8847844C8B6B3F08FF3278CF3_13</vt:lpwstr>
  </property>
</Properties>
</file>