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w:t>
      </w: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lang w:eastAsia="zh-CN"/>
        </w:rPr>
        <w:t>年津南区国资委信息公开工作</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6" w:afterAutospacing="0" w:line="315" w:lineRule="atLeast"/>
        <w:ind w:left="0" w:right="0" w:firstLine="420"/>
        <w:jc w:val="left"/>
        <w:rPr>
          <w:rFonts w:ascii="仿宋_GB2312" w:hAnsi="微软雅黑" w:eastAsia="仿宋_GB2312" w:cs="仿宋_GB2312"/>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960" w:firstLineChars="300"/>
        <w:jc w:val="left"/>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本年度报告根据《中华人民共和国政府信息公开条例》 （以下简称《条例》）的要求，全文包括总体情况、主动公开政府信息情况、收到和处理政府信息公开申请情况、因政府信息公开工作被申请行政复议和提起行政诉讼情况、政府信息公开工作存在的主要问题及改进情况及其他需要报告的事项。本年度报告中所列数据统计期限从</w:t>
      </w:r>
      <w:r>
        <w:rPr>
          <w:rFonts w:hint="default" w:ascii="仿宋_GB2312" w:hAnsi="宋体" w:eastAsia="仿宋_GB2312" w:cs="Times New Roman"/>
          <w:kern w:val="2"/>
          <w:sz w:val="32"/>
          <w:szCs w:val="32"/>
          <w:lang w:val="en-US" w:eastAsia="zh-CN" w:bidi="ar-SA"/>
        </w:rPr>
        <w:t> 2022年1月1日到12月31日止</w:t>
      </w:r>
      <w:r>
        <w:rPr>
          <w:rFonts w:hint="eastAsia" w:ascii="仿宋_GB2312" w:hAnsi="宋体" w:eastAsia="仿宋_GB2312" w:cs="Times New Roman"/>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宋体" w:eastAsia="黑体" w:cs="Times New Roman"/>
          <w:kern w:val="2"/>
          <w:sz w:val="32"/>
          <w:szCs w:val="32"/>
          <w:lang w:val="en-US" w:eastAsia="zh-CN" w:bidi="ar-SA"/>
        </w:rPr>
      </w:pPr>
      <w:r>
        <w:rPr>
          <w:rFonts w:hint="eastAsia"/>
          <w:lang w:val="en-US" w:eastAsia="zh-CN"/>
        </w:rPr>
        <w:t xml:space="preserve">   </w:t>
      </w:r>
      <w:r>
        <w:rPr>
          <w:rFonts w:ascii="黑体" w:hAnsi="宋体" w:eastAsia="黑体" w:cs="黑体"/>
          <w:i w:val="0"/>
          <w:iCs w:val="0"/>
          <w:caps w:val="0"/>
          <w:color w:val="333333"/>
          <w:spacing w:val="0"/>
          <w:sz w:val="32"/>
          <w:szCs w:val="32"/>
          <w:shd w:val="clear" w:fill="FFFFFF"/>
        </w:rPr>
        <w:t>一、总体</w:t>
      </w:r>
      <w:r>
        <w:rPr>
          <w:rFonts w:hint="eastAsia" w:ascii="黑体" w:hAnsi="宋体" w:eastAsia="黑体" w:cs="黑体"/>
          <w:i w:val="0"/>
          <w:iCs w:val="0"/>
          <w:caps w:val="0"/>
          <w:color w:val="333333"/>
          <w:spacing w:val="0"/>
          <w:sz w:val="32"/>
          <w:szCs w:val="32"/>
          <w:shd w:val="clear" w:fill="FFFFFF"/>
          <w:lang w:val="en-US" w:eastAsia="zh-CN"/>
        </w:rPr>
        <w:t>情况</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宋体" w:eastAsia="仿宋_GB2312" w:cs="Times New Roman"/>
          <w:kern w:val="2"/>
          <w:sz w:val="32"/>
          <w:szCs w:val="32"/>
          <w:lang w:val="en-US" w:eastAsia="zh-CN" w:bidi="ar-SA"/>
        </w:rPr>
      </w:pPr>
      <w:r>
        <w:rPr>
          <w:rFonts w:hint="default" w:ascii="仿宋_GB2312" w:hAnsi="宋体" w:eastAsia="仿宋_GB2312" w:cs="Times New Roman"/>
          <w:kern w:val="2"/>
          <w:sz w:val="32"/>
          <w:szCs w:val="32"/>
          <w:lang w:val="en-US" w:eastAsia="zh-CN" w:bidi="ar-SA"/>
        </w:rPr>
        <w:t>2022年，津南区</w:t>
      </w:r>
      <w:r>
        <w:rPr>
          <w:rFonts w:hint="eastAsia" w:ascii="仿宋_GB2312" w:hAnsi="宋体" w:eastAsia="仿宋_GB2312" w:cs="Times New Roman"/>
          <w:kern w:val="2"/>
          <w:sz w:val="32"/>
          <w:szCs w:val="32"/>
          <w:lang w:val="en-US" w:eastAsia="zh-CN" w:bidi="ar-SA"/>
        </w:rPr>
        <w:t>国资委</w:t>
      </w:r>
      <w:r>
        <w:rPr>
          <w:rFonts w:hint="default" w:ascii="仿宋_GB2312" w:hAnsi="宋体" w:eastAsia="仿宋_GB2312" w:cs="Times New Roman"/>
          <w:kern w:val="2"/>
          <w:sz w:val="32"/>
          <w:szCs w:val="32"/>
          <w:lang w:val="en-US" w:eastAsia="zh-CN" w:bidi="ar-SA"/>
        </w:rPr>
        <w:t>坚持以习近平新时代中国特色社会主义思想为指导，全面贯彻党的二十大精神，</w:t>
      </w:r>
      <w:r>
        <w:rPr>
          <w:rFonts w:hint="eastAsia" w:ascii="仿宋_GB2312" w:hAnsi="宋体" w:eastAsia="仿宋_GB2312" w:cs="Times New Roman"/>
          <w:kern w:val="2"/>
          <w:sz w:val="32"/>
          <w:szCs w:val="32"/>
          <w:lang w:val="en-US" w:eastAsia="zh-CN" w:bidi="ar-SA"/>
        </w:rPr>
        <w:t>深入贯彻落实习近平总书记关于国企改革发展和党的建设重要论述，严格落实中央和市区委决策部署</w:t>
      </w:r>
      <w:r>
        <w:rPr>
          <w:rFonts w:hint="default" w:ascii="仿宋_GB2312" w:hAnsi="宋体" w:eastAsia="仿宋_GB2312" w:cs="Times New Roman"/>
          <w:kern w:val="2"/>
          <w:sz w:val="32"/>
          <w:szCs w:val="32"/>
          <w:lang w:val="en-US" w:eastAsia="zh-CN" w:bidi="ar-SA"/>
        </w:rPr>
        <w:t>，全面落实全区推进政务公开工作</w:t>
      </w:r>
      <w:r>
        <w:rPr>
          <w:rFonts w:hint="eastAsia" w:ascii="仿宋_GB2312" w:hAnsi="宋体" w:eastAsia="仿宋_GB2312" w:cs="Times New Roman"/>
          <w:kern w:val="2"/>
          <w:sz w:val="32"/>
          <w:szCs w:val="32"/>
          <w:lang w:val="en-US" w:eastAsia="zh-CN" w:bidi="ar-SA"/>
        </w:rPr>
        <w:t>。</w:t>
      </w:r>
    </w:p>
    <w:p>
      <w:pPr>
        <w:pStyle w:val="2"/>
        <w:numPr>
          <w:ilvl w:val="0"/>
          <w:numId w:val="1"/>
        </w:numPr>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主动公开方面</w:t>
      </w:r>
    </w:p>
    <w:p>
      <w:pPr>
        <w:numPr>
          <w:ilvl w:val="0"/>
          <w:numId w:val="0"/>
        </w:numPr>
        <w:rPr>
          <w:rFonts w:hint="eastAsia" w:eastAsia="仿宋_GB2312"/>
          <w:sz w:val="32"/>
          <w:szCs w:val="32"/>
          <w:lang w:val="en-US" w:eastAsia="zh-CN"/>
        </w:rPr>
      </w:pPr>
      <w:r>
        <w:rPr>
          <w:rFonts w:hint="eastAsia"/>
          <w:lang w:val="en-US" w:eastAsia="zh-CN"/>
        </w:rPr>
        <w:t xml:space="preserve">       </w:t>
      </w:r>
      <w:r>
        <w:rPr>
          <w:rFonts w:hint="eastAsia" w:eastAsia="仿宋_GB2312"/>
          <w:sz w:val="32"/>
          <w:szCs w:val="32"/>
          <w:lang w:val="en-US" w:eastAsia="zh-CN"/>
        </w:rPr>
        <w:t>政务主动公开内容包括：企业混改、国资监管、企业调研、企业帮扶、会议活动、委内信息、国企风采等，以及区政府要求公开内容。</w:t>
      </w:r>
    </w:p>
    <w:p>
      <w:pPr>
        <w:pStyle w:val="2"/>
        <w:rPr>
          <w:rFonts w:hint="eastAsia" w:ascii="楷体" w:hAnsi="楷体" w:eastAsia="楷体" w:cs="楷体"/>
          <w:lang w:val="en-US" w:eastAsia="zh-CN"/>
        </w:rPr>
      </w:pPr>
      <w:r>
        <w:rPr>
          <w:rFonts w:hint="eastAsia" w:ascii="楷体" w:hAnsi="楷体" w:eastAsia="楷体" w:cs="楷体"/>
          <w:sz w:val="32"/>
          <w:szCs w:val="32"/>
          <w:lang w:val="en-US" w:eastAsia="zh-CN"/>
        </w:rPr>
        <w:t>（二）依申请公开方面</w:t>
      </w:r>
    </w:p>
    <w:p>
      <w:pPr>
        <w:numPr>
          <w:ilvl w:val="0"/>
          <w:numId w:val="0"/>
        </w:numPr>
        <w:ind w:firstLine="640" w:firstLineChars="200"/>
        <w:rPr>
          <w:rFonts w:hint="eastAsia" w:eastAsia="仿宋_GB2312"/>
          <w:sz w:val="32"/>
          <w:szCs w:val="32"/>
          <w:lang w:val="en-US" w:eastAsia="zh-CN"/>
        </w:rPr>
      </w:pPr>
      <w:r>
        <w:rPr>
          <w:rFonts w:hint="eastAsia" w:eastAsia="仿宋_GB2312"/>
          <w:sz w:val="32"/>
          <w:szCs w:val="32"/>
          <w:lang w:val="en-US" w:eastAsia="zh-CN"/>
        </w:rPr>
        <w:t>2022年区国资委无依申请公开，未涉及人大建议、政协提案，不涉及行政许可、行政处罚、行政强制、行政收费事项。</w:t>
      </w:r>
    </w:p>
    <w:p>
      <w:pPr>
        <w:numPr>
          <w:ilvl w:val="0"/>
          <w:numId w:val="0"/>
        </w:numPr>
        <w:ind w:leftChars="200" w:firstLine="320" w:firstLineChars="1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（三）政府信息管理方面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160" w:right="0" w:firstLine="641"/>
        <w:jc w:val="left"/>
        <w:textAlignment w:val="auto"/>
        <w:rPr>
          <w:rFonts w:hint="eastAsia" w:ascii="仿宋_GB2312" w:hAnsi="宋体" w:eastAsia="仿宋_GB2312"/>
          <w:sz w:val="32"/>
          <w:szCs w:val="32"/>
          <w:lang w:eastAsia="zh-CN"/>
        </w:rPr>
      </w:pPr>
      <w:r>
        <w:rPr>
          <w:rFonts w:hint="eastAsia" w:ascii="仿宋_GB2312" w:hAnsi="宋体" w:eastAsia="仿宋_GB2312"/>
          <w:sz w:val="32"/>
          <w:szCs w:val="32"/>
        </w:rPr>
        <w:t>以基层政务公开标准化规范化为基础，不断深化政务公开，规范推进</w:t>
      </w:r>
      <w:r>
        <w:rPr>
          <w:rFonts w:hint="eastAsia" w:ascii="仿宋_GB2312" w:hAnsi="宋体" w:eastAsia="仿宋_GB2312"/>
          <w:sz w:val="32"/>
          <w:szCs w:val="32"/>
          <w:lang w:eastAsia="zh-CN"/>
        </w:rPr>
        <w:t>政务</w:t>
      </w:r>
      <w:r>
        <w:rPr>
          <w:rFonts w:hint="eastAsia" w:ascii="仿宋_GB2312" w:hAnsi="宋体" w:eastAsia="仿宋_GB2312"/>
          <w:sz w:val="32"/>
          <w:szCs w:val="32"/>
        </w:rPr>
        <w:t>信息公开，以公开促落实、促规范、促服务，促依法行政。</w:t>
      </w:r>
      <w:r>
        <w:rPr>
          <w:rFonts w:hint="eastAsia" w:ascii="仿宋_GB2312" w:hAnsi="宋体" w:eastAsia="仿宋_GB2312"/>
          <w:sz w:val="32"/>
          <w:szCs w:val="32"/>
          <w:lang w:eastAsia="zh-CN"/>
        </w:rPr>
        <w:t>一是扩大公开范围。</w:t>
      </w:r>
      <w:r>
        <w:rPr>
          <w:rFonts w:hint="eastAsia" w:ascii="仿宋_GB2312" w:hAnsi="宋体" w:eastAsia="仿宋_GB2312"/>
          <w:sz w:val="32"/>
          <w:szCs w:val="32"/>
        </w:rPr>
        <w:t>将</w:t>
      </w:r>
      <w:r>
        <w:rPr>
          <w:rFonts w:hint="eastAsia" w:ascii="仿宋_GB2312" w:hAnsi="宋体" w:eastAsia="仿宋_GB2312"/>
          <w:sz w:val="32"/>
          <w:szCs w:val="32"/>
          <w:lang w:eastAsia="zh-CN"/>
        </w:rPr>
        <w:t>职责</w:t>
      </w:r>
      <w:r>
        <w:rPr>
          <w:rFonts w:hint="eastAsia" w:ascii="仿宋_GB2312" w:hAnsi="宋体" w:eastAsia="仿宋_GB2312"/>
          <w:sz w:val="32"/>
          <w:szCs w:val="32"/>
        </w:rPr>
        <w:t>清单、</w:t>
      </w:r>
      <w:r>
        <w:rPr>
          <w:rFonts w:hint="eastAsia" w:ascii="仿宋_GB2312" w:hAnsi="宋体" w:eastAsia="仿宋_GB2312"/>
          <w:sz w:val="32"/>
          <w:szCs w:val="32"/>
          <w:lang w:eastAsia="zh-CN"/>
        </w:rPr>
        <w:t>操作</w:t>
      </w:r>
      <w:r>
        <w:rPr>
          <w:rFonts w:hint="eastAsia" w:ascii="仿宋_GB2312" w:hAnsi="宋体" w:eastAsia="仿宋_GB2312"/>
          <w:sz w:val="32"/>
          <w:szCs w:val="32"/>
        </w:rPr>
        <w:t>指南等作为基本公开内容，</w:t>
      </w:r>
      <w:r>
        <w:rPr>
          <w:rFonts w:hint="eastAsia" w:ascii="仿宋_GB2312" w:hAnsi="仿宋_GB2312" w:eastAsia="仿宋_GB2312" w:cs="仿宋_GB2312"/>
          <w:b w:val="0"/>
          <w:bCs w:val="0"/>
          <w:sz w:val="32"/>
          <w:szCs w:val="32"/>
          <w:lang w:val="en-US" w:eastAsia="zh-CN"/>
        </w:rPr>
        <w:t>秉承“应公开尽公开”的原则，</w:t>
      </w:r>
      <w:r>
        <w:rPr>
          <w:rFonts w:hint="eastAsia" w:eastAsia="仿宋_GB2312"/>
          <w:sz w:val="32"/>
          <w:szCs w:val="32"/>
          <w:lang w:eastAsia="zh-CN"/>
        </w:rPr>
        <w:t>充分运用政务公开平台，</w:t>
      </w:r>
      <w:r>
        <w:rPr>
          <w:rFonts w:hint="eastAsia" w:eastAsia="仿宋_GB2312"/>
          <w:sz w:val="32"/>
          <w:szCs w:val="32"/>
        </w:rPr>
        <w:t>大力推进决策、执行、管理、服务、结果</w:t>
      </w:r>
      <w:r>
        <w:rPr>
          <w:rFonts w:hint="eastAsia" w:eastAsia="仿宋_GB2312"/>
          <w:sz w:val="32"/>
          <w:szCs w:val="32"/>
          <w:lang w:eastAsia="zh-CN"/>
        </w:rPr>
        <w:t>五</w:t>
      </w:r>
      <w:r>
        <w:rPr>
          <w:rFonts w:hint="eastAsia" w:eastAsia="仿宋_GB2312"/>
          <w:sz w:val="32"/>
          <w:szCs w:val="32"/>
        </w:rPr>
        <w:t>公开</w:t>
      </w:r>
      <w:r>
        <w:rPr>
          <w:rFonts w:hint="eastAsia" w:eastAsia="仿宋_GB2312"/>
          <w:sz w:val="32"/>
          <w:szCs w:val="32"/>
          <w:lang w:eastAsia="zh-CN"/>
        </w:rPr>
        <w:t>，</w:t>
      </w:r>
      <w:r>
        <w:rPr>
          <w:rFonts w:hint="eastAsia" w:ascii="仿宋_GB2312" w:hAnsi="宋体" w:eastAsia="仿宋_GB2312"/>
          <w:sz w:val="32"/>
          <w:szCs w:val="32"/>
        </w:rPr>
        <w:t>及时向社会公布并进行动态调整</w:t>
      </w:r>
      <w:r>
        <w:rPr>
          <w:rFonts w:hint="eastAsia" w:ascii="仿宋_GB2312" w:hAnsi="宋体" w:eastAsia="仿宋_GB2312"/>
          <w:sz w:val="32"/>
          <w:szCs w:val="32"/>
          <w:lang w:eastAsia="zh-CN"/>
        </w:rPr>
        <w:t>。</w:t>
      </w:r>
      <w:r>
        <w:rPr>
          <w:rFonts w:hint="eastAsia" w:ascii="仿宋_GB2312" w:hAnsi="宋体" w:eastAsia="仿宋_GB2312"/>
          <w:sz w:val="32"/>
          <w:szCs w:val="32"/>
        </w:rPr>
        <w:t>加强事中事后信息公开，有效促进公开、公平、公正。</w:t>
      </w:r>
      <w:r>
        <w:rPr>
          <w:rFonts w:hint="eastAsia" w:ascii="仿宋_GB2312" w:hAnsi="宋体" w:eastAsia="仿宋_GB2312"/>
          <w:sz w:val="32"/>
          <w:szCs w:val="32"/>
          <w:lang w:eastAsia="zh-CN"/>
        </w:rPr>
        <w:t>二是规范公开程序。制定区国资委信息发布、报送和政务公开制度，凡是发布的信息均经过保密审查，经主要领导和分管领导审核后，方可发布。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160" w:right="0" w:firstLine="641"/>
        <w:jc w:val="left"/>
        <w:textAlignment w:val="auto"/>
        <w:rPr>
          <w:rFonts w:hint="eastAsia" w:ascii="仿宋_GB2312" w:hAnsi="宋体" w:eastAsia="仿宋_GB2312"/>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平台建设方面</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hAnsi="宋体" w:eastAsia="仿宋_GB2312"/>
          <w:sz w:val="32"/>
          <w:szCs w:val="32"/>
          <w:lang w:val="en-US" w:eastAsia="zh-CN"/>
        </w:rPr>
        <w:t xml:space="preserve"> 开设“津南国资”微信公众号，充分运用公众号平台加大区国资系统政务公开，</w:t>
      </w:r>
      <w:r>
        <w:rPr>
          <w:rFonts w:hint="eastAsia" w:eastAsia="仿宋_GB2312"/>
          <w:sz w:val="32"/>
          <w:szCs w:val="32"/>
          <w:lang w:val="en-US" w:eastAsia="zh-CN"/>
        </w:rPr>
        <w:t>将国企改革、国资监管和企业风采作为政务公开的重点内容，全面反映我区国企改革操作方法、工作动态和实时进度，反映国有资产监管情况。</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leftChars="200" w:right="0" w:rightChars="0" w:firstLine="320" w:firstLineChars="1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（五）监督保障方面</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15" w:lineRule="atLeast"/>
        <w:ind w:right="0" w:rightChars="0" w:firstLine="640" w:firstLineChars="200"/>
        <w:jc w:val="left"/>
        <w:textAlignment w:val="auto"/>
        <w:rPr>
          <w:rFonts w:hint="eastAsia" w:eastAsia="仿宋_GB2312"/>
          <w:sz w:val="32"/>
          <w:szCs w:val="32"/>
          <w:lang w:val="en-US" w:eastAsia="zh-CN"/>
        </w:rPr>
      </w:pPr>
      <w:r>
        <w:rPr>
          <w:rFonts w:hint="eastAsia" w:ascii="仿宋_GB2312" w:hAnsi="宋体" w:eastAsia="仿宋_GB2312"/>
          <w:sz w:val="32"/>
          <w:szCs w:val="32"/>
          <w:lang w:eastAsia="zh-CN"/>
        </w:rPr>
        <w:t>组织专门干部积极参加区政府组织的政务公开培训，更新政务公开理念，掌握</w:t>
      </w:r>
      <w:r>
        <w:rPr>
          <w:rFonts w:hint="eastAsia" w:ascii="仿宋_GB2312" w:hAnsi="宋体" w:eastAsia="仿宋_GB2312"/>
          <w:sz w:val="32"/>
          <w:szCs w:val="32"/>
        </w:rPr>
        <w:t>最新政务公开形势要求，提升公开意识和工作水平</w:t>
      </w:r>
      <w:r>
        <w:rPr>
          <w:rFonts w:hint="eastAsia" w:ascii="仿宋_GB2312" w:hAnsi="宋体" w:eastAsia="仿宋_GB2312"/>
          <w:sz w:val="32"/>
          <w:szCs w:val="32"/>
          <w:lang w:eastAsia="zh-CN"/>
        </w:rPr>
        <w:t>，</w:t>
      </w:r>
      <w:r>
        <w:rPr>
          <w:rFonts w:hint="eastAsia" w:eastAsia="仿宋_GB2312"/>
          <w:sz w:val="32"/>
          <w:szCs w:val="32"/>
          <w:lang w:val="en-US" w:eastAsia="zh-CN"/>
        </w:rPr>
        <w:t>接受各方监督。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8" w:afterAutospacing="0" w:line="390" w:lineRule="atLeast"/>
        <w:ind w:right="0" w:firstLine="640" w:firstLineChars="20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二、主动公开政府信息情况</w:t>
      </w:r>
    </w:p>
    <w:tbl>
      <w:tblPr>
        <w:tblStyle w:val="6"/>
        <w:tblW w:w="994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69"/>
        <w:gridCol w:w="2300"/>
        <w:gridCol w:w="2300"/>
        <w:gridCol w:w="307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5" w:hRule="atLeast"/>
          <w:jc w:val="center"/>
        </w:trPr>
        <w:tc>
          <w:tcPr>
            <w:tcW w:w="9795" w:type="dxa"/>
            <w:gridSpan w:val="4"/>
            <w:tcBorders>
              <w:top w:val="single" w:color="000000" w:sz="6" w:space="0"/>
              <w:left w:val="single" w:color="000000" w:sz="6" w:space="0"/>
              <w:bottom w:val="single" w:color="000000" w:sz="6" w:space="0"/>
              <w:right w:val="single" w:color="000000" w:sz="6" w:space="0"/>
            </w:tcBorders>
            <w:shd w:val="clear" w:color="auto" w:fill="C6D9F1"/>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8"/>
                <w:szCs w:val="28"/>
              </w:rPr>
              <w:t>第二十条第（一）项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6" w:hRule="atLeast"/>
          <w:jc w:val="center"/>
        </w:trPr>
        <w:tc>
          <w:tcPr>
            <w:tcW w:w="2235"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8"/>
                <w:szCs w:val="28"/>
              </w:rPr>
              <w:t>信息内容</w:t>
            </w:r>
          </w:p>
        </w:tc>
        <w:tc>
          <w:tcPr>
            <w:tcW w:w="2265" w:type="dxa"/>
            <w:tcBorders>
              <w:top w:val="single" w:color="000000" w:sz="8" w:space="0"/>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8"/>
                <w:szCs w:val="28"/>
              </w:rPr>
              <w:t>本年制发件数</w:t>
            </w:r>
          </w:p>
        </w:tc>
        <w:tc>
          <w:tcPr>
            <w:tcW w:w="2265" w:type="dxa"/>
            <w:tcBorders>
              <w:top w:val="single" w:color="000000" w:sz="8" w:space="0"/>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8"/>
                <w:szCs w:val="28"/>
              </w:rPr>
              <w:t>本年废止件数</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8"/>
                <w:szCs w:val="28"/>
              </w:rPr>
              <w:t>现行有效件数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6" w:hRule="atLeast"/>
          <w:jc w:val="center"/>
        </w:trPr>
        <w:tc>
          <w:tcPr>
            <w:tcW w:w="2235"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8"/>
                <w:szCs w:val="28"/>
              </w:rPr>
              <w:t>规章</w:t>
            </w:r>
          </w:p>
        </w:tc>
        <w:tc>
          <w:tcPr>
            <w:tcW w:w="2265"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rPr>
                <w:rFonts w:hint="eastAsia" w:eastAsia="宋体"/>
                <w:lang w:val="en-US" w:eastAsia="zh-CN"/>
              </w:rPr>
            </w:pPr>
            <w:r>
              <w:rPr>
                <w:rFonts w:hint="eastAsia" w:ascii="宋体" w:hAnsi="宋体" w:eastAsia="宋体" w:cs="宋体"/>
                <w:sz w:val="28"/>
                <w:szCs w:val="28"/>
              </w:rPr>
              <w:t>　　</w:t>
            </w:r>
            <w:r>
              <w:rPr>
                <w:rFonts w:hint="eastAsia" w:ascii="宋体" w:hAnsi="宋体" w:cs="宋体"/>
                <w:sz w:val="28"/>
                <w:szCs w:val="28"/>
                <w:lang w:val="en-US" w:eastAsia="zh-CN"/>
              </w:rPr>
              <w:t>0</w:t>
            </w:r>
          </w:p>
        </w:tc>
        <w:tc>
          <w:tcPr>
            <w:tcW w:w="2265"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rPr>
                <w:rFonts w:hint="eastAsia" w:eastAsia="宋体"/>
                <w:lang w:val="en-US" w:eastAsia="zh-CN"/>
              </w:rPr>
            </w:pPr>
            <w:r>
              <w:t> </w:t>
            </w:r>
            <w:r>
              <w:rPr>
                <w:rFonts w:hint="eastAsia" w:ascii="宋体" w:hAnsi="宋体" w:eastAsia="宋体" w:cs="宋体"/>
                <w:sz w:val="28"/>
                <w:szCs w:val="28"/>
              </w:rPr>
              <w:t>　</w:t>
            </w:r>
            <w:r>
              <w:rPr>
                <w:rFonts w:hint="eastAsia" w:ascii="宋体" w:hAnsi="宋体" w:cs="宋体"/>
                <w:sz w:val="28"/>
                <w:szCs w:val="28"/>
                <w:lang w:val="en-US" w:eastAsia="zh-CN"/>
              </w:rPr>
              <w:t>0</w:t>
            </w:r>
          </w:p>
        </w:tc>
        <w:tc>
          <w:tcPr>
            <w:tcW w:w="2670"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rPr>
                <w:rFonts w:hint="eastAsia" w:eastAsia="宋体"/>
                <w:lang w:val="en-US" w:eastAsia="zh-CN"/>
              </w:rPr>
            </w:pPr>
            <w:r>
              <w:t> </w:t>
            </w: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6" w:hRule="atLeast"/>
          <w:jc w:val="center"/>
        </w:trPr>
        <w:tc>
          <w:tcPr>
            <w:tcW w:w="2235"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8"/>
                <w:szCs w:val="28"/>
              </w:rPr>
              <w:t>行政规范性文件</w:t>
            </w:r>
          </w:p>
        </w:tc>
        <w:tc>
          <w:tcPr>
            <w:tcW w:w="2265"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rFonts w:hint="eastAsia" w:ascii="宋体" w:hAnsi="宋体" w:cs="宋体"/>
                <w:sz w:val="28"/>
                <w:szCs w:val="28"/>
                <w:lang w:val="en-US" w:eastAsia="zh-CN"/>
              </w:rPr>
              <w:t>0</w:t>
            </w:r>
          </w:p>
        </w:tc>
        <w:tc>
          <w:tcPr>
            <w:tcW w:w="2265"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color w:val="000000"/>
              </w:rPr>
              <w:t> </w:t>
            </w:r>
            <w:r>
              <w:rPr>
                <w:rFonts w:hint="eastAsia" w:ascii="宋体" w:hAnsi="宋体" w:eastAsia="宋体" w:cs="宋体"/>
                <w:color w:val="000000"/>
                <w:sz w:val="28"/>
                <w:szCs w:val="28"/>
              </w:rPr>
              <w:t>　0</w:t>
            </w:r>
          </w:p>
        </w:tc>
        <w:tc>
          <w:tcPr>
            <w:tcW w:w="2670"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color w:val="000000"/>
              </w:rPr>
              <w:t> </w:t>
            </w:r>
            <w:r>
              <w:rPr>
                <w:rFonts w:hint="eastAsia" w:ascii="Times New Roman" w:hAnsi="Times New Roman" w:cs="Times New Roman"/>
                <w:color w:val="000000"/>
                <w:sz w:val="28"/>
                <w:szCs w:val="28"/>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6" w:hRule="atLeast"/>
          <w:jc w:val="center"/>
        </w:trPr>
        <w:tc>
          <w:tcPr>
            <w:tcW w:w="9795" w:type="dxa"/>
            <w:gridSpan w:val="4"/>
            <w:tcBorders>
              <w:top w:val="single" w:color="000000" w:sz="6" w:space="0"/>
              <w:left w:val="single" w:color="000000" w:sz="6" w:space="0"/>
              <w:bottom w:val="single" w:color="000000" w:sz="6" w:space="0"/>
              <w:right w:val="single" w:color="000000" w:sz="6" w:space="0"/>
            </w:tcBorders>
            <w:shd w:val="clear" w:color="auto" w:fill="C6D9F1"/>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8"/>
                <w:szCs w:val="28"/>
              </w:rPr>
              <w:t>第二十条第（五）项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6" w:hRule="atLeast"/>
          <w:jc w:val="center"/>
        </w:trPr>
        <w:tc>
          <w:tcPr>
            <w:tcW w:w="2235"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8"/>
                <w:szCs w:val="28"/>
              </w:rPr>
              <w:t>信息内容</w:t>
            </w:r>
          </w:p>
        </w:tc>
        <w:tc>
          <w:tcPr>
            <w:tcW w:w="7440" w:type="dxa"/>
            <w:gridSpan w:val="3"/>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8"/>
                <w:szCs w:val="28"/>
              </w:rPr>
              <w:t>本年处理决定数量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6" w:hRule="atLeast"/>
          <w:jc w:val="center"/>
        </w:trPr>
        <w:tc>
          <w:tcPr>
            <w:tcW w:w="2235"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8"/>
                <w:szCs w:val="28"/>
              </w:rPr>
              <w:t>行政许可</w:t>
            </w:r>
          </w:p>
        </w:tc>
        <w:tc>
          <w:tcPr>
            <w:tcW w:w="7440" w:type="dxa"/>
            <w:gridSpan w:val="3"/>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default" w:ascii="Calibri" w:hAnsi="Calibri" w:cs="Calibri"/>
                <w:sz w:val="18"/>
                <w:szCs w:val="18"/>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6" w:hRule="atLeast"/>
          <w:jc w:val="center"/>
        </w:trPr>
        <w:tc>
          <w:tcPr>
            <w:tcW w:w="9795" w:type="dxa"/>
            <w:gridSpan w:val="4"/>
            <w:tcBorders>
              <w:top w:val="single" w:color="000000" w:sz="6" w:space="0"/>
              <w:left w:val="single" w:color="000000" w:sz="6" w:space="0"/>
              <w:bottom w:val="single" w:color="000000" w:sz="6" w:space="0"/>
              <w:right w:val="single" w:color="000000" w:sz="6" w:space="0"/>
            </w:tcBorders>
            <w:shd w:val="clear" w:color="auto" w:fill="C6D9F1"/>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8"/>
                <w:szCs w:val="28"/>
              </w:rPr>
              <w:t>第二十条第（六）项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6" w:hRule="atLeast"/>
          <w:jc w:val="center"/>
        </w:trPr>
        <w:tc>
          <w:tcPr>
            <w:tcW w:w="2235"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8"/>
                <w:szCs w:val="28"/>
              </w:rPr>
              <w:t>信息内容</w:t>
            </w:r>
          </w:p>
        </w:tc>
        <w:tc>
          <w:tcPr>
            <w:tcW w:w="7440" w:type="dxa"/>
            <w:gridSpan w:val="3"/>
            <w:tcBorders>
              <w:top w:val="single" w:color="000000" w:sz="8" w:space="0"/>
              <w:left w:val="single" w:color="000000" w:sz="8" w:space="0"/>
              <w:bottom w:val="single" w:color="000000" w:sz="8" w:space="0"/>
              <w:right w:val="single" w:color="000000"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8"/>
                <w:szCs w:val="28"/>
              </w:rPr>
              <w:t>本年处理决定数量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6" w:hRule="atLeast"/>
          <w:jc w:val="center"/>
        </w:trPr>
        <w:tc>
          <w:tcPr>
            <w:tcW w:w="2235"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8"/>
                <w:szCs w:val="28"/>
              </w:rPr>
              <w:t>行政处罚</w:t>
            </w:r>
          </w:p>
        </w:tc>
        <w:tc>
          <w:tcPr>
            <w:tcW w:w="7440" w:type="dxa"/>
            <w:gridSpan w:val="3"/>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default" w:ascii="Calibri" w:hAnsi="Calibri" w:cs="Calibri"/>
                <w:sz w:val="18"/>
                <w:szCs w:val="18"/>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6" w:hRule="atLeast"/>
          <w:jc w:val="center"/>
        </w:trPr>
        <w:tc>
          <w:tcPr>
            <w:tcW w:w="2235"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8"/>
                <w:szCs w:val="28"/>
              </w:rPr>
              <w:t>行政强制</w:t>
            </w:r>
          </w:p>
        </w:tc>
        <w:tc>
          <w:tcPr>
            <w:tcW w:w="7440" w:type="dxa"/>
            <w:gridSpan w:val="3"/>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default" w:ascii="Calibri" w:hAnsi="Calibri" w:cs="Calibri"/>
                <w:sz w:val="18"/>
                <w:szCs w:val="18"/>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6" w:hRule="atLeast"/>
          <w:jc w:val="center"/>
        </w:trPr>
        <w:tc>
          <w:tcPr>
            <w:tcW w:w="9795" w:type="dxa"/>
            <w:gridSpan w:val="4"/>
            <w:tcBorders>
              <w:top w:val="single" w:color="000000" w:sz="6" w:space="0"/>
              <w:left w:val="single" w:color="000000" w:sz="6" w:space="0"/>
              <w:bottom w:val="single" w:color="000000" w:sz="6" w:space="0"/>
              <w:right w:val="single" w:color="000000" w:sz="6" w:space="0"/>
            </w:tcBorders>
            <w:shd w:val="clear" w:color="auto" w:fill="C6D9F1"/>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8"/>
                <w:szCs w:val="28"/>
              </w:rPr>
              <w:t>第二十条第（八）项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06" w:hRule="atLeast"/>
          <w:jc w:val="center"/>
        </w:trPr>
        <w:tc>
          <w:tcPr>
            <w:tcW w:w="2235"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8"/>
                <w:szCs w:val="28"/>
              </w:rPr>
              <w:t>信息内容</w:t>
            </w:r>
          </w:p>
        </w:tc>
        <w:tc>
          <w:tcPr>
            <w:tcW w:w="7440" w:type="dxa"/>
            <w:gridSpan w:val="3"/>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8"/>
                <w:szCs w:val="28"/>
              </w:rPr>
              <w:t>本年收费金额（单位：万元）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75" w:hRule="atLeast"/>
          <w:jc w:val="center"/>
        </w:trPr>
        <w:tc>
          <w:tcPr>
            <w:tcW w:w="2235"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8"/>
                <w:szCs w:val="28"/>
              </w:rPr>
              <w:t>行政事业性收费</w:t>
            </w:r>
          </w:p>
        </w:tc>
        <w:tc>
          <w:tcPr>
            <w:tcW w:w="7440" w:type="dxa"/>
            <w:gridSpan w:val="3"/>
            <w:tcBorders>
              <w:top w:val="nil"/>
              <w:left w:val="single" w:color="000000" w:sz="8" w:space="0"/>
              <w:bottom w:val="single" w:color="000000" w:sz="8" w:space="0"/>
              <w:right w:val="single" w:color="000000"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rFonts w:hint="eastAsia" w:cs="Calibri"/>
                <w:sz w:val="18"/>
                <w:szCs w:val="18"/>
                <w:lang w:val="en-US" w:eastAsia="zh-CN"/>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90" w:lineRule="atLeast"/>
        <w:ind w:left="0" w:right="0" w:firstLine="0"/>
        <w:jc w:val="left"/>
        <w:rPr>
          <w:rFonts w:hint="eastAsia" w:ascii="微软雅黑" w:hAnsi="微软雅黑" w:eastAsia="微软雅黑" w:cs="微软雅黑"/>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8" w:afterAutospacing="0" w:line="390"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 三、收到和处理政府信息公开申请情况</w:t>
      </w:r>
    </w:p>
    <w:tbl>
      <w:tblPr>
        <w:tblStyle w:val="6"/>
        <w:tblW w:w="972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67"/>
        <w:gridCol w:w="674"/>
        <w:gridCol w:w="3211"/>
        <w:gridCol w:w="431"/>
        <w:gridCol w:w="401"/>
        <w:gridCol w:w="401"/>
        <w:gridCol w:w="401"/>
        <w:gridCol w:w="401"/>
        <w:gridCol w:w="1422"/>
        <w:gridCol w:w="19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352" w:type="dxa"/>
            <w:gridSpan w:val="3"/>
            <w:vMerge w:val="restart"/>
            <w:tcBorders>
              <w:top w:val="single" w:color="000000" w:sz="8" w:space="0"/>
              <w:left w:val="single" w:color="000000" w:sz="8" w:space="0"/>
              <w:bottom w:val="double" w:color="C0C0C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楷体" w:hAnsi="楷体" w:eastAsia="楷体" w:cs="楷体"/>
                <w:sz w:val="20"/>
                <w:szCs w:val="20"/>
              </w:rPr>
              <w:t>（本列数据的勾稽关系为：第一项加第二项之和，等于第三项加第四项之和）</w:t>
            </w:r>
          </w:p>
        </w:tc>
        <w:tc>
          <w:tcPr>
            <w:tcW w:w="5368" w:type="dxa"/>
            <w:gridSpan w:val="7"/>
            <w:tcBorders>
              <w:top w:val="single" w:color="000000" w:sz="8" w:space="0"/>
              <w:left w:val="single" w:color="000000" w:sz="8" w:space="0"/>
              <w:bottom w:val="single" w:color="000000" w:sz="8" w:space="0"/>
              <w:right w:val="single" w:color="000000"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0"/>
                <w:szCs w:val="20"/>
              </w:rPr>
              <w:t>申请人情况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352" w:type="dxa"/>
            <w:gridSpan w:val="3"/>
            <w:vMerge w:val="continue"/>
            <w:tcBorders>
              <w:top w:val="single" w:color="000000" w:sz="8" w:space="0"/>
              <w:left w:val="single" w:color="000000" w:sz="8" w:space="0"/>
              <w:bottom w:val="double" w:color="C0C0C0" w:sz="6" w:space="0"/>
              <w:right w:val="nil"/>
            </w:tcBorders>
            <w:shd w:val="clear" w:color="auto" w:fill="auto"/>
            <w:tcMar>
              <w:left w:w="108" w:type="dxa"/>
            </w:tcMar>
            <w:vAlign w:val="center"/>
          </w:tcPr>
          <w:p>
            <w:pPr>
              <w:rPr>
                <w:rFonts w:hint="eastAsia" w:ascii="宋体"/>
                <w:sz w:val="24"/>
                <w:szCs w:val="24"/>
              </w:rPr>
            </w:pPr>
          </w:p>
        </w:tc>
        <w:tc>
          <w:tcPr>
            <w:tcW w:w="431" w:type="dxa"/>
            <w:vMerge w:val="restart"/>
            <w:tcBorders>
              <w:top w:val="single" w:color="000000" w:sz="6" w:space="0"/>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0"/>
                <w:szCs w:val="20"/>
              </w:rPr>
              <w:t>自然人</w:t>
            </w:r>
          </w:p>
        </w:tc>
        <w:tc>
          <w:tcPr>
            <w:tcW w:w="3026" w:type="dxa"/>
            <w:gridSpan w:val="5"/>
            <w:tcBorders>
              <w:top w:val="single" w:color="000000" w:sz="8" w:space="0"/>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0"/>
                <w:szCs w:val="20"/>
              </w:rPr>
              <w:t>法人或其他组织</w:t>
            </w:r>
          </w:p>
        </w:tc>
        <w:tc>
          <w:tcPr>
            <w:tcW w:w="1911" w:type="dxa"/>
            <w:vMerge w:val="restart"/>
            <w:tcBorders>
              <w:top w:val="single" w:color="000000" w:sz="8" w:space="0"/>
              <w:left w:val="single" w:color="000000" w:sz="8" w:space="0"/>
              <w:bottom w:val="double" w:color="C0C0C0" w:sz="6" w:space="0"/>
              <w:right w:val="single" w:color="000000" w:sz="8" w:space="0"/>
            </w:tcBorders>
            <w:shd w:val="clear" w:color="auto" w:fill="auto"/>
            <w:tcMar>
              <w:left w:w="57" w:type="dxa"/>
              <w:righ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0"/>
                <w:szCs w:val="20"/>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352" w:type="dxa"/>
            <w:gridSpan w:val="3"/>
            <w:vMerge w:val="continue"/>
            <w:tcBorders>
              <w:top w:val="single" w:color="000000" w:sz="8" w:space="0"/>
              <w:left w:val="single" w:color="000000" w:sz="8" w:space="0"/>
              <w:bottom w:val="double" w:color="C0C0C0" w:sz="6" w:space="0"/>
              <w:right w:val="nil"/>
            </w:tcBorders>
            <w:shd w:val="clear" w:color="auto" w:fill="auto"/>
            <w:tcMar>
              <w:left w:w="108" w:type="dxa"/>
            </w:tcMar>
            <w:vAlign w:val="center"/>
          </w:tcPr>
          <w:p>
            <w:pPr>
              <w:rPr>
                <w:rFonts w:hint="eastAsia" w:ascii="宋体"/>
                <w:sz w:val="24"/>
                <w:szCs w:val="24"/>
              </w:rPr>
            </w:pPr>
          </w:p>
        </w:tc>
        <w:tc>
          <w:tcPr>
            <w:tcW w:w="431" w:type="dxa"/>
            <w:vMerge w:val="continue"/>
            <w:tcBorders>
              <w:top w:val="single" w:color="000000" w:sz="6" w:space="0"/>
              <w:left w:val="single" w:color="000000" w:sz="8" w:space="0"/>
              <w:bottom w:val="single" w:color="000000" w:sz="8" w:space="0"/>
              <w:right w:val="nil"/>
            </w:tcBorders>
            <w:shd w:val="clear" w:color="auto" w:fill="auto"/>
            <w:tcMar>
              <w:left w:w="57" w:type="dxa"/>
            </w:tcMar>
            <w:vAlign w:val="center"/>
          </w:tcPr>
          <w:p>
            <w:pPr>
              <w:rPr>
                <w:rFonts w:hint="eastAsia" w:ascii="宋体"/>
                <w:sz w:val="24"/>
                <w:szCs w:val="24"/>
              </w:rPr>
            </w:pPr>
          </w:p>
        </w:tc>
        <w:tc>
          <w:tcPr>
            <w:tcW w:w="401" w:type="dxa"/>
            <w:tcBorders>
              <w:top w:val="single" w:color="000000" w:sz="6" w:space="0"/>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1" w:afterAutospacing="0"/>
              <w:ind w:left="0" w:right="0"/>
              <w:jc w:val="center"/>
            </w:pPr>
            <w:r>
              <w:rPr>
                <w:rFonts w:hint="eastAsia" w:ascii="宋体" w:hAnsi="宋体" w:eastAsia="宋体" w:cs="宋体"/>
                <w:sz w:val="20"/>
                <w:szCs w:val="20"/>
              </w:rPr>
              <w:t>商业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0"/>
                <w:szCs w:val="20"/>
              </w:rPr>
              <w:t>企业</w:t>
            </w:r>
          </w:p>
        </w:tc>
        <w:tc>
          <w:tcPr>
            <w:tcW w:w="401" w:type="dxa"/>
            <w:tcBorders>
              <w:top w:val="single" w:color="000000" w:sz="6" w:space="0"/>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1" w:afterAutospacing="0"/>
              <w:ind w:left="0" w:right="0"/>
              <w:jc w:val="center"/>
            </w:pPr>
            <w:r>
              <w:rPr>
                <w:rFonts w:hint="eastAsia" w:ascii="宋体" w:hAnsi="宋体" w:eastAsia="宋体" w:cs="宋体"/>
                <w:sz w:val="20"/>
                <w:szCs w:val="20"/>
              </w:rPr>
              <w:t>科研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0"/>
                <w:szCs w:val="20"/>
              </w:rPr>
              <w:t>机构</w:t>
            </w:r>
          </w:p>
        </w:tc>
        <w:tc>
          <w:tcPr>
            <w:tcW w:w="401" w:type="dxa"/>
            <w:tcBorders>
              <w:top w:val="single" w:color="000000" w:sz="8" w:space="0"/>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0"/>
                <w:szCs w:val="20"/>
              </w:rPr>
              <w:t>社会公益组织</w:t>
            </w:r>
          </w:p>
        </w:tc>
        <w:tc>
          <w:tcPr>
            <w:tcW w:w="401" w:type="dxa"/>
            <w:tcBorders>
              <w:top w:val="single" w:color="000000" w:sz="8" w:space="0"/>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0"/>
                <w:szCs w:val="20"/>
              </w:rPr>
              <w:t>法律服务机构</w:t>
            </w:r>
          </w:p>
        </w:tc>
        <w:tc>
          <w:tcPr>
            <w:tcW w:w="1422" w:type="dxa"/>
            <w:tcBorders>
              <w:top w:val="single" w:color="000000" w:sz="8" w:space="0"/>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20"/>
                <w:szCs w:val="20"/>
              </w:rPr>
              <w:t>其他</w:t>
            </w:r>
          </w:p>
        </w:tc>
        <w:tc>
          <w:tcPr>
            <w:tcW w:w="1911" w:type="dxa"/>
            <w:vMerge w:val="continue"/>
            <w:tcBorders>
              <w:top w:val="single" w:color="000000" w:sz="8" w:space="0"/>
              <w:left w:val="single" w:color="000000" w:sz="8" w:space="0"/>
              <w:bottom w:val="double" w:color="C0C0C0" w:sz="6" w:space="0"/>
              <w:right w:val="single" w:color="000000" w:sz="8" w:space="0"/>
            </w:tcBorders>
            <w:shd w:val="clear" w:color="auto" w:fill="auto"/>
            <w:tcMar>
              <w:left w:w="57" w:type="dxa"/>
              <w:right w:w="57"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352" w:type="dxa"/>
            <w:gridSpan w:val="3"/>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一、本年新收政府信息公开申请数量</w:t>
            </w:r>
          </w:p>
        </w:tc>
        <w:tc>
          <w:tcPr>
            <w:tcW w:w="43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cs="Calibri"/>
                <w:sz w:val="18"/>
                <w:szCs w:val="18"/>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rFonts w:hint="eastAsia"/>
                <w:color w:val="000000"/>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422"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rFonts w:hint="eastAsia" w:cs="Calibri"/>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352" w:type="dxa"/>
            <w:gridSpan w:val="3"/>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二、上年结转政府信息公开申请数量</w:t>
            </w:r>
          </w:p>
        </w:tc>
        <w:tc>
          <w:tcPr>
            <w:tcW w:w="43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default" w:ascii="Calibri" w:hAnsi="Calibri" w:cs="Calibri"/>
                <w:sz w:val="18"/>
                <w:szCs w:val="18"/>
              </w:rPr>
              <w:t>0</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422"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restart"/>
            <w:tcBorders>
              <w:top w:val="single" w:color="000000" w:sz="6" w:space="0"/>
              <w:left w:val="single" w:color="000000" w:sz="8" w:space="0"/>
              <w:bottom w:val="double" w:color="C0C0C0" w:sz="6"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三、本年度办理结果</w:t>
            </w:r>
          </w:p>
        </w:tc>
        <w:tc>
          <w:tcPr>
            <w:tcW w:w="3885" w:type="dxa"/>
            <w:gridSpan w:val="2"/>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（一）予以公开</w:t>
            </w:r>
          </w:p>
        </w:tc>
        <w:tc>
          <w:tcPr>
            <w:tcW w:w="43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rFonts w:hint="eastAsia" w:cs="Calibri"/>
                <w:sz w:val="18"/>
                <w:szCs w:val="18"/>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1422"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1911" w:type="dxa"/>
            <w:tcBorders>
              <w:top w:val="single" w:color="000000" w:sz="8" w:space="0"/>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rFonts w:hint="eastAsia" w:cs="Calibri"/>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3885" w:type="dxa"/>
            <w:gridSpan w:val="2"/>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color w:val="000000"/>
                <w:sz w:val="20"/>
                <w:szCs w:val="20"/>
              </w:rPr>
              <w:t>（二）部分公开</w:t>
            </w:r>
            <w:r>
              <w:rPr>
                <w:rFonts w:hint="eastAsia" w:ascii="楷体" w:hAnsi="楷体" w:eastAsia="楷体" w:cs="楷体"/>
                <w:color w:val="000000"/>
                <w:sz w:val="20"/>
                <w:szCs w:val="20"/>
              </w:rPr>
              <w:t>（区分处理的，只计这一情形，不计其他情形）</w:t>
            </w:r>
          </w:p>
        </w:tc>
        <w:tc>
          <w:tcPr>
            <w:tcW w:w="43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1422"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674" w:type="dxa"/>
            <w:vMerge w:val="restart"/>
            <w:tcBorders>
              <w:top w:val="single" w:color="000000" w:sz="6" w:space="0"/>
              <w:left w:val="single" w:color="000000" w:sz="8" w:space="0"/>
              <w:bottom w:val="double" w:color="C0C0C0" w:sz="6"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（三）不予公开</w:t>
            </w:r>
          </w:p>
        </w:tc>
        <w:tc>
          <w:tcPr>
            <w:tcW w:w="321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1.属于国家秘密</w:t>
            </w:r>
          </w:p>
        </w:tc>
        <w:tc>
          <w:tcPr>
            <w:tcW w:w="43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422"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1911" w:type="dxa"/>
            <w:tcBorders>
              <w:top w:val="single" w:color="000000" w:sz="8" w:space="0"/>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674"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321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2.其他法律行政法规禁止公开</w:t>
            </w:r>
          </w:p>
        </w:tc>
        <w:tc>
          <w:tcPr>
            <w:tcW w:w="43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422"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674"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321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3.危及“三安全一稳定”</w:t>
            </w:r>
          </w:p>
        </w:tc>
        <w:tc>
          <w:tcPr>
            <w:tcW w:w="43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422"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674"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321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4.保护第三方合法权益</w:t>
            </w:r>
          </w:p>
        </w:tc>
        <w:tc>
          <w:tcPr>
            <w:tcW w:w="43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1422"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674"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321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5.属于三类内部事务信息</w:t>
            </w:r>
          </w:p>
        </w:tc>
        <w:tc>
          <w:tcPr>
            <w:tcW w:w="43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422"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674"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321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6.属于四类过程性信息</w:t>
            </w:r>
          </w:p>
        </w:tc>
        <w:tc>
          <w:tcPr>
            <w:tcW w:w="43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422"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default" w:eastAsia="宋体"/>
                <w:lang w:val="en-US" w:eastAsia="zh-CN"/>
              </w:rPr>
            </w:pPr>
            <w:r>
              <w:t> </w:t>
            </w: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674"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321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7.属于行政执法案卷</w:t>
            </w:r>
          </w:p>
        </w:tc>
        <w:tc>
          <w:tcPr>
            <w:tcW w:w="43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1422"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674"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321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8.属于行政查询事项</w:t>
            </w:r>
          </w:p>
        </w:tc>
        <w:tc>
          <w:tcPr>
            <w:tcW w:w="43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rFonts w:hint="eastAsia" w:cs="Calibri"/>
                <w:sz w:val="18"/>
                <w:szCs w:val="18"/>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422"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rFonts w:hint="eastAsia" w:cs="Calibri"/>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674" w:type="dxa"/>
            <w:vMerge w:val="restart"/>
            <w:tcBorders>
              <w:top w:val="single" w:color="000000" w:sz="6" w:space="0"/>
              <w:left w:val="single" w:color="000000" w:sz="8" w:space="0"/>
              <w:bottom w:val="double" w:color="C0C0C0" w:sz="6"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（四）无法提供</w:t>
            </w:r>
          </w:p>
        </w:tc>
        <w:tc>
          <w:tcPr>
            <w:tcW w:w="321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1.本机关不掌握相关政府信息</w:t>
            </w:r>
          </w:p>
        </w:tc>
        <w:tc>
          <w:tcPr>
            <w:tcW w:w="43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rFonts w:hint="eastAsia" w:cs="Calibri"/>
                <w:sz w:val="18"/>
                <w:szCs w:val="18"/>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422"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rFonts w:hint="eastAsia" w:cs="Calibri"/>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674"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321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2.没有现成信息需要另行制作</w:t>
            </w:r>
          </w:p>
        </w:tc>
        <w:tc>
          <w:tcPr>
            <w:tcW w:w="43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both"/>
              <w:rPr>
                <w:rFonts w:hint="eastAsia" w:eastAsia="宋体"/>
                <w:lang w:eastAsia="zh-CN"/>
              </w:rPr>
            </w:pPr>
            <w:r>
              <w:rPr>
                <w:rFonts w:hint="eastAsia" w:cs="Calibri"/>
                <w:sz w:val="18"/>
                <w:szCs w:val="18"/>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422"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rFonts w:hint="eastAsia" w:cs="Calibri"/>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674"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321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3.补正后申请内容仍不明确</w:t>
            </w:r>
          </w:p>
        </w:tc>
        <w:tc>
          <w:tcPr>
            <w:tcW w:w="43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both"/>
              <w:rPr>
                <w:rFonts w:hint="eastAsia" w:eastAsia="宋体"/>
                <w:lang w:val="en-US" w:eastAsia="zh-CN"/>
              </w:rPr>
            </w:pP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422"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674" w:type="dxa"/>
            <w:vMerge w:val="restart"/>
            <w:tcBorders>
              <w:top w:val="single" w:color="000000" w:sz="6" w:space="0"/>
              <w:left w:val="single" w:color="000000" w:sz="8" w:space="0"/>
              <w:bottom w:val="double" w:color="C0C0C0" w:sz="6"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（五）不予处理</w:t>
            </w:r>
          </w:p>
        </w:tc>
        <w:tc>
          <w:tcPr>
            <w:tcW w:w="321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1.信访举报投诉类申请</w:t>
            </w:r>
          </w:p>
        </w:tc>
        <w:tc>
          <w:tcPr>
            <w:tcW w:w="43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422"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674"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321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2.重复申请</w:t>
            </w:r>
          </w:p>
        </w:tc>
        <w:tc>
          <w:tcPr>
            <w:tcW w:w="43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422"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674"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321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3.要求提供公开出版物</w:t>
            </w:r>
          </w:p>
        </w:tc>
        <w:tc>
          <w:tcPr>
            <w:tcW w:w="43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1422"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674"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321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4.无正当理由大量反复申请</w:t>
            </w:r>
          </w:p>
        </w:tc>
        <w:tc>
          <w:tcPr>
            <w:tcW w:w="43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422" w:type="dxa"/>
            <w:tcBorders>
              <w:top w:val="nil"/>
              <w:left w:val="single" w:color="000000" w:sz="8" w:space="0"/>
              <w:bottom w:val="single" w:color="000000" w:sz="8"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674"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3211" w:type="dxa"/>
            <w:tcBorders>
              <w:top w:val="single" w:color="000000" w:sz="6" w:space="0"/>
              <w:left w:val="single" w:color="000000" w:sz="8" w:space="0"/>
              <w:bottom w:val="double" w:color="C0C0C0" w:sz="6"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5.要求行政机关确认或重新出具已获取信息</w:t>
            </w:r>
          </w:p>
        </w:tc>
        <w:tc>
          <w:tcPr>
            <w:tcW w:w="431" w:type="dxa"/>
            <w:tcBorders>
              <w:top w:val="single" w:color="000000" w:sz="6" w:space="0"/>
              <w:left w:val="single" w:color="000000" w:sz="8" w:space="0"/>
              <w:bottom w:val="double" w:color="C0C0C0" w:sz="6"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401" w:type="dxa"/>
            <w:tcBorders>
              <w:top w:val="single" w:color="000000" w:sz="6" w:space="0"/>
              <w:left w:val="single" w:color="000000" w:sz="8" w:space="0"/>
              <w:bottom w:val="double" w:color="C0C0C0" w:sz="6"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single" w:color="000000" w:sz="6" w:space="0"/>
              <w:left w:val="single" w:color="000000" w:sz="8" w:space="0"/>
              <w:bottom w:val="double" w:color="C0C0C0" w:sz="6"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401" w:type="dxa"/>
            <w:tcBorders>
              <w:top w:val="single" w:color="000000" w:sz="6" w:space="0"/>
              <w:left w:val="single" w:color="000000" w:sz="8" w:space="0"/>
              <w:bottom w:val="double" w:color="C0C0C0" w:sz="6"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single" w:color="000000" w:sz="6" w:space="0"/>
              <w:left w:val="single" w:color="000000" w:sz="8" w:space="0"/>
              <w:bottom w:val="double" w:color="C0C0C0" w:sz="6"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422" w:type="dxa"/>
            <w:tcBorders>
              <w:top w:val="single" w:color="000000" w:sz="6" w:space="0"/>
              <w:left w:val="single" w:color="000000" w:sz="8" w:space="0"/>
              <w:bottom w:val="double" w:color="C0C0C0" w:sz="6" w:space="0"/>
              <w:right w:val="nil"/>
            </w:tcBorders>
            <w:shd w:val="clear" w:color="auto" w:fill="auto"/>
            <w:tcMar>
              <w:lef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911" w:type="dxa"/>
            <w:tcBorders>
              <w:top w:val="single" w:color="000000" w:sz="6" w:space="0"/>
              <w:left w:val="single" w:color="000000" w:sz="8" w:space="0"/>
              <w:bottom w:val="double" w:color="C0C0C0" w:sz="6"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674" w:type="dxa"/>
            <w:vMerge w:val="restart"/>
            <w:tcBorders>
              <w:top w:val="double" w:color="C0C0C0" w:sz="6" w:space="0"/>
              <w:left w:val="single" w:color="000000" w:sz="8" w:space="0"/>
              <w:bottom w:val="double" w:color="C0C0C0" w:sz="6"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（六）其他处理</w:t>
            </w:r>
          </w:p>
        </w:tc>
        <w:tc>
          <w:tcPr>
            <w:tcW w:w="321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1.申请人无正当理由逾期不补正、行政机关不再处理其政府信息公开申请</w:t>
            </w:r>
          </w:p>
        </w:tc>
        <w:tc>
          <w:tcPr>
            <w:tcW w:w="43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1422"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rPr>
                <w:rFonts w:hint="eastAsia" w:eastAsia="宋体"/>
                <w:lang w:val="en-US" w:eastAsia="zh-CN"/>
              </w:rPr>
            </w:pPr>
            <w:r>
              <w:rPr>
                <w:rFonts w:hint="eastAsia"/>
                <w:lang w:val="en-US" w:eastAsia="zh-CN"/>
              </w:rPr>
              <w:t>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674" w:type="dxa"/>
            <w:vMerge w:val="continue"/>
            <w:tcBorders>
              <w:top w:val="double" w:color="C0C0C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321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2.申请人逾期未按收费通知要求缴纳费用、行政机关不再处理其政府信息公开申请</w:t>
            </w:r>
          </w:p>
        </w:tc>
        <w:tc>
          <w:tcPr>
            <w:tcW w:w="43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422"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674" w:type="dxa"/>
            <w:vMerge w:val="continue"/>
            <w:tcBorders>
              <w:top w:val="double" w:color="C0C0C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321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3.其他</w:t>
            </w:r>
          </w:p>
        </w:tc>
        <w:tc>
          <w:tcPr>
            <w:tcW w:w="43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rFonts w:hint="eastAsia" w:cs="Calibri"/>
                <w:sz w:val="18"/>
                <w:szCs w:val="18"/>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422"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t> </w:t>
            </w:r>
            <w:r>
              <w:rPr>
                <w:rFonts w:hint="eastAsia" w:cs="Calibri"/>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 w:type="dxa"/>
            <w:vMerge w:val="continue"/>
            <w:tcBorders>
              <w:top w:val="single" w:color="000000" w:sz="6" w:space="0"/>
              <w:left w:val="single" w:color="000000" w:sz="8" w:space="0"/>
              <w:bottom w:val="double" w:color="C0C0C0" w:sz="6" w:space="0"/>
              <w:right w:val="nil"/>
            </w:tcBorders>
            <w:shd w:val="clear" w:color="auto" w:fill="auto"/>
            <w:tcMar>
              <w:left w:w="57" w:type="dxa"/>
            </w:tcMar>
            <w:vAlign w:val="center"/>
          </w:tcPr>
          <w:p>
            <w:pPr>
              <w:rPr>
                <w:rFonts w:hint="eastAsia" w:ascii="宋体"/>
                <w:sz w:val="24"/>
                <w:szCs w:val="24"/>
              </w:rPr>
            </w:pPr>
          </w:p>
        </w:tc>
        <w:tc>
          <w:tcPr>
            <w:tcW w:w="3885" w:type="dxa"/>
            <w:gridSpan w:val="2"/>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（七）总计</w:t>
            </w:r>
          </w:p>
        </w:tc>
        <w:tc>
          <w:tcPr>
            <w:tcW w:w="43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cs="Calibri"/>
                <w:color w:val="000000"/>
                <w:sz w:val="18"/>
                <w:szCs w:val="18"/>
                <w:lang w:val="en-US" w:eastAsia="zh-CN"/>
              </w:rPr>
              <w:t>0</w:t>
            </w:r>
            <w:r>
              <w:rPr>
                <w:rFonts w:hint="default" w:ascii="Calibri" w:hAnsi="Calibri" w:cs="Calibri"/>
                <w:color w:val="000000"/>
                <w:sz w:val="18"/>
                <w:szCs w:val="18"/>
              </w:rP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1422"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rFonts w:hint="eastAsia" w:cs="Calibri"/>
                <w:sz w:val="18"/>
                <w:szCs w:val="18"/>
                <w:lang w:val="en-US" w:eastAsia="zh-CN"/>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352" w:type="dxa"/>
            <w:gridSpan w:val="3"/>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left"/>
            </w:pPr>
            <w:r>
              <w:rPr>
                <w:rFonts w:hint="eastAsia" w:ascii="宋体" w:hAnsi="宋体" w:eastAsia="宋体" w:cs="宋体"/>
                <w:sz w:val="20"/>
                <w:szCs w:val="20"/>
              </w:rPr>
              <w:t>四、结转下年度继续办理</w:t>
            </w:r>
          </w:p>
        </w:tc>
        <w:tc>
          <w:tcPr>
            <w:tcW w:w="43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401"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lang w:val="en-US" w:eastAsia="zh-CN"/>
              </w:rPr>
              <w:t>0</w:t>
            </w:r>
            <w:r>
              <w:t> </w:t>
            </w:r>
          </w:p>
        </w:tc>
        <w:tc>
          <w:tcPr>
            <w:tcW w:w="1422" w:type="dxa"/>
            <w:tcBorders>
              <w:top w:val="nil"/>
              <w:left w:val="single" w:color="000000" w:sz="8" w:space="0"/>
              <w:bottom w:val="single" w:color="000000" w:sz="8" w:space="0"/>
              <w:right w:val="nil"/>
            </w:tcBorders>
            <w:shd w:val="clear" w:color="auto" w:fill="auto"/>
            <w:tcMar>
              <w:left w:w="57"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t> </w:t>
            </w:r>
            <w:r>
              <w:rPr>
                <w:rFonts w:hint="eastAsia"/>
                <w:lang w:val="en-US" w:eastAsia="zh-CN"/>
              </w:rPr>
              <w:t>0</w:t>
            </w:r>
          </w:p>
        </w:tc>
        <w:tc>
          <w:tcPr>
            <w:tcW w:w="1911" w:type="dxa"/>
            <w:tcBorders>
              <w:top w:val="nil"/>
              <w:left w:val="single" w:color="000000" w:sz="8" w:space="0"/>
              <w:bottom w:val="single" w:color="000000" w:sz="8" w:space="0"/>
              <w:right w:val="single" w:color="000000" w:sz="8" w:space="0"/>
            </w:tcBorders>
            <w:shd w:val="clear" w:color="auto" w:fill="auto"/>
            <w:tcMar>
              <w:left w:w="57" w:type="dxa"/>
              <w:right w:w="57"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90" w:lineRule="atLeast"/>
        <w:ind w:left="0" w:right="0" w:firstLine="0"/>
        <w:jc w:val="left"/>
        <w:rPr>
          <w:rFonts w:hint="eastAsia" w:ascii="微软雅黑" w:hAnsi="微软雅黑" w:eastAsia="微软雅黑" w:cs="微软雅黑"/>
          <w:i w:val="0"/>
          <w:iCs w:val="0"/>
          <w:caps w:val="0"/>
          <w:color w:val="333333"/>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68" w:afterAutospacing="0" w:line="390" w:lineRule="atLeast"/>
        <w:ind w:left="0" w:right="0" w:firstLine="42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2"/>
          <w:szCs w:val="32"/>
          <w:shd w:val="clear" w:fill="FFFFFF"/>
        </w:rPr>
        <w:t> 四、政府信息公开行政复议、行政诉讼情况</w:t>
      </w:r>
    </w:p>
    <w:tbl>
      <w:tblPr>
        <w:tblStyle w:val="6"/>
        <w:tblW w:w="969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98"/>
        <w:gridCol w:w="298"/>
        <w:gridCol w:w="298"/>
        <w:gridCol w:w="298"/>
        <w:gridCol w:w="1879"/>
        <w:gridCol w:w="300"/>
        <w:gridCol w:w="298"/>
        <w:gridCol w:w="298"/>
        <w:gridCol w:w="298"/>
        <w:gridCol w:w="1893"/>
        <w:gridCol w:w="330"/>
        <w:gridCol w:w="298"/>
        <w:gridCol w:w="298"/>
        <w:gridCol w:w="298"/>
        <w:gridCol w:w="230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071" w:type="dxa"/>
            <w:gridSpan w:val="5"/>
            <w:tcBorders>
              <w:top w:val="single" w:color="000000" w:sz="8" w:space="0"/>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18"/>
                <w:szCs w:val="18"/>
              </w:rPr>
              <w:t>行政复议</w:t>
            </w:r>
          </w:p>
        </w:tc>
        <w:tc>
          <w:tcPr>
            <w:tcW w:w="6619" w:type="dxa"/>
            <w:gridSpan w:val="10"/>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18"/>
                <w:szCs w:val="18"/>
              </w:rPr>
              <w:t>行政诉讼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98" w:type="dxa"/>
            <w:vMerge w:val="restart"/>
            <w:tcBorders>
              <w:top w:val="nil"/>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18"/>
                <w:szCs w:val="18"/>
              </w:rPr>
              <w:t>结果维持</w:t>
            </w:r>
          </w:p>
        </w:tc>
        <w:tc>
          <w:tcPr>
            <w:tcW w:w="298" w:type="dxa"/>
            <w:vMerge w:val="restart"/>
            <w:tcBorders>
              <w:top w:val="nil"/>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18"/>
                <w:szCs w:val="18"/>
              </w:rPr>
              <w:t>纠正</w:t>
            </w:r>
          </w:p>
        </w:tc>
        <w:tc>
          <w:tcPr>
            <w:tcW w:w="298" w:type="dxa"/>
            <w:vMerge w:val="restart"/>
            <w:tcBorders>
              <w:top w:val="single" w:color="000000" w:sz="8" w:space="0"/>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18"/>
                <w:szCs w:val="18"/>
              </w:rPr>
              <w:t>结果</w:t>
            </w:r>
          </w:p>
        </w:tc>
        <w:tc>
          <w:tcPr>
            <w:tcW w:w="298" w:type="dxa"/>
            <w:vMerge w:val="restart"/>
            <w:tcBorders>
              <w:top w:val="single" w:color="000000" w:sz="8" w:space="0"/>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尚未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18"/>
                <w:szCs w:val="18"/>
              </w:rPr>
              <w:t>审结</w:t>
            </w:r>
          </w:p>
        </w:tc>
        <w:tc>
          <w:tcPr>
            <w:tcW w:w="1879" w:type="dxa"/>
            <w:vMerge w:val="restart"/>
            <w:tcBorders>
              <w:top w:val="single" w:color="000000" w:sz="8" w:space="0"/>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18"/>
                <w:szCs w:val="18"/>
              </w:rPr>
              <w:t>总计</w:t>
            </w:r>
          </w:p>
        </w:tc>
        <w:tc>
          <w:tcPr>
            <w:tcW w:w="3087" w:type="dxa"/>
            <w:gridSpan w:val="5"/>
            <w:tcBorders>
              <w:top w:val="single" w:color="000000" w:sz="8" w:space="0"/>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18"/>
                <w:szCs w:val="18"/>
              </w:rPr>
              <w:t>未经复议直接起诉</w:t>
            </w:r>
          </w:p>
        </w:tc>
        <w:tc>
          <w:tcPr>
            <w:tcW w:w="3532" w:type="dxa"/>
            <w:gridSpan w:val="5"/>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18"/>
                <w:szCs w:val="18"/>
              </w:rPr>
              <w:t>复议后起诉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298" w:type="dxa"/>
            <w:vMerge w:val="continue"/>
            <w:tcBorders>
              <w:top w:val="nil"/>
              <w:left w:val="single" w:color="000000" w:sz="8" w:space="0"/>
              <w:bottom w:val="single" w:color="000000" w:sz="8" w:space="0"/>
              <w:right w:val="nil"/>
            </w:tcBorders>
            <w:shd w:val="clear" w:color="auto" w:fill="auto"/>
            <w:tcMar>
              <w:left w:w="108" w:type="dxa"/>
            </w:tcMar>
            <w:vAlign w:val="center"/>
          </w:tcPr>
          <w:p>
            <w:pPr>
              <w:rPr>
                <w:rFonts w:hint="eastAsia" w:ascii="宋体"/>
                <w:sz w:val="24"/>
                <w:szCs w:val="24"/>
              </w:rPr>
            </w:pPr>
          </w:p>
        </w:tc>
        <w:tc>
          <w:tcPr>
            <w:tcW w:w="298" w:type="dxa"/>
            <w:vMerge w:val="continue"/>
            <w:tcBorders>
              <w:top w:val="nil"/>
              <w:left w:val="single" w:color="000000" w:sz="8" w:space="0"/>
              <w:bottom w:val="single" w:color="000000" w:sz="8" w:space="0"/>
              <w:right w:val="nil"/>
            </w:tcBorders>
            <w:shd w:val="clear" w:color="auto" w:fill="auto"/>
            <w:tcMar>
              <w:left w:w="108" w:type="dxa"/>
            </w:tcMar>
            <w:vAlign w:val="center"/>
          </w:tcPr>
          <w:p>
            <w:pPr>
              <w:rPr>
                <w:rFonts w:hint="eastAsia" w:ascii="宋体"/>
                <w:sz w:val="24"/>
                <w:szCs w:val="24"/>
              </w:rPr>
            </w:pPr>
          </w:p>
        </w:tc>
        <w:tc>
          <w:tcPr>
            <w:tcW w:w="298" w:type="dxa"/>
            <w:vMerge w:val="continue"/>
            <w:tcBorders>
              <w:top w:val="single" w:color="000000" w:sz="8" w:space="0"/>
              <w:left w:val="single" w:color="000000" w:sz="8" w:space="0"/>
              <w:bottom w:val="single" w:color="000000" w:sz="8" w:space="0"/>
              <w:right w:val="nil"/>
            </w:tcBorders>
            <w:shd w:val="clear" w:color="auto" w:fill="auto"/>
            <w:tcMar>
              <w:left w:w="108" w:type="dxa"/>
            </w:tcMar>
            <w:vAlign w:val="center"/>
          </w:tcPr>
          <w:p>
            <w:pPr>
              <w:rPr>
                <w:rFonts w:hint="eastAsia" w:ascii="宋体"/>
                <w:sz w:val="24"/>
                <w:szCs w:val="24"/>
              </w:rPr>
            </w:pPr>
          </w:p>
        </w:tc>
        <w:tc>
          <w:tcPr>
            <w:tcW w:w="298" w:type="dxa"/>
            <w:vMerge w:val="continue"/>
            <w:tcBorders>
              <w:top w:val="single" w:color="000000" w:sz="8" w:space="0"/>
              <w:left w:val="single" w:color="000000" w:sz="8" w:space="0"/>
              <w:bottom w:val="single" w:color="000000" w:sz="8" w:space="0"/>
              <w:right w:val="nil"/>
            </w:tcBorders>
            <w:shd w:val="clear" w:color="auto" w:fill="auto"/>
            <w:tcMar>
              <w:left w:w="108" w:type="dxa"/>
            </w:tcMar>
            <w:vAlign w:val="center"/>
          </w:tcPr>
          <w:p>
            <w:pPr>
              <w:rPr>
                <w:rFonts w:hint="eastAsia" w:ascii="宋体"/>
                <w:sz w:val="24"/>
                <w:szCs w:val="24"/>
              </w:rPr>
            </w:pPr>
          </w:p>
        </w:tc>
        <w:tc>
          <w:tcPr>
            <w:tcW w:w="1879" w:type="dxa"/>
            <w:vMerge w:val="continue"/>
            <w:tcBorders>
              <w:top w:val="single" w:color="000000" w:sz="8" w:space="0"/>
              <w:left w:val="single" w:color="000000" w:sz="8" w:space="0"/>
              <w:bottom w:val="single" w:color="000000" w:sz="8" w:space="0"/>
              <w:right w:val="nil"/>
            </w:tcBorders>
            <w:shd w:val="clear" w:color="auto" w:fill="auto"/>
            <w:tcMar>
              <w:left w:w="108" w:type="dxa"/>
            </w:tcMar>
            <w:vAlign w:val="center"/>
          </w:tcPr>
          <w:p>
            <w:pPr>
              <w:rPr>
                <w:rFonts w:hint="eastAsia" w:ascii="宋体"/>
                <w:sz w:val="24"/>
                <w:szCs w:val="24"/>
              </w:rPr>
            </w:pPr>
          </w:p>
        </w:tc>
        <w:tc>
          <w:tcPr>
            <w:tcW w:w="300" w:type="dxa"/>
            <w:tcBorders>
              <w:top w:val="nil"/>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18"/>
                <w:szCs w:val="18"/>
              </w:rPr>
              <w:t>维持</w:t>
            </w:r>
          </w:p>
        </w:tc>
        <w:tc>
          <w:tcPr>
            <w:tcW w:w="298" w:type="dxa"/>
            <w:tcBorders>
              <w:top w:val="nil"/>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18"/>
                <w:szCs w:val="18"/>
              </w:rPr>
              <w:t>纠正</w:t>
            </w:r>
          </w:p>
        </w:tc>
        <w:tc>
          <w:tcPr>
            <w:tcW w:w="298"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18"/>
                <w:szCs w:val="18"/>
              </w:rPr>
              <w:t>结果</w:t>
            </w:r>
          </w:p>
        </w:tc>
        <w:tc>
          <w:tcPr>
            <w:tcW w:w="298"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尚未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18"/>
                <w:szCs w:val="18"/>
              </w:rPr>
              <w:t>审结</w:t>
            </w:r>
          </w:p>
        </w:tc>
        <w:tc>
          <w:tcPr>
            <w:tcW w:w="1893"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18"/>
                <w:szCs w:val="18"/>
              </w:rPr>
              <w:t>总计</w:t>
            </w:r>
          </w:p>
        </w:tc>
        <w:tc>
          <w:tcPr>
            <w:tcW w:w="330"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18"/>
                <w:szCs w:val="18"/>
              </w:rPr>
              <w:t>维持</w:t>
            </w:r>
          </w:p>
        </w:tc>
        <w:tc>
          <w:tcPr>
            <w:tcW w:w="298"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18"/>
                <w:szCs w:val="18"/>
              </w:rPr>
              <w:t>纠正</w:t>
            </w:r>
          </w:p>
        </w:tc>
        <w:tc>
          <w:tcPr>
            <w:tcW w:w="298"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18"/>
                <w:szCs w:val="18"/>
              </w:rPr>
              <w:t>结果</w:t>
            </w:r>
          </w:p>
        </w:tc>
        <w:tc>
          <w:tcPr>
            <w:tcW w:w="298"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尚未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18"/>
                <w:szCs w:val="18"/>
              </w:rPr>
              <w:t>审结</w:t>
            </w:r>
          </w:p>
        </w:tc>
        <w:tc>
          <w:tcPr>
            <w:tcW w:w="230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ascii="宋体" w:hAnsi="宋体" w:eastAsia="宋体" w:cs="宋体"/>
                <w:sz w:val="18"/>
                <w:szCs w:val="18"/>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298" w:type="dxa"/>
            <w:tcBorders>
              <w:top w:val="nil"/>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rFonts w:hint="eastAsia" w:cs="Calibri"/>
                <w:sz w:val="18"/>
                <w:szCs w:val="18"/>
                <w:lang w:val="en-US" w:eastAsia="zh-CN"/>
              </w:rPr>
              <w:t>0</w:t>
            </w:r>
          </w:p>
        </w:tc>
        <w:tc>
          <w:tcPr>
            <w:tcW w:w="298" w:type="dxa"/>
            <w:tcBorders>
              <w:top w:val="nil"/>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298" w:type="dxa"/>
            <w:tcBorders>
              <w:top w:val="nil"/>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298" w:type="dxa"/>
            <w:tcBorders>
              <w:top w:val="nil"/>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1879" w:type="dxa"/>
            <w:tcBorders>
              <w:top w:val="nil"/>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rFonts w:hint="eastAsia" w:cs="Calibri"/>
                <w:sz w:val="18"/>
                <w:szCs w:val="18"/>
                <w:lang w:val="en-US" w:eastAsia="zh-CN"/>
              </w:rPr>
              <w:t>0</w:t>
            </w:r>
          </w:p>
        </w:tc>
        <w:tc>
          <w:tcPr>
            <w:tcW w:w="300" w:type="dxa"/>
            <w:tcBorders>
              <w:top w:val="nil"/>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pPr>
            <w:r>
              <w:rPr>
                <w:rFonts w:hint="eastAsia" w:cs="Calibri"/>
                <w:color w:val="000000"/>
                <w:sz w:val="18"/>
                <w:szCs w:val="18"/>
                <w:lang w:val="en-US" w:eastAsia="zh-CN"/>
              </w:rPr>
              <w:t>0</w:t>
            </w:r>
            <w:r>
              <w:rPr>
                <w:rFonts w:hint="default" w:ascii="Calibri" w:hAnsi="Calibri" w:cs="Calibri"/>
                <w:color w:val="000000"/>
                <w:sz w:val="18"/>
                <w:szCs w:val="18"/>
              </w:rPr>
              <w:t> </w:t>
            </w:r>
          </w:p>
        </w:tc>
        <w:tc>
          <w:tcPr>
            <w:tcW w:w="298" w:type="dxa"/>
            <w:tcBorders>
              <w:top w:val="nil"/>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298" w:type="dxa"/>
            <w:tcBorders>
              <w:top w:val="nil"/>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298" w:type="dxa"/>
            <w:tcBorders>
              <w:top w:val="nil"/>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1893" w:type="dxa"/>
            <w:tcBorders>
              <w:top w:val="nil"/>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rFonts w:hint="eastAsia" w:cs="Calibri"/>
                <w:sz w:val="18"/>
                <w:szCs w:val="18"/>
                <w:lang w:val="en-US" w:eastAsia="zh-CN"/>
              </w:rPr>
              <w:t>0</w:t>
            </w:r>
          </w:p>
        </w:tc>
        <w:tc>
          <w:tcPr>
            <w:tcW w:w="330" w:type="dxa"/>
            <w:tcBorders>
              <w:top w:val="nil"/>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color w:val="000000"/>
              </w:rPr>
              <w:t> </w:t>
            </w:r>
            <w:r>
              <w:rPr>
                <w:rFonts w:hint="eastAsia" w:cs="Calibri"/>
                <w:color w:val="000000"/>
                <w:sz w:val="18"/>
                <w:szCs w:val="18"/>
                <w:lang w:val="en-US" w:eastAsia="zh-CN"/>
              </w:rPr>
              <w:t>0</w:t>
            </w:r>
          </w:p>
        </w:tc>
        <w:tc>
          <w:tcPr>
            <w:tcW w:w="298" w:type="dxa"/>
            <w:tcBorders>
              <w:top w:val="nil"/>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298" w:type="dxa"/>
            <w:tcBorders>
              <w:top w:val="nil"/>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298" w:type="dxa"/>
            <w:tcBorders>
              <w:top w:val="nil"/>
              <w:left w:val="single" w:color="000000" w:sz="8" w:space="0"/>
              <w:bottom w:val="single" w:color="000000" w:sz="8"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val="en-US" w:eastAsia="zh-CN"/>
              </w:rPr>
            </w:pPr>
            <w:r>
              <w:rPr>
                <w:rFonts w:hint="eastAsia"/>
                <w:lang w:val="en-US" w:eastAsia="zh-CN"/>
              </w:rPr>
              <w:t>0</w:t>
            </w:r>
          </w:p>
        </w:tc>
        <w:tc>
          <w:tcPr>
            <w:tcW w:w="23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jc w:val="center"/>
              <w:rPr>
                <w:rFonts w:hint="eastAsia" w:eastAsia="宋体"/>
                <w:lang w:eastAsia="zh-CN"/>
              </w:rPr>
            </w:pPr>
            <w:r>
              <w:rPr>
                <w:rFonts w:hint="eastAsia" w:cs="Calibri"/>
                <w:sz w:val="18"/>
                <w:szCs w:val="18"/>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766" w:afterAutospacing="0" w:line="560" w:lineRule="exact"/>
        <w:ind w:right="0"/>
        <w:jc w:val="left"/>
        <w:textAlignment w:val="auto"/>
        <w:rPr>
          <w:rFonts w:hint="default" w:ascii="仿宋_GB2312" w:hAnsi="宋体" w:eastAsia="仿宋_GB2312" w:cs="Times New Roman"/>
          <w:kern w:val="2"/>
          <w:sz w:val="32"/>
          <w:szCs w:val="32"/>
          <w:lang w:val="en-US" w:eastAsia="zh-CN" w:bidi="ar-SA"/>
        </w:rPr>
      </w:pPr>
    </w:p>
    <w:p>
      <w:pPr>
        <w:ind w:firstLine="640" w:firstLineChars="200"/>
        <w:rPr>
          <w:rFonts w:hint="eastAsia" w:ascii="仿宋_GB2312" w:hAnsi="仿宋_GB2312" w:eastAsia="仿宋_GB2312" w:cs="仿宋_GB2312"/>
          <w:b w:val="0"/>
          <w:bCs w:val="0"/>
          <w:sz w:val="32"/>
          <w:szCs w:val="32"/>
          <w:lang w:val="en-US" w:eastAsia="zh-CN"/>
        </w:rPr>
      </w:pPr>
      <w:r>
        <w:rPr>
          <w:rFonts w:hint="eastAsia" w:ascii="黑体" w:hAnsi="黑体" w:eastAsia="黑体"/>
          <w:sz w:val="32"/>
          <w:szCs w:val="32"/>
          <w:lang w:val="en-US" w:eastAsia="zh-CN"/>
        </w:rPr>
        <w:t>五</w:t>
      </w:r>
      <w:r>
        <w:rPr>
          <w:rFonts w:hint="eastAsia" w:ascii="黑体" w:hAnsi="黑体" w:eastAsia="黑体"/>
          <w:sz w:val="32"/>
          <w:szCs w:val="32"/>
        </w:rPr>
        <w:t>、主要问题及改进措施</w:t>
      </w:r>
      <w:bookmarkStart w:id="0" w:name="_GoBack"/>
      <w:bookmarkEnd w:id="0"/>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存在问题：对政务公开的认识不到位，公开意识不强。</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改进情况：完善本单位政务公开机制。一是强化工作责任。建立工作小组，由办公室负责人和专门干部负责政务信息的公开和发布；二是完善公开制度。严格按照“应公开尽公开”的原则及时公开，推进“五公开”，落实每日查看政务公开系统机制，确保及时查收处理依申请公开事项；三是完善公开程序。对于重点公开内容，由主要领导和分管领导共同审核把关，对于一般日常政务公开，由此项工作负责人供稿，分管领导审核后发布。</w:t>
      </w:r>
    </w:p>
    <w:p>
      <w:pPr>
        <w:rPr>
          <w:rFonts w:hint="default" w:eastAsia="宋体"/>
          <w:lang w:val="en-US" w:eastAsia="zh-CN"/>
        </w:rPr>
      </w:pPr>
    </w:p>
    <w:p>
      <w:pPr>
        <w:pStyle w:val="2"/>
        <w:rPr>
          <w:rFonts w:hint="default" w:eastAsia="宋体"/>
          <w:lang w:val="en-US" w:eastAsia="zh-CN"/>
        </w:rPr>
      </w:pPr>
    </w:p>
    <w:p>
      <w:pPr>
        <w:rPr>
          <w:rFonts w:hint="default" w:eastAsia="宋体"/>
          <w:lang w:val="en-US" w:eastAsia="zh-CN"/>
        </w:rPr>
      </w:pPr>
    </w:p>
    <w:p>
      <w:pPr>
        <w:pStyle w:val="2"/>
        <w:rPr>
          <w:rFonts w:hint="default"/>
          <w:lang w:val="en-US" w:eastAsia="zh-CN"/>
        </w:rPr>
      </w:pPr>
      <w:r>
        <w:rPr>
          <w:rFonts w:hint="eastAsia" w:eastAsia="宋体"/>
          <w:lang w:val="en-US" w:eastAsia="zh-CN"/>
        </w:rPr>
        <w:t xml:space="preserve">                       2023年2月10日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56E44"/>
    <w:multiLevelType w:val="singleLevel"/>
    <w:tmpl w:val="2BC56E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YjMxMTU1Y2NkNzgyMzVhNmVlNDFjY2IyMzQ2NDUifQ=="/>
  </w:docVars>
  <w:rsids>
    <w:rsidRoot w:val="2ABB0CE7"/>
    <w:rsid w:val="2ABB0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1"/>
    <w:next w:val="1"/>
    <w:qFormat/>
    <w:uiPriority w:val="0"/>
    <w:pPr>
      <w:keepNext/>
      <w:keepLines/>
      <w:spacing w:line="560" w:lineRule="exact"/>
      <w:ind w:firstLine="200" w:firstLineChars="200"/>
      <w:outlineLvl w:val="2"/>
    </w:pPr>
    <w:rPr>
      <w:rFonts w:ascii="仿宋_GB2312" w:hAnsi="仿宋_GB2312" w:eastAsia="楷体_GB2312" w:cs="Times New Roman"/>
      <w:bCs/>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2023-02-21T05:58:00Z</dcterms:created>
  <dc:creator>翩飞</dc:creator>
  <cp:lastModifiedBy>翩飞</cp:lastModifiedBy>
  <dcterms:modified xsi:type="dcterms:W3CDTF">2023-02-21T06:03:34Z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F33504C96E7C4A9DBC49A774BCE5AF0C</vt:lpwstr>
  </property>
</Properties>
</file>